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30"/>
          <w:szCs w:val="30"/>
        </w:rPr>
        <w:t xml:space="preserve">Building tax administration on reusable components: a starting framework</w:t>
      </w:r>
    </w:p>
    <w:p>
      <w:pPr>
        <w:spacing w:after="240"/>
      </w:pPr>
      <w:r>
        <w:rPr>
          <w:i/>
          <w:iCs/>
          <w:color w:val="555555"/>
          <w:sz w:val="20"/>
          <w:szCs w:val="20"/>
        </w:rPr>
        <w:t xml:space="preserve">Note for discussion — approach to component-based digitisation, using Inheritance Tax as the first build</w:t>
      </w:r>
    </w:p>
    <w:p>
      <w:pPr>
        <w:pStyle w:val="Heading2"/>
        <w:spacing w:after="80" w:before="60"/>
      </w:pPr>
      <w:r>
        <w:rPr>
          <w:color w:val="1F4E78"/>
        </w:rPr>
        <w:t xml:space="preserve">The problem with tax-by-tax builds</w:t>
      </w:r>
    </w:p>
    <w:p>
      <w:pPr>
        <w:spacing w:after="200"/>
      </w:pPr>
      <w:r>
        <w:t xml:space="preserve">Every UK tax has, historically, been built as its own bespoke system, because each was designed around the specifics of the tax it serves. Adopting global platforms rather than adapting them to HMRC's existing patterns only works if we stop designing tax-by-tax and start designing the handful of underlying tasks every tax actually needs done — then deliver those tasks per tax through parameters and content, not new code. This note sets out a way of thinking about tax processes that supports that, and applies it to Inheritance Tax (IHT).</w:t>
      </w:r>
    </w:p>
    <w:p>
      <w:pPr>
        <w:pStyle w:val="Heading2"/>
        <w:spacing w:after="80" w:before="60"/>
      </w:pPr>
      <w:r>
        <w:rPr>
          <w:color w:val="1F4E78"/>
        </w:rPr>
        <w:t xml:space="preserve">How taxes actually differ — and how they don't</w:t>
      </w:r>
    </w:p>
    <w:p>
      <w:pPr>
        <w:spacing w:after="100"/>
      </w:pPr>
      <w:r>
        <w:t xml:space="preserve">Looking across the tax and duty base (excluding PAYE/self-assessment and VAT's own headline story, which are well understood), two independent questions determine how a tax is administered, regardless of its subject matter:</w:t>
      </w:r>
    </w:p>
    <w:p>
      <w:pPr>
        <w:pStyle w:val="ListParagraph"/>
        <w:numPr>
          <w:ilvl w:val="0"/>
          <w:numId w:val="2"/>
        </w:numPr>
        <w:spacing w:after="60"/>
      </w:pPr>
      <w:r>
        <w:t xml:space="preserve">Is the taxpayer's engagement forced by something else they're already doing (buying a property, someone's death, importing goods), or must they notice their own liability and come forward unprompted (crossing a turnover or activity threshold)?</w:t>
      </w:r>
    </w:p>
    <w:p>
      <w:pPr>
        <w:pStyle w:val="ListParagraph"/>
        <w:numPr>
          <w:ilvl w:val="0"/>
          <w:numId w:val="2"/>
        </w:numPr>
        <w:spacing w:after="100"/>
      </w:pPr>
      <w:r>
        <w:t xml:space="preserve">Once engaged, is the liability a simple, largely uncontested calculation (a quantity multiplied by a rate), or does it turn on genuine judgement — classification, valuation, relief eligibility?</w:t>
      </w:r>
    </w:p>
    <w:p>
      <w:pPr>
        <w:spacing w:after="200"/>
      </w:pPr>
      <w:r>
        <w:t xml:space="preserve">Cross-tabulating these two questions (Annex A) places every tax into one of a small number of cells, with the majority of taxes: either requiring the taxpayer to notice their own liability and/or where filing depends on genuine judgement; and very largely dependent on a return submitted by the taxpayer, and processed by HMRC, with no shared operational system in between (as there is, for example with the Customs Declaration Service, or the Excise Movement and Control System). It is for this majority of taxes that the reusable-tasks approach is proposed.</w:t>
      </w:r>
    </w:p>
    <w:p>
      <w:pPr>
        <w:pStyle w:val="Heading2"/>
        <w:spacing w:after="80" w:before="60"/>
      </w:pPr>
      <w:r>
        <w:rPr>
          <w:color w:val="1F4E78"/>
        </w:rPr>
        <w:t xml:space="preserve">Seven core tasks, and the reusable packages that deliver them</w:t>
      </w:r>
    </w:p>
    <w:p>
      <w:pPr>
        <w:spacing w:after="100"/>
      </w:pPr>
      <w:r>
        <w:t xml:space="preserve">Whatever the tax, at least seven common tasks have to be completed. These are listed in the table below, showing how each can be met by the use of a named, reusable package — most a simple parameter-driven lookup, the harder cases via a shared question-asking engine or calculation engine — configured per tax through data and content, not bespoke code. The reuse profile column records, for each task, which taxes are confirmed to use the simple package and which need the fuller mechanism; this is a live classification, not yet claimed to be exhaustive of every tax in scope.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440"/>
      </w:tblGrid>
      <w:tr>
        <w:tc>
          <w:tcPr>
            <w:tcW w:type="dxa" w:w="2000"/>
            <w:shd w:fill="1F4E78" w:val="clear"/>
            <w:tcMar>
              <w:top w:type="dxa" w:w="60"/>
              <w:left w:type="dxa" w:w="100"/>
              <w:bottom w:type="dxa" w:w="60"/>
              <w:right w:type="dxa" w:w="100"/>
            </w:tcMar>
          </w:tcPr>
          <w:p>
            <w:r>
              <w:rPr>
                <w:b/>
                <w:bCs/>
                <w:color w:val="FFFFFF"/>
                <w:sz w:val="18"/>
                <w:szCs w:val="18"/>
              </w:rPr>
              <w:t xml:space="preserve">Task</w:t>
            </w:r>
          </w:p>
        </w:tc>
        <w:tc>
          <w:tcPr>
            <w:tcW w:type="dxa" w:w="4300"/>
            <w:shd w:fill="1F4E78" w:val="clear"/>
            <w:tcMar>
              <w:top w:type="dxa" w:w="60"/>
              <w:left w:type="dxa" w:w="100"/>
              <w:bottom w:type="dxa" w:w="60"/>
              <w:right w:type="dxa" w:w="100"/>
            </w:tcMar>
          </w:tcPr>
          <w:p>
            <w:r>
              <w:rPr>
                <w:b/>
                <w:bCs/>
                <w:color w:val="FFFFFF"/>
                <w:sz w:val="18"/>
                <w:szCs w:val="18"/>
              </w:rPr>
              <w:t xml:space="preserve">What the task means</w:t>
            </w:r>
          </w:p>
        </w:tc>
        <w:tc>
          <w:tcPr>
            <w:tcW w:type="dxa" w:w="3440"/>
            <w:shd w:fill="1F4E78" w:val="clear"/>
            <w:tcMar>
              <w:top w:type="dxa" w:w="60"/>
              <w:left w:type="dxa" w:w="100"/>
              <w:bottom w:type="dxa" w:w="60"/>
              <w:right w:type="dxa" w:w="100"/>
            </w:tcMar>
          </w:tcPr>
          <w:p>
            <w:r>
              <w:rPr>
                <w:b/>
                <w:bCs/>
                <w:color w:val="FFFFFF"/>
                <w:sz w:val="18"/>
                <w:szCs w:val="18"/>
              </w:rPr>
              <w:t xml:space="preserve">How, for different taxes (reuse profile)</w:t>
            </w:r>
          </w:p>
        </w:tc>
      </w:tr>
      <w:tr>
        <w:tc>
          <w:tcPr>
            <w:tcW w:type="dxa" w:w="2000"/>
            <w:tcMar>
              <w:top w:type="dxa" w:w="60"/>
              <w:left w:type="dxa" w:w="100"/>
              <w:bottom w:type="dxa" w:w="60"/>
              <w:right w:type="dxa" w:w="100"/>
            </w:tcMar>
          </w:tcPr>
          <w:p>
            <w:r>
              <w:rPr>
                <w:b w:val="false"/>
                <w:bCs w:val="false"/>
                <w:color w:val="000000"/>
                <w:sz w:val="18"/>
                <w:szCs w:val="18"/>
              </w:rPr>
              <w:t xml:space="preserve">(a) Scope determination</w:t>
            </w:r>
          </w:p>
        </w:tc>
        <w:tc>
          <w:tcPr>
            <w:tcW w:type="dxa" w:w="4300"/>
            <w:tcMar>
              <w:top w:type="dxa" w:w="60"/>
              <w:left w:type="dxa" w:w="100"/>
              <w:bottom w:type="dxa" w:w="60"/>
              <w:right w:type="dxa" w:w="100"/>
            </w:tcMar>
          </w:tcPr>
          <w:p>
            <w:r>
              <w:rPr>
                <w:b w:val="false"/>
                <w:bCs w:val="false"/>
                <w:color w:val="000000"/>
                <w:sz w:val="18"/>
                <w:szCs w:val="18"/>
              </w:rPr>
              <w:t xml:space="preserve">Decide whether this taxpayer is in scope for this tax at all</w:t>
            </w:r>
          </w:p>
        </w:tc>
        <w:tc>
          <w:tcPr>
            <w:tcW w:type="dxa" w:w="3440"/>
            <w:tcMar>
              <w:top w:type="dxa" w:w="60"/>
              <w:left w:type="dxa" w:w="100"/>
              <w:bottom w:type="dxa" w:w="60"/>
              <w:right w:type="dxa" w:w="100"/>
            </w:tcMar>
          </w:tcPr>
          <w:p>
            <w:r>
              <w:rPr>
                <w:b w:val="false"/>
                <w:bCs w:val="false"/>
                <w:color w:val="000000"/>
                <w:sz w:val="18"/>
                <w:szCs w:val="18"/>
              </w:rPr>
              <w:t xml:space="preserve">lookup_scope — a static rule check, where the deciding facts already sit in the taxpayer's ordinary records (confirmed so far: VAT, Landfill Tax, Aggregates Levy, APD, Corporation Tax). Where they don't, scope is instead an output of question_engine (triage mode) (confirmed so far: IHT)</w:t>
            </w:r>
          </w:p>
        </w:tc>
      </w:tr>
      <w:tr>
        <w:tc>
          <w:tcPr>
            <w:tcW w:type="dxa" w:w="2000"/>
            <w:shd w:fill="F2F2F2" w:val="clear"/>
            <w:tcMar>
              <w:top w:type="dxa" w:w="60"/>
              <w:left w:type="dxa" w:w="100"/>
              <w:bottom w:type="dxa" w:w="60"/>
              <w:right w:type="dxa" w:w="100"/>
            </w:tcMar>
          </w:tcPr>
          <w:p>
            <w:r>
              <w:rPr>
                <w:b w:val="false"/>
                <w:bCs w:val="false"/>
                <w:color w:val="000000"/>
                <w:sz w:val="18"/>
                <w:szCs w:val="18"/>
              </w:rPr>
              <w:t xml:space="preserve">(b) Pack determination</w:t>
            </w:r>
          </w:p>
        </w:tc>
        <w:tc>
          <w:tcPr>
            <w:tcW w:type="dxa" w:w="4300"/>
            <w:shd w:fill="F2F2F2" w:val="clear"/>
            <w:tcMar>
              <w:top w:type="dxa" w:w="60"/>
              <w:left w:type="dxa" w:w="100"/>
              <w:bottom w:type="dxa" w:w="60"/>
              <w:right w:type="dxa" w:w="100"/>
            </w:tcMar>
          </w:tcPr>
          <w:p>
            <w:r>
              <w:rPr>
                <w:b w:val="false"/>
                <w:bCs w:val="false"/>
                <w:color w:val="000000"/>
                <w:sz w:val="18"/>
                <w:szCs w:val="18"/>
              </w:rPr>
              <w:t xml:space="preserve">Resolve which form pack, version and channel apply</w:t>
            </w:r>
          </w:p>
        </w:tc>
        <w:tc>
          <w:tcPr>
            <w:tcW w:type="dxa" w:w="3440"/>
            <w:shd w:fill="F2F2F2" w:val="clear"/>
            <w:tcMar>
              <w:top w:type="dxa" w:w="60"/>
              <w:left w:type="dxa" w:w="100"/>
              <w:bottom w:type="dxa" w:w="60"/>
              <w:right w:type="dxa" w:w="100"/>
            </w:tcMar>
          </w:tcPr>
          <w:p>
            <w:r>
              <w:rPr>
                <w:b w:val="false"/>
                <w:bCs w:val="false"/>
                <w:color w:val="000000"/>
                <w:sz w:val="18"/>
                <w:szCs w:val="18"/>
              </w:rPr>
              <w:t xml:space="preserve">lookup_pack — a static rule check, where pack varies only by parameters the taxpayer already holds (confirmed so far: VAT, Landfill Tax, Aggregates Levy, APD). Where pack depends on discovered facts, resolved via question_engine (triage mode) instead — wholly (IHT) or for a variant subset of the population (Corporation Tax reliefs, SDLT relief claims, ATED's valuation step)</w:t>
            </w:r>
          </w:p>
        </w:tc>
      </w:tr>
      <w:tr>
        <w:tc>
          <w:tcPr>
            <w:tcW w:type="dxa" w:w="2000"/>
            <w:tcMar>
              <w:top w:type="dxa" w:w="60"/>
              <w:left w:type="dxa" w:w="100"/>
              <w:bottom w:type="dxa" w:w="60"/>
              <w:right w:type="dxa" w:w="100"/>
            </w:tcMar>
          </w:tcPr>
          <w:p>
            <w:r>
              <w:rPr>
                <w:b w:val="false"/>
                <w:bCs w:val="false"/>
                <w:color w:val="000000"/>
                <w:sz w:val="18"/>
                <w:szCs w:val="18"/>
              </w:rPr>
              <w:t xml:space="preserve">(c) Substantive data capture</w:t>
            </w:r>
          </w:p>
        </w:tc>
        <w:tc>
          <w:tcPr>
            <w:tcW w:type="dxa" w:w="4300"/>
            <w:tcMar>
              <w:top w:type="dxa" w:w="60"/>
              <w:left w:type="dxa" w:w="100"/>
              <w:bottom w:type="dxa" w:w="60"/>
              <w:right w:type="dxa" w:w="100"/>
            </w:tcMar>
          </w:tcPr>
          <w:p>
            <w:r>
              <w:rPr>
                <w:b w:val="false"/>
                <w:bCs w:val="false"/>
                <w:color w:val="000000"/>
                <w:sz w:val="18"/>
                <w:szCs w:val="18"/>
              </w:rPr>
              <w:t xml:space="preserve">Collect the detailed, schedule-by-schedule data the resolved pack requires</w:t>
            </w:r>
          </w:p>
        </w:tc>
        <w:tc>
          <w:tcPr>
            <w:tcW w:type="dxa" w:w="3440"/>
            <w:tcMar>
              <w:top w:type="dxa" w:w="60"/>
              <w:left w:type="dxa" w:w="100"/>
              <w:bottom w:type="dxa" w:w="60"/>
              <w:right w:type="dxa" w:w="100"/>
            </w:tcMar>
          </w:tcPr>
          <w:p>
            <w:r>
              <w:rPr>
                <w:b w:val="false"/>
                <w:bCs w:val="false"/>
                <w:color w:val="000000"/>
                <w:sz w:val="18"/>
                <w:szCs w:val="18"/>
              </w:rPr>
              <w:t xml:space="preserve">question_engine (substance mode) — either conditional questions with their routing logic, or simple tables of repeated information eg for bank accounts, or more complex tables with conditional columns eg for property.  All configured as data, easily amended as policy changes. The same engine, invoked again post-submission with a mode flag and its own tax-specific time limits, also delivers amendment/correction</w:t>
            </w:r>
          </w:p>
        </w:tc>
      </w:tr>
      <w:tr>
        <w:tc>
          <w:tcPr>
            <w:tcW w:type="dxa" w:w="2000"/>
            <w:shd w:fill="F2F2F2" w:val="clear"/>
            <w:tcMar>
              <w:top w:type="dxa" w:w="60"/>
              <w:left w:type="dxa" w:w="100"/>
              <w:bottom w:type="dxa" w:w="60"/>
              <w:right w:type="dxa" w:w="100"/>
            </w:tcMar>
          </w:tcPr>
          <w:p>
            <w:r>
              <w:rPr>
                <w:b w:val="false"/>
                <w:bCs w:val="false"/>
                <w:color w:val="000000"/>
                <w:sz w:val="18"/>
                <w:szCs w:val="18"/>
              </w:rPr>
              <w:t xml:space="preserve">(d) Judgement support</w:t>
            </w:r>
          </w:p>
        </w:tc>
        <w:tc>
          <w:tcPr>
            <w:tcW w:type="dxa" w:w="4300"/>
            <w:shd w:fill="F2F2F2" w:val="clear"/>
            <w:tcMar>
              <w:top w:type="dxa" w:w="60"/>
              <w:left w:type="dxa" w:w="100"/>
              <w:bottom w:type="dxa" w:w="60"/>
              <w:right w:type="dxa" w:w="100"/>
            </w:tcMar>
          </w:tcPr>
          <w:p>
            <w:r>
              <w:rPr>
                <w:b w:val="false"/>
                <w:bCs w:val="false"/>
                <w:color w:val="000000"/>
                <w:sz w:val="18"/>
                <w:szCs w:val="18"/>
              </w:rPr>
              <w:t xml:space="preserve">Help the taxpayer resolve classification, valuation or relief-eligibility questions the pack throws up</w:t>
            </w:r>
          </w:p>
        </w:tc>
        <w:tc>
          <w:tcPr>
            <w:tcW w:type="dxa" w:w="3440"/>
            <w:shd w:fill="F2F2F2" w:val="clear"/>
            <w:tcMar>
              <w:top w:type="dxa" w:w="60"/>
              <w:left w:type="dxa" w:w="100"/>
              <w:bottom w:type="dxa" w:w="60"/>
              <w:right w:type="dxa" w:w="100"/>
            </w:tcMar>
          </w:tcPr>
          <w:p>
            <w:r>
              <w:rPr>
                <w:b w:val="false"/>
                <w:bCs w:val="false"/>
                <w:color w:val="000000"/>
                <w:sz w:val="18"/>
                <w:szCs w:val="18"/>
              </w:rPr>
              <w:t xml:space="preserve">guidance_scaffold — retrieval over the relevant manual corpus, conversational reasoning, confidence-gated escalation to a human; content and escalation tuning authored per tax</w:t>
            </w:r>
          </w:p>
        </w:tc>
      </w:tr>
      <w:tr>
        <w:tc>
          <w:tcPr>
            <w:tcW w:type="dxa" w:w="2000"/>
            <w:tcMar>
              <w:top w:type="dxa" w:w="60"/>
              <w:left w:type="dxa" w:w="100"/>
              <w:bottom w:type="dxa" w:w="60"/>
              <w:right w:type="dxa" w:w="100"/>
            </w:tcMar>
          </w:tcPr>
          <w:p>
            <w:r>
              <w:rPr>
                <w:b w:val="false"/>
                <w:bCs w:val="false"/>
                <w:color w:val="000000"/>
                <w:sz w:val="18"/>
                <w:szCs w:val="18"/>
              </w:rPr>
              <w:t xml:space="preserve">(e) Liability calculation</w:t>
            </w:r>
          </w:p>
        </w:tc>
        <w:tc>
          <w:tcPr>
            <w:tcW w:type="dxa" w:w="4300"/>
            <w:tcMar>
              <w:top w:type="dxa" w:w="60"/>
              <w:left w:type="dxa" w:w="100"/>
              <w:bottom w:type="dxa" w:w="60"/>
              <w:right w:type="dxa" w:w="100"/>
            </w:tcMar>
          </w:tcPr>
          <w:p>
            <w:r>
              <w:rPr>
                <w:b w:val="false"/>
                <w:bCs w:val="false"/>
                <w:color w:val="000000"/>
                <w:sz w:val="18"/>
                <w:szCs w:val="18"/>
              </w:rPr>
              <w:t xml:space="preserve">Turn the captured facts into a computed liability figure: sum values, apply bands and thresholds, taper reliefs and allowances, and multiply by the applicable rate</w:t>
            </w:r>
          </w:p>
        </w:tc>
        <w:tc>
          <w:tcPr>
            <w:tcW w:type="dxa" w:w="3440"/>
            <w:tcMar>
              <w:top w:type="dxa" w:w="60"/>
              <w:left w:type="dxa" w:w="100"/>
              <w:bottom w:type="dxa" w:w="60"/>
              <w:right w:type="dxa" w:w="100"/>
            </w:tcMar>
          </w:tcPr>
          <w:p>
            <w:r>
              <w:rPr>
                <w:b w:val="false"/>
                <w:bCs w:val="false"/>
                <w:color w:val="000000"/>
                <w:sz w:val="18"/>
                <w:szCs w:val="18"/>
              </w:rPr>
              <w:t xml:space="preserve">calc_engine — a declarative calculation specification built from a small set of reusable primitives (sum, band/threshold lookup, taper, relief, rate-multiply, time-windowed cumulation), composed differently per tax and configured by data rather than code. Kept distinct from dues_engine, which only handles timing and the consequences of lateness, and from lightweight pre-filing checks such as an improved ready reckoner, which deliberately use a cut-down set of guardrail thresholds rather than the full formula</w:t>
            </w:r>
          </w:p>
        </w:tc>
      </w:tr>
      <w:tr>
        <w:tc>
          <w:tcPr>
            <w:tcW w:type="dxa" w:w="2000"/>
            <w:shd w:fill="F2F2F2" w:val="clear"/>
            <w:tcMar>
              <w:top w:type="dxa" w:w="60"/>
              <w:left w:type="dxa" w:w="100"/>
              <w:bottom w:type="dxa" w:w="60"/>
              <w:right w:type="dxa" w:w="100"/>
            </w:tcMar>
          </w:tcPr>
          <w:p>
            <w:r>
              <w:rPr>
                <w:b w:val="false"/>
                <w:bCs w:val="false"/>
                <w:color w:val="000000"/>
                <w:sz w:val="18"/>
                <w:szCs w:val="18"/>
              </w:rPr>
              <w:t xml:space="preserve">(f) Dues calculation</w:t>
            </w:r>
          </w:p>
        </w:tc>
        <w:tc>
          <w:tcPr>
            <w:tcW w:type="dxa" w:w="4300"/>
            <w:shd w:fill="F2F2F2" w:val="clear"/>
            <w:tcMar>
              <w:top w:type="dxa" w:w="60"/>
              <w:left w:type="dxa" w:w="100"/>
              <w:bottom w:type="dxa" w:w="60"/>
              <w:right w:type="dxa" w:w="100"/>
            </w:tcMar>
          </w:tcPr>
          <w:p>
            <w:r>
              <w:rPr>
                <w:b w:val="false"/>
                <w:bCs w:val="false"/>
                <w:color w:val="000000"/>
                <w:sz w:val="18"/>
                <w:szCs w:val="18"/>
              </w:rPr>
              <w:t xml:space="preserve">For a given tax, compute due date(s), and interest/penalty accrual from the trigger event and elapsed time, given the amount calc_engine has produced</w:t>
            </w:r>
          </w:p>
        </w:tc>
        <w:tc>
          <w:tcPr>
            <w:tcW w:type="dxa" w:w="3440"/>
            <w:shd w:fill="F2F2F2" w:val="clear"/>
            <w:tcMar>
              <w:top w:type="dxa" w:w="60"/>
              <w:left w:type="dxa" w:w="100"/>
              <w:bottom w:type="dxa" w:w="60"/>
              <w:right w:type="dxa" w:w="100"/>
            </w:tcMar>
          </w:tcPr>
          <w:p>
            <w:r>
              <w:rPr>
                <w:b w:val="false"/>
                <w:bCs w:val="false"/>
                <w:color w:val="000000"/>
                <w:sz w:val="18"/>
                <w:szCs w:val="18"/>
              </w:rPr>
              <w:t xml:space="preserve">dues_engine — a rules-per-tax computation; must output a schedule of dates and amounts per liability as standard, not an exception (IHT instalments, Corporation Tax large-company instalments, Customs duty deferment)</w:t>
            </w:r>
          </w:p>
        </w:tc>
      </w:tr>
      <w:tr>
        <w:tc>
          <w:tcPr>
            <w:tcW w:type="dxa" w:w="2000"/>
            <w:tcMar>
              <w:top w:type="dxa" w:w="60"/>
              <w:left w:type="dxa" w:w="100"/>
              <w:bottom w:type="dxa" w:w="60"/>
              <w:right w:type="dxa" w:w="100"/>
            </w:tcMar>
          </w:tcPr>
          <w:p>
            <w:r>
              <w:rPr>
                <w:b w:val="false"/>
                <w:bCs w:val="false"/>
                <w:color w:val="000000"/>
                <w:sz w:val="18"/>
                <w:szCs w:val="18"/>
              </w:rPr>
              <w:t xml:space="preserve">(g) Consolidated liability &amp; payment</w:t>
            </w:r>
          </w:p>
        </w:tc>
        <w:tc>
          <w:tcPr>
            <w:tcW w:type="dxa" w:w="4300"/>
            <w:tcMar>
              <w:top w:type="dxa" w:w="60"/>
              <w:left w:type="dxa" w:w="100"/>
              <w:bottom w:type="dxa" w:w="60"/>
              <w:right w:type="dxa" w:w="100"/>
            </w:tcMar>
          </w:tcPr>
          <w:p>
            <w:r>
              <w:rPr>
                <w:b w:val="false"/>
                <w:bCs w:val="false"/>
                <w:color w:val="000000"/>
                <w:sz w:val="18"/>
                <w:szCs w:val="18"/>
              </w:rPr>
              <w:t xml:space="preserve">Aggregate dues across all taxes for a taxpayer, hold any negotiated arrangement, and track payments against whichever schedule currently governs</w:t>
            </w:r>
          </w:p>
        </w:tc>
        <w:tc>
          <w:tcPr>
            <w:tcW w:type="dxa" w:w="3440"/>
            <w:tcMar>
              <w:top w:type="dxa" w:w="60"/>
              <w:left w:type="dxa" w:w="100"/>
              <w:bottom w:type="dxa" w:w="60"/>
              <w:right w:type="dxa" w:w="100"/>
            </w:tcMar>
          </w:tcPr>
          <w:p>
            <w:r>
              <w:rPr>
                <w:b w:val="false"/>
                <w:bCs w:val="false"/>
                <w:color w:val="000000"/>
                <w:sz w:val="18"/>
                <w:szCs w:val="18"/>
              </w:rPr>
              <w:t xml:space="preserve">ledger_engine — cross-tax and taxpayer-centric, not tax-specific; holds dues_engine's output per tax, any negotiated Time to Pay arrangement (which can itself span multiple taxes), and all payments; produces the one consolidated net-owing position</w:t>
            </w:r>
          </w:p>
        </w:tc>
      </w:tr>
    </w:tbl>
    <w:p>
      <w:pPr>
        <w:pStyle w:val="Heading3"/>
        <w:spacing w:after="60" w:before="180"/>
      </w:pPr>
      <w:r>
        <w:rPr>
          <w:color w:val="1F4E78"/>
        </w:rPr>
        <w:t xml:space="preserve">A placement question worth flagging for calc_engine</w:t>
      </w:r>
    </w:p>
    <w:p>
      <w:pPr>
        <w:spacing w:after="200"/>
      </w:pPr>
      <w:r>
        <w:t xml:space="preserve">HMRC's Enterprise Tax Management Platform — the system of record for tax accounting and payment across more than 45 regimes — is migrating to SAP S/4HANA under a ten-year contract signed in December 2025. That makes dues_engine's and ledger_engine's eventual integration with ETMP close to unavoidable. calc_engine is a different case: tax rates, thresholds and reliefs change on a Budget cycle, sometimes in-year or retrospectively, while a platform of ETMP's scale necessarily carries a slower, more heavily governed change-control cycle. Embedding calc_engine's rule specifications inside that same environment risks every rate or threshold change queuing behind ETMP's release cadence rather than moving at the speed the tax itself demands. That is a genuine trade-off — fewer integration points and no reconciliation risk if embedded, against faster, lower-cost change if kept platform-neutral — best resolved by the platform architecture team with real knowledge of SAP's own rules capability, not something this note can settle.</w:t>
      </w:r>
    </w:p>
    <w:p>
      <w:pPr>
        <w:pStyle w:val="Heading3"/>
        <w:spacing w:after="60" w:before="180"/>
      </w:pPr>
      <w:r>
        <w:rPr>
          <w:color w:val="1F4E78"/>
        </w:rPr>
        <w:t xml:space="preserve">Two further capabilities, built on the seven rather than alongside them</w:t>
      </w:r>
    </w:p>
    <w:p>
      <w:pPr>
        <w:spacing w:after="80"/>
      </w:pPr>
      <w:r>
        <w:t xml:space="preserve">These aren't needed to deliver any single tax, so they sit outside the core table — but they matter as much to the wider mandate, and follow almost for free once the seven above are built consistently:</w:t>
      </w:r>
    </w:p>
    <w:p>
      <w:pPr>
        <w:pStyle w:val="ListParagraph"/>
        <w:numPr>
          <w:ilvl w:val="0"/>
          <w:numId w:val="2"/>
        </w:numPr>
        <w:spacing w:after="60"/>
      </w:pPr>
      <w:r>
        <w:rPr>
          <w:b/>
          <w:bCs/>
        </w:rPr>
        <w:t xml:space="preserve">Obligation dashboard — dashboard_view. </w:t>
      </w:r>
      <w:r>
        <w:t xml:space="preserve">A presentation layer with no independent computation of its own: it queries ledger_engine for what's owed now and why, and lookup_scope/question_engine for obligations a taxpayer is in scope for that haven't yet crystallised into a due.</w:t>
      </w:r>
    </w:p>
    <w:p>
      <w:pPr>
        <w:pStyle w:val="ListParagraph"/>
        <w:numPr>
          <w:ilvl w:val="0"/>
          <w:numId w:val="2"/>
        </w:numPr>
        <w:spacing w:after="100"/>
      </w:pPr>
      <w:r>
        <w:rPr>
          <w:b/>
          <w:bCs/>
        </w:rPr>
        <w:t xml:space="preserve">Segmentation &amp; prompting — prompt_engine. </w:t>
      </w:r>
      <w:r>
        <w:t xml:space="preserve">Runs lookup_scope's own rule definitions outward across the population HMRC already holds data on (past filings, headcount, address, sector), to prompt likely-liable parties before they self-identify, and checks ledger_engine to suppress reprompting once a response is recorded. This matters directly for the tax-gap mandate: a meaningful share of the small-business gap is plausibly people who never realised they had crossed a threshold at all.</w:t>
      </w:r>
    </w:p>
    <w:p>
      <w:pPr>
        <w:pStyle w:val="Heading2"/>
        <w:spacing w:after="80" w:before="60"/>
      </w:pPr>
      <w:r>
        <w:rPr>
          <w:color w:val="1F4E78"/>
        </w:rPr>
        <w:t xml:space="preserve">Why starting with IHT is a stress test, not a soft start</w:t>
      </w:r>
    </w:p>
    <w:p>
      <w:pPr>
        <w:spacing w:after="120"/>
      </w:pPr>
      <w:r>
        <w:t xml:space="preserve">IHT is close to a worst case across most of the seven tasks at once (see Annex B): scope and pack cannot be resolved from data already held, and are instead determined together, in a single pass of question_engine's triage mode, building on HMRC's existing 'ready reckoner' concept; substantive capture needs repeating groups for variable-length lists of assets and gifts; liability calculation must aggregate values, apply nil-rate bands and a taper, and cumulate lifetime gifts over a rolling seven-year window; judgement support carries a high genuine escalation rate (business and agricultural relief, valuation methodology, domicile); dues calculation must output a schedule of dates and amounts, not a single deadline, to cover the 10-year land/business instalment option; and the ledger must support a pre-probate payment channel (the Direct Payment Scheme) and liability that chains from personal representatives to lifetime-gift recipients — a payment and liability model no other tax needs. On top of this, personal representatives are usually doing this once, under unfamiliar duties, while bereaved.</w:t>
      </w:r>
    </w:p>
    <w:p>
      <w:pPr>
        <w:spacing w:after="200"/>
      </w:pPr>
      <w:r>
        <w:t xml:space="preserve">That is not a reason to avoid IHT first — it is a reason to treat it deliberately as the case that proves the platform's interfaces are general enough, provided IHT's specifics are built as configuration and plug-ins sitting on the seven tasks, not hard-coded into them. A calc_engine that can only sum static fields will need rework for IHT's rolling gift window and residence nil-rate band taper; one built with time-windowed cumulation and tapering as native primitives will absorb IHT, and will already cover Corporation Tax's loss and capital allowance carry-forward as a byproduct. A dues_engine built to output a single date only will need rework the moment IHT arrives; one built from the outset to output a schedule of dates and amounts will absorb IHT, and will already cover Customs duty deferment and Corporation Tax large-company instalments as a byproduct. Equally, a ledger_engine built only to track a single amount owed will need rework; one built from the outset to hold negotiated Time to Pay arrangements and liability that chains across parties will absorb IHT without a redesign.</w:t>
      </w:r>
    </w:p>
    <w:p>
      <w:pPr>
        <w:pStyle w:val="Heading2"/>
        <w:spacing w:after="80" w:before="60"/>
      </w:pPr>
      <w:r>
        <w:rPr>
          <w:color w:val="1F4E78"/>
        </w:rPr>
        <w:t xml:space="preserve">Recommendation</w:t>
      </w:r>
    </w:p>
    <w:p>
      <w:pPr>
        <w:pStyle w:val="ListParagraph"/>
        <w:numPr>
          <w:ilvl w:val="0"/>
          <w:numId w:val="2"/>
        </w:numPr>
        <w:spacing w:after="60"/>
      </w:pPr>
      <w:r>
        <w:t xml:space="preserve">Commission the seven core tasks as platform capabilities from the outset — lookup_scope, lookup_pack, question_engine (triage and substance modes), guidance_scaffold, calc_engine, dues_engine and ledger_engine — each configured by a parameter set, or for guidance_scaffold a curated content corpus, rather than tax-specific code.</w:t>
      </w:r>
    </w:p>
    <w:p>
      <w:pPr>
        <w:pStyle w:val="ListParagraph"/>
        <w:numPr>
          <w:ilvl w:val="0"/>
          <w:numId w:val="2"/>
        </w:numPr>
        <w:spacing w:after="60"/>
      </w:pPr>
      <w:r>
        <w:t xml:space="preserve">Let IHT's genuine demands — facts that must be discovered rather than looked up, scope and pack resolved together via triage, a compositional calculation with a rolling time window and tapering, a scheduled rather than single dues output, a pre-probate payment channel, chained liability — set the extension points on question_engine, calc_engine, dues_engine and ledger_engine now, rather than discovering them later at greater cost.</w:t>
      </w:r>
    </w:p>
    <w:p>
      <w:pPr>
        <w:pStyle w:val="ListParagraph"/>
        <w:numPr>
          <w:ilvl w:val="0"/>
          <w:numId w:val="2"/>
        </w:numPr>
        <w:spacing w:after="60"/>
      </w:pPr>
      <w:r>
        <w:t xml:space="preserve">In parallel, validate lookup_scope and lookup_pack against the taxes where they should hold directly (VAT, Landfill Tax, Aggregates Levy, APD, and Corporation Tax's scope test) to confirm they stay genuinely simple lookups and are not quietly absorbing triage-shaped complexity.</w:t>
      </w:r>
    </w:p>
    <w:p>
      <w:pPr>
        <w:pStyle w:val="ListParagraph"/>
        <w:numPr>
          <w:ilvl w:val="0"/>
          <w:numId w:val="2"/>
        </w:numPr>
        <w:spacing w:after="60"/>
      </w:pPr>
      <w:r>
        <w:t xml:space="preserve">Keep IHT's own idiosyncrasies — District Valuer referral, the Direct Payment Scheme, personal-representative-then-donee liability — as configuration and plug-in logic sitting on the shared platform, not embedded in it.</w:t>
      </w:r>
    </w:p>
    <w:p>
      <w:pPr>
        <w:pStyle w:val="ListParagraph"/>
        <w:numPr>
          <w:ilvl w:val="0"/>
          <w:numId w:val="2"/>
        </w:numPr>
        <w:spacing w:after="60"/>
      </w:pPr>
      <w:r>
        <w:t xml:space="preserve">Treat the obligation dashboard and proactive segmentation/prompting as compositions over lookup_scope and ledger_engine, not separate builds — sequencing them once the seven core tasks are stable across two or three taxes, not before.</w:t>
      </w:r>
    </w:p>
    <w:p>
      <w:pPr>
        <w:pStyle w:val="ListParagraph"/>
        <w:numPr>
          <w:ilvl w:val="0"/>
          <w:numId w:val="2"/>
        </w:numPr>
        <w:spacing w:after="60"/>
      </w:pPr>
      <w:r>
        <w:t xml:space="preserve">Treat calc_engine's platform placement — standalone versus embedded in ETMP/SAP — as an open architecture decision, weighing integration simplicity against the change-velocity needs of Budget-driven tax rules; this note does not resolve it.</w:t>
      </w:r>
    </w:p>
    <w:p>
      <w:pPr>
        <w:spacing w:before="100"/>
      </w:pPr>
      <w:r>
        <w:rPr>
          <w:i/>
          <w:iCs/>
        </w:rPr>
        <w:t xml:space="preserve">Followed consistently, this sequencing turns IHT from a one-off, expensive build into the investment that makes every subsequent tax — most of which are individually simpler — incremental rather than bespoke.</w:t>
      </w:r>
    </w:p>
    <w:p>
      <w:r>
        <w:br w:type="page"/>
      </w:r>
    </w:p>
    <w:p>
      <w:pPr>
        <w:pStyle w:val="Heading1"/>
        <w:spacing w:after="120"/>
      </w:pPr>
      <w:r>
        <w:rPr>
          <w:color w:val="1F4E78"/>
        </w:rPr>
        <w:t xml:space="preserve">Annex B — IHT assessed against the seven core tasks</w:t>
      </w:r>
    </w:p>
    <w:p>
      <w:pPr>
        <w:spacing w:after="140"/>
      </w:pPr>
      <w:r>
        <w:t xml:space="preserve">For each task: the general pattern that holds across taxes, and how IHT specifically instantiates it. Dashboard and prompting are omitted, since for IHT — a single, non-recurring filing per estate — they add little beyond what applies generically; both would matter far more for IHT on trusts, which is a genuinely recurring obligation.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740"/>
      </w:tblGrid>
      <w:tr>
        <w:tc>
          <w:tcPr>
            <w:tcW w:type="dxa" w:w="1600"/>
            <w:shd w:fill="1F4E78" w:val="clear"/>
            <w:tcMar>
              <w:top w:type="dxa" w:w="60"/>
              <w:left w:type="dxa" w:w="100"/>
              <w:bottom w:type="dxa" w:w="60"/>
              <w:right w:type="dxa" w:w="100"/>
            </w:tcMar>
          </w:tcPr>
          <w:p>
            <w:r>
              <w:rPr>
                <w:b/>
                <w:bCs/>
                <w:color w:val="FFFFFF"/>
                <w:sz w:val="18"/>
                <w:szCs w:val="18"/>
              </w:rPr>
              <w:t xml:space="preserve">Task</w:t>
            </w:r>
          </w:p>
        </w:tc>
        <w:tc>
          <w:tcPr>
            <w:tcW w:type="dxa" w:w="3400"/>
            <w:shd w:fill="1F4E78" w:val="clear"/>
            <w:tcMar>
              <w:top w:type="dxa" w:w="60"/>
              <w:left w:type="dxa" w:w="100"/>
              <w:bottom w:type="dxa" w:w="60"/>
              <w:right w:type="dxa" w:w="100"/>
            </w:tcMar>
          </w:tcPr>
          <w:p>
            <w:r>
              <w:rPr>
                <w:b/>
                <w:bCs/>
                <w:color w:val="FFFFFF"/>
                <w:sz w:val="18"/>
                <w:szCs w:val="18"/>
              </w:rPr>
              <w:t xml:space="preserve">Essence of the commonality</w:t>
            </w:r>
          </w:p>
        </w:tc>
        <w:tc>
          <w:tcPr>
            <w:tcW w:type="dxa" w:w="4740"/>
            <w:shd w:fill="1F4E78" w:val="clear"/>
            <w:tcMar>
              <w:top w:type="dxa" w:w="60"/>
              <w:left w:type="dxa" w:w="100"/>
              <w:bottom w:type="dxa" w:w="60"/>
              <w:right w:type="dxa" w:w="100"/>
            </w:tcMar>
          </w:tcPr>
          <w:p>
            <w:r>
              <w:rPr>
                <w:b/>
                <w:bCs/>
                <w:color w:val="FFFFFF"/>
                <w:sz w:val="18"/>
                <w:szCs w:val="18"/>
              </w:rPr>
              <w:t xml:space="preserve">IHT-specific instantiation</w:t>
            </w:r>
          </w:p>
        </w:tc>
      </w:tr>
      <w:tr>
        <w:tc>
          <w:tcPr>
            <w:tcW w:type="dxa" w:w="1600"/>
            <w:tcMar>
              <w:top w:type="dxa" w:w="60"/>
              <w:left w:type="dxa" w:w="100"/>
              <w:bottom w:type="dxa" w:w="60"/>
              <w:right w:type="dxa" w:w="100"/>
            </w:tcMar>
          </w:tcPr>
          <w:p>
            <w:r>
              <w:rPr>
                <w:b w:val="false"/>
                <w:bCs w:val="false"/>
                <w:color w:val="000000"/>
                <w:sz w:val="18"/>
                <w:szCs w:val="18"/>
              </w:rPr>
              <w:t xml:space="preserve">(a) Scope determination</w:t>
            </w:r>
          </w:p>
        </w:tc>
        <w:tc>
          <w:tcPr>
            <w:tcW w:type="dxa" w:w="3400"/>
            <w:tcMar>
              <w:top w:type="dxa" w:w="60"/>
              <w:left w:type="dxa" w:w="100"/>
              <w:bottom w:type="dxa" w:w="60"/>
              <w:right w:type="dxa" w:w="100"/>
            </w:tcMar>
          </w:tcPr>
          <w:p>
            <w:r>
              <w:rPr>
                <w:b w:val="false"/>
                <w:bCs w:val="false"/>
                <w:color w:val="000000"/>
                <w:sz w:val="18"/>
                <w:szCs w:val="18"/>
              </w:rPr>
              <w:t xml:space="preserve">Facts about the entity, evaluated against declarative thresholds</w:t>
            </w:r>
          </w:p>
        </w:tc>
        <w:tc>
          <w:tcPr>
            <w:tcW w:type="dxa" w:w="4740"/>
            <w:tcMar>
              <w:top w:type="dxa" w:w="60"/>
              <w:left w:type="dxa" w:w="100"/>
              <w:bottom w:type="dxa" w:w="60"/>
              <w:right w:type="dxa" w:w="100"/>
            </w:tcMar>
          </w:tcPr>
          <w:p>
            <w:r>
              <w:rPr>
                <w:b w:val="false"/>
                <w:bCs w:val="false"/>
                <w:color w:val="000000"/>
                <w:sz w:val="18"/>
                <w:szCs w:val="18"/>
              </w:rPr>
              <w:t xml:space="preserve">Scope cannot be read easily from data already held. A full IHT return alone determines whether IHT is payable. However, HMRC already offer a ready reckoner which, with a carefully worded small set of questions can identify estates for which IHT is not payable. This substantially shortens the journey for the great majority of estates. An improved ready reckoner is a re-use of the question_engine — deliberately a cut-down set of guardrail questions, not an invocation of the full calc_engine formula, so it stays light enough to run ahead of any full filing. Those estates on the borderline, or with known exceptional properties, are passed into the full process, even if the result turns out to be no tax.</w:t>
            </w:r>
          </w:p>
        </w:tc>
      </w:tr>
      <w:tr>
        <w:tc>
          <w:tcPr>
            <w:tcW w:type="dxa" w:w="1600"/>
            <w:shd w:fill="F2F2F2" w:val="clear"/>
            <w:tcMar>
              <w:top w:type="dxa" w:w="60"/>
              <w:left w:type="dxa" w:w="100"/>
              <w:bottom w:type="dxa" w:w="60"/>
              <w:right w:type="dxa" w:w="100"/>
            </w:tcMar>
          </w:tcPr>
          <w:p>
            <w:r>
              <w:rPr>
                <w:b w:val="false"/>
                <w:bCs w:val="false"/>
                <w:color w:val="000000"/>
                <w:sz w:val="18"/>
                <w:szCs w:val="18"/>
              </w:rPr>
              <w:t xml:space="preserve">(b) Pack determination</w:t>
            </w:r>
          </w:p>
        </w:tc>
        <w:tc>
          <w:tcPr>
            <w:tcW w:type="dxa" w:w="3400"/>
            <w:shd w:fill="F2F2F2" w:val="clear"/>
            <w:tcMar>
              <w:top w:type="dxa" w:w="60"/>
              <w:left w:type="dxa" w:w="100"/>
              <w:bottom w:type="dxa" w:w="60"/>
              <w:right w:type="dxa" w:w="100"/>
            </w:tcMar>
          </w:tcPr>
          <w:p>
            <w:r>
              <w:rPr>
                <w:b w:val="false"/>
                <w:bCs w:val="false"/>
                <w:color w:val="000000"/>
                <w:sz w:val="18"/>
                <w:szCs w:val="18"/>
              </w:rPr>
              <w:t xml:space="preserve">Facts + trigger event resolve to the right form set and channel</w:t>
            </w:r>
          </w:p>
        </w:tc>
        <w:tc>
          <w:tcPr>
            <w:tcW w:type="dxa" w:w="4740"/>
            <w:shd w:fill="F2F2F2" w:val="clear"/>
            <w:tcMar>
              <w:top w:type="dxa" w:w="60"/>
              <w:left w:type="dxa" w:w="100"/>
              <w:bottom w:type="dxa" w:w="60"/>
              <w:right w:type="dxa" w:w="100"/>
            </w:tcMar>
          </w:tcPr>
          <w:p>
            <w:r>
              <w:rPr>
                <w:b w:val="false"/>
                <w:bCs w:val="false"/>
                <w:color w:val="000000"/>
                <w:sz w:val="18"/>
                <w:szCs w:val="18"/>
              </w:rPr>
              <w:t xml:space="preserve">The ready reckoner determines the channel (either the full submission, or the excepted estate through the probate registry only), the date of death determines the relevant version of the questions (eg inclusion of pension savings from 2027), and the specific assets which need to be reported can be determined by using the question_engine in triage mode.</w:t>
            </w:r>
          </w:p>
        </w:tc>
      </w:tr>
      <w:tr>
        <w:tc>
          <w:tcPr>
            <w:tcW w:type="dxa" w:w="1600"/>
            <w:tcMar>
              <w:top w:type="dxa" w:w="60"/>
              <w:left w:type="dxa" w:w="100"/>
              <w:bottom w:type="dxa" w:w="60"/>
              <w:right w:type="dxa" w:w="100"/>
            </w:tcMar>
          </w:tcPr>
          <w:p>
            <w:r>
              <w:rPr>
                <w:b w:val="false"/>
                <w:bCs w:val="false"/>
                <w:color w:val="000000"/>
                <w:sz w:val="18"/>
                <w:szCs w:val="18"/>
              </w:rPr>
              <w:t xml:space="preserve">(c) Substantive data capture</w:t>
            </w:r>
          </w:p>
        </w:tc>
        <w:tc>
          <w:tcPr>
            <w:tcW w:type="dxa" w:w="3400"/>
            <w:tcMar>
              <w:top w:type="dxa" w:w="60"/>
              <w:left w:type="dxa" w:w="100"/>
              <w:bottom w:type="dxa" w:w="60"/>
              <w:right w:type="dxa" w:w="100"/>
            </w:tcMar>
          </w:tcPr>
          <w:p>
            <w:r>
              <w:rPr>
                <w:b w:val="false"/>
                <w:bCs w:val="false"/>
                <w:color w:val="000000"/>
                <w:sz w:val="18"/>
                <w:szCs w:val="18"/>
              </w:rPr>
              <w:t xml:space="preserve">Generic question/skip-logic engine, question set as data</w:t>
            </w:r>
          </w:p>
        </w:tc>
        <w:tc>
          <w:tcPr>
            <w:tcW w:type="dxa" w:w="4740"/>
            <w:tcMar>
              <w:top w:type="dxa" w:w="60"/>
              <w:left w:type="dxa" w:w="100"/>
              <w:bottom w:type="dxa" w:w="60"/>
              <w:right w:type="dxa" w:w="100"/>
            </w:tcMar>
          </w:tcPr>
          <w:p>
            <w:r>
              <w:rPr>
                <w:b w:val="false"/>
                <w:bCs w:val="false"/>
                <w:color w:val="000000"/>
                <w:sz w:val="18"/>
                <w:szCs w:val="18"/>
              </w:rPr>
              <w:t xml:space="preserve">question_engine in substance mode</w:t>
            </w:r>
          </w:p>
        </w:tc>
      </w:tr>
      <w:tr>
        <w:tc>
          <w:tcPr>
            <w:tcW w:type="dxa" w:w="1600"/>
            <w:shd w:fill="F2F2F2" w:val="clear"/>
            <w:tcMar>
              <w:top w:type="dxa" w:w="60"/>
              <w:left w:type="dxa" w:w="100"/>
              <w:bottom w:type="dxa" w:w="60"/>
              <w:right w:type="dxa" w:w="100"/>
            </w:tcMar>
          </w:tcPr>
          <w:p>
            <w:r>
              <w:rPr>
                <w:b w:val="false"/>
                <w:bCs w:val="false"/>
                <w:color w:val="000000"/>
                <w:sz w:val="18"/>
                <w:szCs w:val="18"/>
              </w:rPr>
              <w:t xml:space="preserve">(d) Judgement support</w:t>
            </w:r>
          </w:p>
        </w:tc>
        <w:tc>
          <w:tcPr>
            <w:tcW w:type="dxa" w:w="3400"/>
            <w:shd w:fill="F2F2F2" w:val="clear"/>
            <w:tcMar>
              <w:top w:type="dxa" w:w="60"/>
              <w:left w:type="dxa" w:w="100"/>
              <w:bottom w:type="dxa" w:w="60"/>
              <w:right w:type="dxa" w:w="100"/>
            </w:tcMar>
          </w:tcPr>
          <w:p>
            <w:r>
              <w:rPr>
                <w:b w:val="false"/>
                <w:bCs w:val="false"/>
                <w:color w:val="000000"/>
                <w:sz w:val="18"/>
                <w:szCs w:val="18"/>
              </w:rPr>
              <w:t xml:space="preserve">Retrieval and escalation over a manual corpus</w:t>
            </w:r>
          </w:p>
        </w:tc>
        <w:tc>
          <w:tcPr>
            <w:tcW w:type="dxa" w:w="4740"/>
            <w:shd w:fill="F2F2F2" w:val="clear"/>
            <w:tcMar>
              <w:top w:type="dxa" w:w="60"/>
              <w:left w:type="dxa" w:w="100"/>
              <w:bottom w:type="dxa" w:w="60"/>
              <w:right w:type="dxa" w:w="100"/>
            </w:tcMar>
          </w:tcPr>
          <w:p>
            <w:r>
              <w:rPr>
                <w:b w:val="false"/>
                <w:bCs w:val="false"/>
                <w:color w:val="000000"/>
                <w:sz w:val="18"/>
                <w:szCs w:val="18"/>
              </w:rPr>
              <w:t xml:space="preserve">IHT Manual is dense and this is where most genuine contest sits: business/agricultural relief (trading vs. investment tests), gifts-with-reservation-of-benefit, unquoted share and land valuation methodology, domicile determination</w:t>
            </w:r>
          </w:p>
        </w:tc>
      </w:tr>
      <w:tr>
        <w:tc>
          <w:tcPr>
            <w:tcW w:type="dxa" w:w="1600"/>
            <w:tcMar>
              <w:top w:type="dxa" w:w="60"/>
              <w:left w:type="dxa" w:w="100"/>
              <w:bottom w:type="dxa" w:w="60"/>
              <w:right w:type="dxa" w:w="100"/>
            </w:tcMar>
          </w:tcPr>
          <w:p>
            <w:r>
              <w:rPr>
                <w:b w:val="false"/>
                <w:bCs w:val="false"/>
                <w:color w:val="000000"/>
                <w:sz w:val="18"/>
                <w:szCs w:val="18"/>
              </w:rPr>
              <w:t xml:space="preserve">(e) Liability calculation</w:t>
            </w:r>
          </w:p>
        </w:tc>
        <w:tc>
          <w:tcPr>
            <w:tcW w:type="dxa" w:w="3400"/>
            <w:tcMar>
              <w:top w:type="dxa" w:w="60"/>
              <w:left w:type="dxa" w:w="100"/>
              <w:bottom w:type="dxa" w:w="60"/>
              <w:right w:type="dxa" w:w="100"/>
            </w:tcMar>
          </w:tcPr>
          <w:p>
            <w:r>
              <w:rPr>
                <w:b w:val="false"/>
                <w:bCs w:val="false"/>
                <w:color w:val="000000"/>
                <w:sz w:val="18"/>
                <w:szCs w:val="18"/>
              </w:rPr>
              <w:t xml:space="preserve">A small set of reusable calculation primitives (sum, band/threshold lookup, taper, rate-multiply, time-windowed cumulation), composed per tax</w:t>
            </w:r>
          </w:p>
        </w:tc>
        <w:tc>
          <w:tcPr>
            <w:tcW w:type="dxa" w:w="4740"/>
            <w:tcMar>
              <w:top w:type="dxa" w:w="60"/>
              <w:left w:type="dxa" w:w="100"/>
              <w:bottom w:type="dxa" w:w="60"/>
              <w:right w:type="dxa" w:w="100"/>
            </w:tcMar>
          </w:tcPr>
          <w:p>
            <w:r>
              <w:rPr>
                <w:b w:val="false"/>
                <w:bCs w:val="false"/>
                <w:color w:val="000000"/>
                <w:sz w:val="18"/>
                <w:szCs w:val="18"/>
              </w:rPr>
              <w:t xml:space="preserve">calc_engine composes: sum(assets) minus sum(liabilities) minus reliefs (business/agricultural relief at their respective percentages) minus allowances (nil-rate band, transferable nil-rate band, residence nil-rate band with its own £2m taper) to give the taxable estate; then rate-multiply at 40% (36% if enough passes to charity). Lifetime gifts add a rolling seven-year time-windowed cumulation, with a further taper applied to the tax itself (not the estate) on gifts made 3–7 years before death. Every step is a generic primitive used elsewhere too — Corporation Tax's carry-forward of losses and capital allowances needs the same time-windowed cumulation primitive — so IHT's calculation is complex, not structurally unique</w:t>
            </w:r>
          </w:p>
        </w:tc>
      </w:tr>
      <w:tr>
        <w:tc>
          <w:tcPr>
            <w:tcW w:type="dxa" w:w="1600"/>
            <w:shd w:fill="F2F2F2" w:val="clear"/>
            <w:tcMar>
              <w:top w:type="dxa" w:w="60"/>
              <w:left w:type="dxa" w:w="100"/>
              <w:bottom w:type="dxa" w:w="60"/>
              <w:right w:type="dxa" w:w="100"/>
            </w:tcMar>
          </w:tcPr>
          <w:p>
            <w:r>
              <w:rPr>
                <w:b w:val="false"/>
                <w:bCs w:val="false"/>
                <w:color w:val="000000"/>
                <w:sz w:val="18"/>
                <w:szCs w:val="18"/>
              </w:rPr>
              <w:t xml:space="preserve">(f) Dues calculation</w:t>
            </w:r>
          </w:p>
        </w:tc>
        <w:tc>
          <w:tcPr>
            <w:tcW w:type="dxa" w:w="3400"/>
            <w:shd w:fill="F2F2F2" w:val="clear"/>
            <w:tcMar>
              <w:top w:type="dxa" w:w="60"/>
              <w:left w:type="dxa" w:w="100"/>
              <w:bottom w:type="dxa" w:w="60"/>
              <w:right w:type="dxa" w:w="100"/>
            </w:tcMar>
          </w:tcPr>
          <w:p>
            <w:r>
              <w:rPr>
                <w:b w:val="false"/>
                <w:bCs w:val="false"/>
                <w:color w:val="000000"/>
                <w:sz w:val="18"/>
                <w:szCs w:val="18"/>
              </w:rPr>
              <w:t xml:space="preserve">Trigger event + offset generates due date(s) and amounts</w:t>
            </w:r>
          </w:p>
        </w:tc>
        <w:tc>
          <w:tcPr>
            <w:tcW w:type="dxa" w:w="4740"/>
            <w:shd w:fill="F2F2F2" w:val="clear"/>
            <w:tcMar>
              <w:top w:type="dxa" w:w="60"/>
              <w:left w:type="dxa" w:w="100"/>
              <w:bottom w:type="dxa" w:w="60"/>
              <w:right w:type="dxa" w:w="100"/>
            </w:tcMar>
          </w:tcPr>
          <w:p>
            <w:r>
              <w:rPr>
                <w:b w:val="false"/>
                <w:bCs w:val="false"/>
                <w:color w:val="000000"/>
                <w:sz w:val="18"/>
                <w:szCs w:val="18"/>
              </w:rPr>
              <w:t xml:space="preserve">Two deadlines off one trigger — account due 12 months after month-end of death, tax due (interest starts) at 6 months — plus a 10-year instalment option for land/business assets, needing dues_engine to output a genuine schedule, not one date, but this is needed for other taxes too.</w:t>
            </w:r>
          </w:p>
        </w:tc>
      </w:tr>
      <w:tr>
        <w:tc>
          <w:tcPr>
            <w:tcW w:type="dxa" w:w="1600"/>
            <w:tcMar>
              <w:top w:type="dxa" w:w="60"/>
              <w:left w:type="dxa" w:w="100"/>
              <w:bottom w:type="dxa" w:w="60"/>
              <w:right w:type="dxa" w:w="100"/>
            </w:tcMar>
          </w:tcPr>
          <w:p>
            <w:r>
              <w:rPr>
                <w:b w:val="false"/>
                <w:bCs w:val="false"/>
                <w:color w:val="000000"/>
                <w:sz w:val="18"/>
                <w:szCs w:val="18"/>
              </w:rPr>
              <w:t xml:space="preserve">(g) Consolidated liability &amp; payment</w:t>
            </w:r>
          </w:p>
        </w:tc>
        <w:tc>
          <w:tcPr>
            <w:tcW w:type="dxa" w:w="3400"/>
            <w:tcMar>
              <w:top w:type="dxa" w:w="60"/>
              <w:left w:type="dxa" w:w="100"/>
              <w:bottom w:type="dxa" w:w="60"/>
              <w:right w:type="dxa" w:w="100"/>
            </w:tcMar>
          </w:tcPr>
          <w:p>
            <w:r>
              <w:rPr>
                <w:b w:val="false"/>
                <w:bCs w:val="false"/>
                <w:color w:val="000000"/>
                <w:sz w:val="18"/>
                <w:szCs w:val="18"/>
              </w:rPr>
              <w:t xml:space="preserve">Amount due, due date, payment tracking, across all of a taxpayer's obligations</w:t>
            </w:r>
          </w:p>
        </w:tc>
        <w:tc>
          <w:tcPr>
            <w:tcW w:type="dxa" w:w="4740"/>
            <w:tcMar>
              <w:top w:type="dxa" w:w="60"/>
              <w:left w:type="dxa" w:w="100"/>
              <w:bottom w:type="dxa" w:w="60"/>
              <w:right w:type="dxa" w:w="100"/>
            </w:tcMar>
          </w:tcPr>
          <w:p>
            <w:r>
              <w:rPr>
                <w:b w:val="false"/>
                <w:bCs w:val="false"/>
                <w:color w:val="000000"/>
                <w:sz w:val="18"/>
                <w:szCs w:val="18"/>
              </w:rPr>
              <w:t xml:space="preserve">Tax is often due before probate is granted, so payment routes through the Direct Payment Scheme (banks paying HMRC directly from the deceased's accounts) or bridging loans — a pre-probate payment channel no other tax needs. Liability also chains: personal representatives first, then lifetime-gift recipients if the estate can't pay. There are judgements to be made about how much of this is properly included in ledger_engine, and what might be built on top of a ledger_engine initially working at the level of the estate.</w:t>
            </w:r>
          </w:p>
        </w:tc>
      </w:tr>
    </w:tbl>
    <w:p>
      <w:pPr>
        <w:pStyle w:val="Heading2"/>
        <w:spacing w:after="80" w:before="220"/>
      </w:pPr>
      <w:r>
        <w:rPr>
          <w:color w:val="1F4E78"/>
        </w:rPr>
        <w:t xml:space="preserve">What the tasks do not touch</w:t>
      </w:r>
    </w:p>
    <w:p>
      <w:pPr>
        <w:pStyle w:val="ListParagraph"/>
        <w:numPr>
          <w:ilvl w:val="0"/>
          <w:numId w:val="2"/>
        </w:numPr>
        <w:spacing w:after="60"/>
      </w:pPr>
      <w:r>
        <w:rPr>
          <w:b/>
          <w:bCs/>
        </w:rPr>
        <w:t xml:space="preserve">The valuations themselves. </w:t>
      </w:r>
      <w:r>
        <w:t xml:space="preserve">No engine computes what a house, an unquoted shareholding, or a farm is worth; guidance_scaffold can point to the right process (e.g. referral to the District Valuer) but the number is an external, human input.</w:t>
      </w:r>
    </w:p>
    <w:p>
      <w:pPr>
        <w:pStyle w:val="ListParagraph"/>
        <w:numPr>
          <w:ilvl w:val="0"/>
          <w:numId w:val="2"/>
        </w:numPr>
        <w:spacing w:after="60"/>
      </w:pPr>
      <w:r>
        <w:rPr>
          <w:b/>
          <w:bCs/>
        </w:rPr>
        <w:t xml:space="preserve">Third-party data gathering. </w:t>
      </w:r>
      <w:r>
        <w:t xml:space="preserve">Much of the real burden is chasing data out of banks, pension providers, insurers and Land Registry — institutions under no obligation to respond quickly or digitally. Unlike VAT or PAYE, the taxpayer's own records don't already hold the numbers.</w:t>
      </w:r>
    </w:p>
    <w:p>
      <w:pPr>
        <w:pStyle w:val="ListParagraph"/>
        <w:numPr>
          <w:ilvl w:val="0"/>
          <w:numId w:val="2"/>
        </w:numPr>
        <w:spacing w:after="60"/>
      </w:pPr>
      <w:r>
        <w:rPr>
          <w:b/>
          <w:bCs/>
        </w:rPr>
        <w:t xml:space="preserve">Interdependency with probate/HMCTS. </w:t>
      </w:r>
      <w:r>
        <w:t xml:space="preserve">IHT and the grant of probate are locked together — the grant can't be obtained without paying the tax, and estate funds can't easily be accessed without the grant — but the two run on separate systems in different parts of government.</w:t>
      </w:r>
    </w:p>
    <w:p>
      <w:pPr>
        <w:pStyle w:val="ListParagraph"/>
        <w:numPr>
          <w:ilvl w:val="0"/>
          <w:numId w:val="2"/>
        </w:numPr>
        <w:spacing w:after="60"/>
      </w:pPr>
      <w:r>
        <w:rPr>
          <w:b/>
          <w:bCs/>
        </w:rPr>
        <w:t xml:space="preserve">Bereavement context. </w:t>
      </w:r>
      <w:r>
        <w:t xml:space="preserve">Personal representatives are usually grieving, often doing this once in their life, under unfamiliar legal duties — a tone and pacing problem sitting above all seven tasks rather than inside any one of them.</w:t>
      </w:r>
    </w:p>
    <w:p>
      <w:r>
        <w:br w:type="page"/>
      </w:r>
    </w:p>
    <w:p>
      <w:pPr>
        <w:pStyle w:val="Heading1"/>
        <w:spacing w:after="120"/>
      </w:pPr>
      <w:r>
        <w:rPr>
          <w:color w:val="1F4E78"/>
        </w:rPr>
        <w:t xml:space="preserve">Annex C — an AI agent pattern for judgement-heavy guidance</w:t>
      </w:r>
    </w:p>
    <w:p>
      <w:pPr>
        <w:spacing w:after="160"/>
      </w:pPr>
      <w:r>
        <w:t xml:space="preserve">Task (d), judgement support, is not parameter-driven in the same sense as the others — nobody can turn IHT business relief into a rule table — but the delivery pipeline around it, guidance_scaffold, is reusable. The pattern has four stages, each with its own design questions.</w:t>
      </w:r>
    </w:p>
    <w:p>
      <w:pPr>
        <w:pStyle w:val="Heading2"/>
        <w:spacing w:after="60" w:before="60"/>
      </w:pPr>
      <w:r>
        <w:rPr>
          <w:color w:val="1F4E78"/>
        </w:rPr>
        <w:t xml:space="preserve">1. Grounding</w:t>
      </w:r>
    </w:p>
    <w:p>
      <w:pPr>
        <w:spacing w:after="140"/>
      </w:pPr>
      <w:r>
        <w:t xml:space="preserve">HMRC's manuals (SDLTM, IHTM, CTM and so on) are large and cross-referenced; an ungrounded query returns plausible-sounding but wrong material. Feeding in the taxpayer's actual facts — entity type, transaction type, values, dates, ideally sourced from lookup_scope/question_engine rather than re-elicited — narrows retrieval to the right manual and section before any reasoning starts.</w:t>
      </w:r>
    </w:p>
    <w:p>
      <w:pPr>
        <w:pStyle w:val="Heading2"/>
        <w:spacing w:after="60" w:before="60"/>
      </w:pPr>
      <w:r>
        <w:rPr>
          <w:color w:val="1F4E78"/>
        </w:rPr>
        <w:t xml:space="preserve">2. Guidance versus law</w:t>
      </w:r>
    </w:p>
    <w:p>
      <w:pPr>
        <w:spacing w:after="140"/>
      </w:pPr>
      <w:r>
        <w:t xml:space="preserve">The manuals are HMRC's interpretation of legislation, not the legislation itself, and HMRC has on occasion lost tribunal cases where its own guidance was successfully challenged. A well-designed agent distinguishes "here is what the manual says" from "here is what the statute requires," and flags where the manual itself notes it has been updated following a tribunal decision. Collapsing the two into one confident answer is the failure mode to design out from the start.</w:t>
      </w:r>
    </w:p>
    <w:p>
      <w:pPr>
        <w:pStyle w:val="Heading2"/>
        <w:spacing w:after="60" w:before="60"/>
      </w:pPr>
      <w:r>
        <w:rPr>
          <w:color w:val="1F4E78"/>
        </w:rPr>
        <w:t xml:space="preserve">3. Conversational reasoning</w:t>
      </w:r>
    </w:p>
    <w:p>
      <w:pPr>
        <w:spacing w:after="140"/>
      </w:pPr>
      <w:r>
        <w:t xml:space="preserve">Where a fact needed to resolve a judgement is missing (a mixed-use SDLT test needs to know what's actually on the land; IHT business relief needs to know what the business does), the agent should ask rather than guess or silently assume the simplest case — the same posture a good adviser takes, and a different one from question_engine's pre-defined branches.</w:t>
      </w:r>
    </w:p>
    <w:p>
      <w:pPr>
        <w:pStyle w:val="Heading2"/>
        <w:spacing w:after="60" w:before="60"/>
      </w:pPr>
      <w:r>
        <w:rPr>
          <w:color w:val="1F4E78"/>
        </w:rPr>
        <w:t xml:space="preserve">4. Confidence and escalation to a human</w:t>
      </w:r>
    </w:p>
    <w:p>
      <w:pPr>
        <w:spacing w:after="80"/>
      </w:pPr>
      <w:r>
        <w:t xml:space="preserve">The escalation trigger needs to be operationalised, not left as a vague sense that the agent is unsure. Candidate triggers:</w:t>
      </w:r>
    </w:p>
    <w:p>
      <w:pPr>
        <w:pStyle w:val="ListParagraph"/>
        <w:numPr>
          <w:ilvl w:val="0"/>
          <w:numId w:val="2"/>
        </w:numPr>
        <w:spacing w:after="40"/>
      </w:pPr>
      <w:r>
        <w:t xml:space="preserve">Retrieved guidance is itself equivocal, contested, or flagged as under review or in litigation</w:t>
      </w:r>
    </w:p>
    <w:p>
      <w:pPr>
        <w:pStyle w:val="ListParagraph"/>
        <w:numPr>
          <w:ilvl w:val="0"/>
          <w:numId w:val="2"/>
        </w:numPr>
        <w:spacing w:after="40"/>
      </w:pPr>
      <w:r>
        <w:t xml:space="preserve">The fact pattern sits near a boundary the manual itself describes as fact-sensitive</w:t>
      </w:r>
    </w:p>
    <w:p>
      <w:pPr>
        <w:pStyle w:val="ListParagraph"/>
        <w:numPr>
          <w:ilvl w:val="0"/>
          <w:numId w:val="2"/>
        </w:numPr>
        <w:spacing w:after="40"/>
      </w:pPr>
      <w:r>
        <w:t xml:space="preserve">Financial materiality above a configurable threshold</w:t>
      </w:r>
    </w:p>
    <w:p>
      <w:pPr>
        <w:pStyle w:val="ListParagraph"/>
        <w:numPr>
          <w:ilvl w:val="0"/>
          <w:numId w:val="2"/>
        </w:numPr>
        <w:spacing w:after="40"/>
      </w:pPr>
      <w:r>
        <w:t xml:space="preserve">Known high-risk categories — anti-avoidance provisions, cross-border matters, valuation judgements without a safe harbour</w:t>
      </w:r>
    </w:p>
    <w:p>
      <w:pPr>
        <w:pStyle w:val="ListParagraph"/>
        <w:numPr>
          <w:ilvl w:val="0"/>
          <w:numId w:val="2"/>
        </w:numPr>
        <w:spacing w:after="140"/>
      </w:pPr>
      <w:r>
        <w:t xml:space="preserve">The taxpayer signals intent to rely on the answer for an actual filing position, not just general understanding</w:t>
      </w:r>
    </w:p>
    <w:p>
      <w:pPr>
        <w:pStyle w:val="Heading2"/>
        <w:spacing w:after="60" w:before="60"/>
      </w:pPr>
      <w:r>
        <w:rPr>
          <w:color w:val="1F4E78"/>
        </w:rPr>
        <w:t xml:space="preserve">Making this compound rather than merely work</w:t>
      </w:r>
    </w:p>
    <w:p>
      <w:pPr>
        <w:pStyle w:val="ListParagraph"/>
        <w:numPr>
          <w:ilvl w:val="0"/>
          <w:numId w:val="2"/>
        </w:numPr>
        <w:spacing w:after="60"/>
      </w:pPr>
      <w:r>
        <w:rPr>
          <w:b/>
          <w:bCs/>
        </w:rPr>
        <w:t xml:space="preserve">Auditability. </w:t>
      </w:r>
      <w:r>
        <w:t xml:space="preserve">Log the facts used, the manual passages cited (with version and date, since manuals are updated), and the answer given — protecting the taxpayer if guidance later changes, and HMRC if a dispute arises about what was said.</w:t>
      </w:r>
    </w:p>
    <w:p>
      <w:pPr>
        <w:pStyle w:val="ListParagraph"/>
        <w:numPr>
          <w:ilvl w:val="0"/>
          <w:numId w:val="2"/>
        </w:numPr>
        <w:spacing w:after="60"/>
      </w:pPr>
      <w:r>
        <w:rPr>
          <w:b/>
          <w:bCs/>
        </w:rPr>
        <w:t xml:space="preserve">Escalation harvesting. </w:t>
      </w:r>
      <w:r>
        <w:t xml:space="preserve">Every human-resolved escalation is a data point about a boundary the agent couldn't handle. Feeding curated resolutions back into the retrieval corpus should reduce the escalation rate on that judgement type over time, turning guidance_scaffold into a growing asset rather than a static one.</w:t>
      </w:r>
    </w:p>
    <w:p>
      <w:pPr>
        <w:spacing w:before="60"/>
      </w:pPr>
      <w:r>
        <w:rPr>
          <w:i/>
          <w:iCs/>
        </w:rPr>
        <w:t xml:space="preserve">As with the other tasks, the pipeline itself — which corpus to retrieve against, which escalation route to use, what confidence and materiality thresholds apply — can be configuration per tax area. Only the underlying content and escalation tuning has to be authored tax-by-tax, by people who know the tax.</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2026-07-10T10:42:32.689Z</dcterms:created>
  <dcterms:modified xsi:type="dcterms:W3CDTF">2026-07-10T10:42:32.700Z</dcterms:modified>
</cp:coreProperties>
</file>

<file path=docProps/custom.xml><?xml version="1.0" encoding="utf-8"?>
<Properties xmlns="http://schemas.openxmlformats.org/officeDocument/2006/custom-properties" xmlns:vt="http://schemas.openxmlformats.org/officeDocument/2006/docPropsVTypes"/>
</file>