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F0A9" w14:textId="77777777" w:rsidR="0075109C" w:rsidRPr="0075109C" w:rsidRDefault="0075109C" w:rsidP="0075109C">
      <w:pPr>
        <w:jc w:val="cente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b/>
          <w:bCs/>
          <w:color w:val="000000"/>
          <w:kern w:val="0"/>
          <w:sz w:val="28"/>
          <w:szCs w:val="28"/>
          <w:lang w:eastAsia="en-GB"/>
          <w14:ligatures w14:val="none"/>
        </w:rPr>
        <w:t>Data driven data capture</w:t>
      </w:r>
    </w:p>
    <w:p w14:paraId="667D44F4"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6ECB425E"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b/>
          <w:bCs/>
          <w:color w:val="000000"/>
          <w:kern w:val="0"/>
          <w:sz w:val="22"/>
          <w:szCs w:val="22"/>
          <w:u w:val="single"/>
          <w:lang w:eastAsia="en-GB"/>
          <w14:ligatures w14:val="none"/>
        </w:rPr>
        <w:t>Executive Summary</w:t>
      </w:r>
    </w:p>
    <w:p w14:paraId="06BE086A"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43556C27"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A characteristic of nearly all taxes, and all customs authorisations, is the </w:t>
      </w:r>
      <w:r w:rsidRPr="0075109C">
        <w:rPr>
          <w:rFonts w:ascii="Arial" w:eastAsia="Times New Roman" w:hAnsi="Arial" w:cs="Arial"/>
          <w:b/>
          <w:bCs/>
          <w:i/>
          <w:iCs/>
          <w:color w:val="000000"/>
          <w:kern w:val="0"/>
          <w:sz w:val="22"/>
          <w:szCs w:val="22"/>
          <w:lang w:eastAsia="en-GB"/>
          <w14:ligatures w14:val="none"/>
        </w:rPr>
        <w:t>need for the taxpayer/trader, or their agent, to supply HMRC with data</w:t>
      </w:r>
      <w:r w:rsidRPr="0075109C">
        <w:rPr>
          <w:rFonts w:ascii="Arial" w:eastAsia="Times New Roman" w:hAnsi="Arial" w:cs="Arial"/>
          <w:color w:val="000000"/>
          <w:kern w:val="0"/>
          <w:sz w:val="22"/>
          <w:szCs w:val="22"/>
          <w:lang w:eastAsia="en-GB"/>
          <w14:ligatures w14:val="none"/>
        </w:rPr>
        <w:t>. Inheritance Tax alone runs to as many as x potential schedules, most of which are formed of multiple logical sections, each with many questions. An application for a Deferred Duty Authorisation similarly has multiple sections, each with many questions. The main exceptions to this pattern are VAT (where data are now reported directly from accounting systems under MTD), and PAYE (where most employees do not need to complete any returns for their Income Tax and National Insurance obligations).</w:t>
      </w:r>
    </w:p>
    <w:p w14:paraId="3F22DD00"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378511C2"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In the context of HMRC’s Transformation Goals, we need to find a way in which all this data gathering</w:t>
      </w:r>
    </w:p>
    <w:p w14:paraId="07070144" w14:textId="77777777" w:rsidR="0075109C" w:rsidRPr="0075109C" w:rsidRDefault="0075109C" w:rsidP="0075109C">
      <w:pPr>
        <w:numPr>
          <w:ilvl w:val="0"/>
          <w:numId w:val="1"/>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can be </w:t>
      </w:r>
      <w:r w:rsidRPr="0075109C">
        <w:rPr>
          <w:rFonts w:ascii="Arial" w:eastAsia="Times New Roman" w:hAnsi="Arial" w:cs="Arial"/>
          <w:b/>
          <w:bCs/>
          <w:i/>
          <w:iCs/>
          <w:color w:val="000000"/>
          <w:kern w:val="0"/>
          <w:sz w:val="22"/>
          <w:szCs w:val="22"/>
          <w:lang w:eastAsia="en-GB"/>
          <w14:ligatures w14:val="none"/>
        </w:rPr>
        <w:t>set-up quickly</w:t>
      </w:r>
    </w:p>
    <w:p w14:paraId="32C8539D" w14:textId="77777777" w:rsidR="0075109C" w:rsidRPr="0075109C" w:rsidRDefault="0075109C" w:rsidP="0075109C">
      <w:pPr>
        <w:numPr>
          <w:ilvl w:val="0"/>
          <w:numId w:val="1"/>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b/>
          <w:bCs/>
          <w:i/>
          <w:iCs/>
          <w:color w:val="000000"/>
          <w:kern w:val="0"/>
          <w:sz w:val="22"/>
          <w:szCs w:val="22"/>
          <w:lang w:eastAsia="en-GB"/>
          <w14:ligatures w14:val="none"/>
        </w:rPr>
        <w:t>maintained easily</w:t>
      </w:r>
      <w:r w:rsidRPr="0075109C">
        <w:rPr>
          <w:rFonts w:ascii="Arial" w:eastAsia="Times New Roman" w:hAnsi="Arial" w:cs="Arial"/>
          <w:color w:val="000000"/>
          <w:kern w:val="0"/>
          <w:sz w:val="22"/>
          <w:szCs w:val="22"/>
          <w:lang w:eastAsia="en-GB"/>
          <w14:ligatures w14:val="none"/>
        </w:rPr>
        <w:t>, as tax/trader policies and compliance processes inevitably change, and in response to user feedback;</w:t>
      </w:r>
    </w:p>
    <w:p w14:paraId="4A3C7391" w14:textId="77777777" w:rsidR="0075109C" w:rsidRPr="0075109C" w:rsidRDefault="0075109C" w:rsidP="0075109C">
      <w:pPr>
        <w:numPr>
          <w:ilvl w:val="0"/>
          <w:numId w:val="1"/>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in a way which </w:t>
      </w:r>
      <w:r w:rsidRPr="0075109C">
        <w:rPr>
          <w:rFonts w:ascii="Arial" w:eastAsia="Times New Roman" w:hAnsi="Arial" w:cs="Arial"/>
          <w:b/>
          <w:bCs/>
          <w:i/>
          <w:iCs/>
          <w:color w:val="000000"/>
          <w:kern w:val="0"/>
          <w:sz w:val="22"/>
          <w:szCs w:val="22"/>
          <w:lang w:eastAsia="en-GB"/>
          <w14:ligatures w14:val="none"/>
        </w:rPr>
        <w:t>enables policy and compliance teams to test new questions</w:t>
      </w:r>
      <w:r w:rsidRPr="0075109C">
        <w:rPr>
          <w:rFonts w:ascii="Arial" w:eastAsia="Times New Roman" w:hAnsi="Arial" w:cs="Arial"/>
          <w:color w:val="000000"/>
          <w:kern w:val="0"/>
          <w:sz w:val="22"/>
          <w:szCs w:val="22"/>
          <w:lang w:eastAsia="en-GB"/>
          <w14:ligatures w14:val="none"/>
        </w:rPr>
        <w:t xml:space="preserve"> without needing to stand up a new digital team;</w:t>
      </w:r>
    </w:p>
    <w:p w14:paraId="0C2A7119" w14:textId="77777777" w:rsidR="0075109C" w:rsidRPr="0075109C" w:rsidRDefault="0075109C" w:rsidP="0075109C">
      <w:pPr>
        <w:numPr>
          <w:ilvl w:val="0"/>
          <w:numId w:val="1"/>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enabling </w:t>
      </w:r>
      <w:r w:rsidRPr="0075109C">
        <w:rPr>
          <w:rFonts w:ascii="Arial" w:eastAsia="Times New Roman" w:hAnsi="Arial" w:cs="Arial"/>
          <w:b/>
          <w:bCs/>
          <w:i/>
          <w:iCs/>
          <w:color w:val="000000"/>
          <w:kern w:val="0"/>
          <w:sz w:val="22"/>
          <w:szCs w:val="22"/>
          <w:lang w:eastAsia="en-GB"/>
          <w14:ligatures w14:val="none"/>
        </w:rPr>
        <w:t>the use of AI Agents in due course</w:t>
      </w:r>
      <w:r w:rsidRPr="0075109C">
        <w:rPr>
          <w:rFonts w:ascii="Arial" w:eastAsia="Times New Roman" w:hAnsi="Arial" w:cs="Arial"/>
          <w:color w:val="000000"/>
          <w:kern w:val="0"/>
          <w:sz w:val="22"/>
          <w:szCs w:val="22"/>
          <w:lang w:eastAsia="en-GB"/>
          <w14:ligatures w14:val="none"/>
        </w:rPr>
        <w:t xml:space="preserve"> to support staff and customers, without substantial rework;</w:t>
      </w:r>
    </w:p>
    <w:p w14:paraId="53418361" w14:textId="77777777" w:rsidR="0075109C" w:rsidRPr="0075109C" w:rsidRDefault="0075109C" w:rsidP="0075109C">
      <w:pPr>
        <w:numPr>
          <w:ilvl w:val="0"/>
          <w:numId w:val="1"/>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meeting HMRC’s principles to </w:t>
      </w:r>
      <w:r w:rsidRPr="0075109C">
        <w:rPr>
          <w:rFonts w:ascii="Arial" w:eastAsia="Times New Roman" w:hAnsi="Arial" w:cs="Arial"/>
          <w:b/>
          <w:bCs/>
          <w:i/>
          <w:iCs/>
          <w:color w:val="000000"/>
          <w:kern w:val="0"/>
          <w:sz w:val="22"/>
          <w:szCs w:val="22"/>
          <w:lang w:eastAsia="en-GB"/>
          <w14:ligatures w14:val="none"/>
        </w:rPr>
        <w:t xml:space="preserve">Adopt not Adapt </w:t>
      </w:r>
      <w:r w:rsidRPr="0075109C">
        <w:rPr>
          <w:rFonts w:ascii="Arial" w:eastAsia="Times New Roman" w:hAnsi="Arial" w:cs="Arial"/>
          <w:color w:val="000000"/>
          <w:kern w:val="0"/>
          <w:sz w:val="22"/>
          <w:szCs w:val="22"/>
          <w:lang w:eastAsia="en-GB"/>
          <w14:ligatures w14:val="none"/>
        </w:rPr>
        <w:t xml:space="preserve">its E-CRM platform, and to </w:t>
      </w:r>
      <w:r w:rsidRPr="0075109C">
        <w:rPr>
          <w:rFonts w:ascii="Arial" w:eastAsia="Times New Roman" w:hAnsi="Arial" w:cs="Arial"/>
          <w:b/>
          <w:bCs/>
          <w:i/>
          <w:iCs/>
          <w:color w:val="000000"/>
          <w:kern w:val="0"/>
          <w:sz w:val="22"/>
          <w:szCs w:val="22"/>
          <w:lang w:eastAsia="en-GB"/>
          <w14:ligatures w14:val="none"/>
        </w:rPr>
        <w:t>re-use capabilities across the enterprise</w:t>
      </w:r>
      <w:r w:rsidRPr="0075109C">
        <w:rPr>
          <w:rFonts w:ascii="Arial" w:eastAsia="Times New Roman" w:hAnsi="Arial" w:cs="Arial"/>
          <w:color w:val="000000"/>
          <w:kern w:val="0"/>
          <w:sz w:val="22"/>
          <w:szCs w:val="22"/>
          <w:lang w:eastAsia="en-GB"/>
          <w14:ligatures w14:val="none"/>
        </w:rPr>
        <w:t>.</w:t>
      </w:r>
    </w:p>
    <w:p w14:paraId="1359FC07"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7E265F92"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This combination takes us beyond the </w:t>
      </w:r>
      <w:hyperlink r:id="rId5" w:history="1">
        <w:r w:rsidRPr="0075109C">
          <w:rPr>
            <w:rFonts w:ascii="Arial" w:eastAsia="Times New Roman" w:hAnsi="Arial" w:cs="Arial"/>
            <w:color w:val="0000FF"/>
            <w:kern w:val="0"/>
            <w:sz w:val="22"/>
            <w:szCs w:val="22"/>
            <w:u w:val="single"/>
            <w:lang w:eastAsia="en-GB"/>
            <w14:ligatures w14:val="none"/>
          </w:rPr>
          <w:t>Gov.UK</w:t>
        </w:r>
      </w:hyperlink>
      <w:r w:rsidRPr="0075109C">
        <w:rPr>
          <w:rFonts w:ascii="Arial" w:eastAsia="Times New Roman" w:hAnsi="Arial" w:cs="Arial"/>
          <w:color w:val="000000"/>
          <w:kern w:val="0"/>
          <w:sz w:val="22"/>
          <w:szCs w:val="22"/>
          <w:lang w:eastAsia="en-GB"/>
          <w14:ligatures w14:val="none"/>
        </w:rPr>
        <w:t xml:space="preserve"> Forms, with its Form builder used repeatedly to create a simple form for each service.</w:t>
      </w:r>
    </w:p>
    <w:p w14:paraId="212D6BBD"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668AE356"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This paper generalises the Gov.UK approach as follows with a </w:t>
      </w:r>
      <w:r w:rsidRPr="0075109C">
        <w:rPr>
          <w:rFonts w:ascii="Arial" w:eastAsia="Times New Roman" w:hAnsi="Arial" w:cs="Arial"/>
          <w:b/>
          <w:bCs/>
          <w:i/>
          <w:iCs/>
          <w:color w:val="000000"/>
          <w:kern w:val="0"/>
          <w:sz w:val="22"/>
          <w:szCs w:val="22"/>
          <w:lang w:eastAsia="en-GB"/>
          <w14:ligatures w14:val="none"/>
        </w:rPr>
        <w:t>single utility</w:t>
      </w:r>
      <w:r w:rsidRPr="0075109C">
        <w:rPr>
          <w:rFonts w:ascii="Arial" w:eastAsia="Times New Roman" w:hAnsi="Arial" w:cs="Arial"/>
          <w:color w:val="000000"/>
          <w:kern w:val="0"/>
          <w:sz w:val="22"/>
          <w:szCs w:val="22"/>
          <w:lang w:eastAsia="en-GB"/>
          <w14:ligatures w14:val="none"/>
        </w:rPr>
        <w:t>:</w:t>
      </w:r>
    </w:p>
    <w:p w14:paraId="7940447D" w14:textId="77777777" w:rsidR="0075109C" w:rsidRPr="0075109C" w:rsidRDefault="0075109C" w:rsidP="0075109C">
      <w:pPr>
        <w:numPr>
          <w:ilvl w:val="0"/>
          <w:numId w:val="2"/>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capable of </w:t>
      </w:r>
      <w:r w:rsidRPr="0075109C">
        <w:rPr>
          <w:rFonts w:ascii="Arial" w:eastAsia="Times New Roman" w:hAnsi="Arial" w:cs="Arial"/>
          <w:b/>
          <w:bCs/>
          <w:i/>
          <w:iCs/>
          <w:color w:val="000000"/>
          <w:kern w:val="0"/>
          <w:sz w:val="22"/>
          <w:szCs w:val="22"/>
          <w:lang w:eastAsia="en-GB"/>
          <w14:ligatures w14:val="none"/>
        </w:rPr>
        <w:t>managing data acquisition for each of three types of “section”</w:t>
      </w:r>
      <w:r w:rsidRPr="0075109C">
        <w:rPr>
          <w:rFonts w:ascii="Arial" w:eastAsia="Times New Roman" w:hAnsi="Arial" w:cs="Arial"/>
          <w:color w:val="000000"/>
          <w:kern w:val="0"/>
          <w:sz w:val="22"/>
          <w:szCs w:val="22"/>
          <w:lang w:eastAsia="en-GB"/>
          <w14:ligatures w14:val="none"/>
        </w:rPr>
        <w:t>, each one of which covers a different form of question set: “basic” questions (one answer per question, often with conditional routing); simple tables (multiple rows with one answer for every column question); and “conditional tables” (a hybrid of the first two - classically IHT405 on property). More on each type below;</w:t>
      </w:r>
    </w:p>
    <w:p w14:paraId="31905EFB" w14:textId="77777777" w:rsidR="0075109C" w:rsidRPr="0075109C" w:rsidRDefault="0075109C" w:rsidP="0075109C">
      <w:pPr>
        <w:numPr>
          <w:ilvl w:val="0"/>
          <w:numId w:val="2"/>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driven by service data held in </w:t>
      </w:r>
      <w:r w:rsidRPr="0075109C">
        <w:rPr>
          <w:rFonts w:ascii="Arial" w:eastAsia="Times New Roman" w:hAnsi="Arial" w:cs="Arial"/>
          <w:b/>
          <w:bCs/>
          <w:i/>
          <w:iCs/>
          <w:color w:val="000000"/>
          <w:kern w:val="0"/>
          <w:sz w:val="22"/>
          <w:szCs w:val="22"/>
          <w:lang w:eastAsia="en-GB"/>
          <w14:ligatures w14:val="none"/>
        </w:rPr>
        <w:t>two simple data objects</w:t>
      </w:r>
      <w:r w:rsidRPr="0075109C">
        <w:rPr>
          <w:rFonts w:ascii="Arial" w:eastAsia="Times New Roman" w:hAnsi="Arial" w:cs="Arial"/>
          <w:color w:val="000000"/>
          <w:kern w:val="0"/>
          <w:sz w:val="22"/>
          <w:szCs w:val="22"/>
          <w:lang w:eastAsia="en-GB"/>
          <w14:ligatures w14:val="none"/>
        </w:rPr>
        <w:t>: one holding question data, the other holding routing data: again more below;</w:t>
      </w:r>
    </w:p>
    <w:p w14:paraId="0A98887F" w14:textId="77777777" w:rsidR="0075109C" w:rsidRPr="0075109C" w:rsidRDefault="0075109C" w:rsidP="0075109C">
      <w:pPr>
        <w:numPr>
          <w:ilvl w:val="0"/>
          <w:numId w:val="2"/>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with the </w:t>
      </w:r>
      <w:r w:rsidRPr="0075109C">
        <w:rPr>
          <w:rFonts w:ascii="Arial" w:eastAsia="Times New Roman" w:hAnsi="Arial" w:cs="Arial"/>
          <w:b/>
          <w:bCs/>
          <w:i/>
          <w:iCs/>
          <w:color w:val="000000"/>
          <w:kern w:val="0"/>
          <w:sz w:val="22"/>
          <w:szCs w:val="22"/>
          <w:lang w:eastAsia="en-GB"/>
          <w14:ligatures w14:val="none"/>
        </w:rPr>
        <w:t>consistent use of a confirmation screen</w:t>
      </w:r>
      <w:r w:rsidRPr="0075109C">
        <w:rPr>
          <w:rFonts w:ascii="Arial" w:eastAsia="Times New Roman" w:hAnsi="Arial" w:cs="Arial"/>
          <w:color w:val="000000"/>
          <w:kern w:val="0"/>
          <w:sz w:val="22"/>
          <w:szCs w:val="22"/>
          <w:lang w:eastAsia="en-GB"/>
          <w14:ligatures w14:val="none"/>
        </w:rPr>
        <w:t>, to enable a user to amend their answers before moving on, but always respecting the appropriate routing based on latest answer</w:t>
      </w:r>
    </w:p>
    <w:p w14:paraId="18B9244A" w14:textId="77777777" w:rsidR="0075109C" w:rsidRPr="0075109C" w:rsidRDefault="0075109C" w:rsidP="0075109C">
      <w:pPr>
        <w:numPr>
          <w:ilvl w:val="0"/>
          <w:numId w:val="2"/>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allowing previous answers to the same question used elsewhere to </w:t>
      </w:r>
      <w:r w:rsidRPr="0075109C">
        <w:rPr>
          <w:rFonts w:ascii="Arial" w:eastAsia="Times New Roman" w:hAnsi="Arial" w:cs="Arial"/>
          <w:b/>
          <w:bCs/>
          <w:i/>
          <w:iCs/>
          <w:color w:val="000000"/>
          <w:kern w:val="0"/>
          <w:sz w:val="22"/>
          <w:szCs w:val="22"/>
          <w:lang w:eastAsia="en-GB"/>
          <w14:ligatures w14:val="none"/>
        </w:rPr>
        <w:t>pre-populate an answer</w:t>
      </w:r>
      <w:r w:rsidRPr="0075109C">
        <w:rPr>
          <w:rFonts w:ascii="Arial" w:eastAsia="Times New Roman" w:hAnsi="Arial" w:cs="Arial"/>
          <w:color w:val="000000"/>
          <w:kern w:val="0"/>
          <w:sz w:val="22"/>
          <w:szCs w:val="22"/>
          <w:lang w:eastAsia="en-GB"/>
          <w14:ligatures w14:val="none"/>
        </w:rPr>
        <w:t>, but always requiring positive confirmation by the user that this reflects their current circumstance</w:t>
      </w:r>
    </w:p>
    <w:p w14:paraId="11B1EE8C" w14:textId="77777777" w:rsidR="0075109C" w:rsidRPr="0075109C" w:rsidRDefault="0075109C" w:rsidP="0075109C">
      <w:pPr>
        <w:numPr>
          <w:ilvl w:val="0"/>
          <w:numId w:val="2"/>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 xml:space="preserve">allowing users to define </w:t>
      </w:r>
      <w:r w:rsidRPr="0075109C">
        <w:rPr>
          <w:rFonts w:ascii="Arial" w:eastAsia="Times New Roman" w:hAnsi="Arial" w:cs="Arial"/>
          <w:b/>
          <w:bCs/>
          <w:i/>
          <w:iCs/>
          <w:color w:val="000000"/>
          <w:kern w:val="0"/>
          <w:sz w:val="22"/>
          <w:szCs w:val="22"/>
          <w:lang w:eastAsia="en-GB"/>
          <w14:ligatures w14:val="none"/>
        </w:rPr>
        <w:t>explicit permissions for third parties</w:t>
      </w:r>
      <w:r w:rsidRPr="0075109C">
        <w:rPr>
          <w:rFonts w:ascii="Arial" w:eastAsia="Times New Roman" w:hAnsi="Arial" w:cs="Arial"/>
          <w:color w:val="000000"/>
          <w:kern w:val="0"/>
          <w:sz w:val="22"/>
          <w:szCs w:val="22"/>
          <w:lang w:eastAsia="en-GB"/>
          <w14:ligatures w14:val="none"/>
        </w:rPr>
        <w:t xml:space="preserve"> to act for them, for specified sections, or for specified schedules (and all that schedule’s sections), or for the whole service (across all schedules/sections).</w:t>
      </w:r>
    </w:p>
    <w:p w14:paraId="72192528"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49B3677E"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To be explicit, while the form of the two data objects, and the permissions object, is set, </w:t>
      </w:r>
      <w:r w:rsidRPr="0075109C">
        <w:rPr>
          <w:rFonts w:ascii="Arial" w:eastAsia="Times New Roman" w:hAnsi="Arial" w:cs="Arial"/>
          <w:b/>
          <w:bCs/>
          <w:i/>
          <w:iCs/>
          <w:color w:val="000000"/>
          <w:kern w:val="0"/>
          <w:sz w:val="22"/>
          <w:szCs w:val="22"/>
          <w:lang w:eastAsia="en-GB"/>
          <w14:ligatures w14:val="none"/>
        </w:rPr>
        <w:t>the data in each is entirely to be defined by the service owner</w:t>
      </w:r>
      <w:r w:rsidRPr="0075109C">
        <w:rPr>
          <w:rFonts w:ascii="Arial" w:eastAsia="Times New Roman" w:hAnsi="Arial" w:cs="Arial"/>
          <w:color w:val="000000"/>
          <w:kern w:val="0"/>
          <w:sz w:val="22"/>
          <w:szCs w:val="22"/>
          <w:lang w:eastAsia="en-GB"/>
          <w14:ligatures w14:val="none"/>
        </w:rPr>
        <w:t>. And as tabular data, they are very easily understood and amended. </w:t>
      </w:r>
    </w:p>
    <w:p w14:paraId="02961F46"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lastRenderedPageBreak/>
        <w:br/>
      </w:r>
    </w:p>
    <w:p w14:paraId="543A7361"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In addition, </w:t>
      </w:r>
      <w:r w:rsidRPr="0075109C">
        <w:rPr>
          <w:rFonts w:ascii="Arial" w:eastAsia="Times New Roman" w:hAnsi="Arial" w:cs="Arial"/>
          <w:b/>
          <w:bCs/>
          <w:i/>
          <w:iCs/>
          <w:color w:val="000000"/>
          <w:kern w:val="0"/>
          <w:sz w:val="22"/>
          <w:szCs w:val="22"/>
          <w:lang w:eastAsia="en-GB"/>
          <w14:ligatures w14:val="none"/>
        </w:rPr>
        <w:t>the utility would in turn be under the control of the the service home page </w:t>
      </w:r>
    </w:p>
    <w:p w14:paraId="61693DDC"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1D7707CD" w14:textId="77777777" w:rsidR="0075109C" w:rsidRPr="0075109C" w:rsidRDefault="0075109C" w:rsidP="0075109C">
      <w:pPr>
        <w:numPr>
          <w:ilvl w:val="0"/>
          <w:numId w:val="3"/>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at its simplest, this home page would have a “Start” button, which called the utility with all the schedules/sections defined as belonging to the service. The user would answer all the questions, with progress shown against individual elements along the way, and would then be returned to the service home page. At that point, the service might well offer a “Submit data” button.</w:t>
      </w:r>
    </w:p>
    <w:p w14:paraId="7A730601"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29BA5FF5" w14:textId="77777777" w:rsidR="0075109C" w:rsidRPr="0075109C" w:rsidRDefault="0075109C" w:rsidP="0075109C">
      <w:pPr>
        <w:numPr>
          <w:ilvl w:val="0"/>
          <w:numId w:val="4"/>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more likely for HMRC, the service designer would create a series of action buttons, each one of which would call the utility for a specified set of questions. On completing those questions, the home page would inspect the answers and add appropriate new action buttons. An obvious example would be a first pass set of “asset selector” questions (“Did the deceased own a property?”, “Did the deceased hold pension assets?), the answers to which could be used to generate action buttons tailored to the deceased’s circumstances.</w:t>
      </w:r>
    </w:p>
    <w:p w14:paraId="6DFFFCC3"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1090BEFA"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This combination of the service home page making use of the utility, but not being bound by it, has one other important property. If, at any stage, the utility cannot handle a particular combination of questions, the service designer can directly create the relevant pages, just as they do now. </w:t>
      </w:r>
      <w:r w:rsidRPr="0075109C">
        <w:rPr>
          <w:rFonts w:ascii="Arial" w:eastAsia="Times New Roman" w:hAnsi="Arial" w:cs="Arial"/>
          <w:b/>
          <w:bCs/>
          <w:i/>
          <w:iCs/>
          <w:color w:val="000000"/>
          <w:kern w:val="0"/>
          <w:sz w:val="22"/>
          <w:szCs w:val="22"/>
          <w:lang w:eastAsia="en-GB"/>
          <w14:ligatures w14:val="none"/>
        </w:rPr>
        <w:t>So the utility is a genuine helper, it is not a straightjacket. </w:t>
      </w:r>
    </w:p>
    <w:p w14:paraId="1BFB334C"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0EEBA01D"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There are already several ideas summarised here. Without doubt, </w:t>
      </w:r>
      <w:r w:rsidRPr="0075109C">
        <w:rPr>
          <w:rFonts w:ascii="Arial" w:eastAsia="Times New Roman" w:hAnsi="Arial" w:cs="Arial"/>
          <w:b/>
          <w:bCs/>
          <w:i/>
          <w:iCs/>
          <w:color w:val="000000"/>
          <w:kern w:val="0"/>
          <w:sz w:val="22"/>
          <w:szCs w:val="22"/>
          <w:lang w:eastAsia="en-GB"/>
          <w14:ligatures w14:val="none"/>
        </w:rPr>
        <w:t>the next step would be to test these ideas with HMRC colleagues</w:t>
      </w:r>
      <w:r w:rsidRPr="0075109C">
        <w:rPr>
          <w:rFonts w:ascii="Arial" w:eastAsia="Times New Roman" w:hAnsi="Arial" w:cs="Arial"/>
          <w:color w:val="000000"/>
          <w:kern w:val="0"/>
          <w:sz w:val="22"/>
          <w:szCs w:val="22"/>
          <w:lang w:eastAsia="en-GB"/>
          <w14:ligatures w14:val="none"/>
        </w:rPr>
        <w:t>. The rest of this paper provides more details, as a basis for that conversation. </w:t>
      </w:r>
    </w:p>
    <w:p w14:paraId="006A202D"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02611533"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But it would be remiss not to point out the </w:t>
      </w:r>
      <w:r w:rsidRPr="0075109C">
        <w:rPr>
          <w:rFonts w:ascii="Arial" w:eastAsia="Times New Roman" w:hAnsi="Arial" w:cs="Arial"/>
          <w:b/>
          <w:bCs/>
          <w:i/>
          <w:iCs/>
          <w:color w:val="000000"/>
          <w:kern w:val="0"/>
          <w:sz w:val="22"/>
          <w:szCs w:val="22"/>
          <w:lang w:eastAsia="en-GB"/>
          <w14:ligatures w14:val="none"/>
        </w:rPr>
        <w:t>potential urgency</w:t>
      </w:r>
      <w:r w:rsidRPr="0075109C">
        <w:rPr>
          <w:rFonts w:ascii="Arial" w:eastAsia="Times New Roman" w:hAnsi="Arial" w:cs="Arial"/>
          <w:color w:val="000000"/>
          <w:kern w:val="0"/>
          <w:sz w:val="22"/>
          <w:szCs w:val="22"/>
          <w:lang w:eastAsia="en-GB"/>
          <w14:ligatures w14:val="none"/>
        </w:rPr>
        <w:t>. If IHT is to be delivered from, say, April 2027 even as a private beta, HMRC has two choices:</w:t>
      </w:r>
    </w:p>
    <w:p w14:paraId="6176F781" w14:textId="77777777" w:rsidR="0075109C" w:rsidRPr="0075109C" w:rsidRDefault="0075109C" w:rsidP="0075109C">
      <w:pPr>
        <w:numPr>
          <w:ilvl w:val="0"/>
          <w:numId w:val="5"/>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to make some quick “good enough for now” design decisions and pursue the approach proposed for IHT; or</w:t>
      </w:r>
    </w:p>
    <w:p w14:paraId="2C01FB1F" w14:textId="77777777" w:rsidR="0075109C" w:rsidRPr="0075109C" w:rsidRDefault="0075109C" w:rsidP="0075109C">
      <w:pPr>
        <w:numPr>
          <w:ilvl w:val="0"/>
          <w:numId w:val="5"/>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to take longer, so requiring all the IHT PoC screens to be built in the normal labour intensive way, with rework to move IHT to use the utility (and hence also, in due course, to introduce AI Agents).</w:t>
      </w:r>
    </w:p>
    <w:p w14:paraId="630BAB07"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51AD126B"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As a result, an early 1-2 day session to test HMRC appetite would be highly desirable. </w:t>
      </w:r>
    </w:p>
    <w:p w14:paraId="77A87BC5"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15A119CC"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b/>
          <w:bCs/>
          <w:color w:val="000000"/>
          <w:kern w:val="0"/>
          <w:sz w:val="22"/>
          <w:szCs w:val="22"/>
          <w:u w:val="single"/>
          <w:lang w:eastAsia="en-GB"/>
          <w14:ligatures w14:val="none"/>
        </w:rPr>
        <w:t>Outline of the rest of the paper</w:t>
      </w:r>
    </w:p>
    <w:p w14:paraId="606769DE"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7A5563C7"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The paper works through each of the following ideas in turn:</w:t>
      </w:r>
    </w:p>
    <w:p w14:paraId="38E1CC58" w14:textId="77777777" w:rsidR="0075109C" w:rsidRPr="0075109C" w:rsidRDefault="0075109C" w:rsidP="0075109C">
      <w:pPr>
        <w:numPr>
          <w:ilvl w:val="0"/>
          <w:numId w:val="6"/>
        </w:numPr>
        <w:textAlignment w:val="baseline"/>
        <w:rPr>
          <w:rFonts w:ascii="Arial" w:eastAsia="Times New Roman" w:hAnsi="Arial" w:cs="Arial"/>
          <w:color w:val="000000"/>
          <w:kern w:val="0"/>
          <w:sz w:val="22"/>
          <w:szCs w:val="22"/>
          <w:lang w:eastAsia="en-GB"/>
          <w14:ligatures w14:val="none"/>
        </w:rPr>
      </w:pPr>
      <w:r w:rsidRPr="0075109C">
        <w:rPr>
          <w:rFonts w:ascii="Arial" w:eastAsia="Times New Roman" w:hAnsi="Arial" w:cs="Arial"/>
          <w:color w:val="000000"/>
          <w:kern w:val="0"/>
          <w:sz w:val="22"/>
          <w:szCs w:val="22"/>
          <w:lang w:eastAsia="en-GB"/>
          <w14:ligatures w14:val="none"/>
        </w:rPr>
        <w:t>[list to line up with headings below] </w:t>
      </w:r>
    </w:p>
    <w:p w14:paraId="496919F8"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60161C4E"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b/>
          <w:bCs/>
          <w:color w:val="000000"/>
          <w:kern w:val="0"/>
          <w:sz w:val="22"/>
          <w:szCs w:val="22"/>
          <w:u w:val="single"/>
          <w:lang w:eastAsia="en-GB"/>
          <w14:ligatures w14:val="none"/>
        </w:rPr>
        <w:t>Question typologies</w:t>
      </w:r>
    </w:p>
    <w:p w14:paraId="4B48B4AD"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3F48309B"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lastRenderedPageBreak/>
        <w:t>After many hours looking at IHT and Self Assessment forms, and many more looking at Authorisation process forms, there appear to be  three recurring patterns, each of which may appear on the same form.</w:t>
      </w:r>
    </w:p>
    <w:p w14:paraId="4F7D8964"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1E0CAE6D"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First, there are </w:t>
      </w:r>
      <w:r w:rsidRPr="0075109C">
        <w:rPr>
          <w:rFonts w:ascii="Arial" w:eastAsia="Times New Roman" w:hAnsi="Arial" w:cs="Arial"/>
          <w:b/>
          <w:bCs/>
          <w:i/>
          <w:iCs/>
          <w:color w:val="000000"/>
          <w:kern w:val="0"/>
          <w:sz w:val="22"/>
          <w:szCs w:val="22"/>
          <w:lang w:eastAsia="en-GB"/>
          <w14:ligatures w14:val="none"/>
        </w:rPr>
        <w:t>simple questions</w:t>
      </w:r>
      <w:r w:rsidRPr="0075109C">
        <w:rPr>
          <w:rFonts w:ascii="Arial" w:eastAsia="Times New Roman" w:hAnsi="Arial" w:cs="Arial"/>
          <w:color w:val="000000"/>
          <w:kern w:val="0"/>
          <w:sz w:val="22"/>
          <w:szCs w:val="22"/>
          <w:lang w:eastAsia="en-GB"/>
          <w14:ligatures w14:val="none"/>
        </w:rPr>
        <w:t xml:space="preserve"> which admit of a single answer (“Did the deceased leave a will”). Commonly, the questions to be answered depend on the answers provided to earlier questions. For example, only if answering “Yes” to “Did the Deceased leave a will” is the user asked “Please attach a copy of the will”. In other words, different users take different conditional routes through the same overall set of questions.</w:t>
      </w:r>
    </w:p>
    <w:p w14:paraId="678C510E"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0D0E6E8A"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Second, some questions admit of more than one answer, usually shown on paper forms as a </w:t>
      </w:r>
      <w:r w:rsidRPr="0075109C">
        <w:rPr>
          <w:rFonts w:ascii="Arial" w:eastAsia="Times New Roman" w:hAnsi="Arial" w:cs="Arial"/>
          <w:b/>
          <w:bCs/>
          <w:i/>
          <w:iCs/>
          <w:color w:val="000000"/>
          <w:kern w:val="0"/>
          <w:sz w:val="22"/>
          <w:szCs w:val="22"/>
          <w:lang w:eastAsia="en-GB"/>
          <w14:ligatures w14:val="none"/>
        </w:rPr>
        <w:t>simple table</w:t>
      </w:r>
      <w:r w:rsidRPr="0075109C">
        <w:rPr>
          <w:rFonts w:ascii="Arial" w:eastAsia="Times New Roman" w:hAnsi="Arial" w:cs="Arial"/>
          <w:color w:val="000000"/>
          <w:kern w:val="0"/>
          <w:sz w:val="22"/>
          <w:szCs w:val="22"/>
          <w:lang w:eastAsia="en-GB"/>
          <w14:ligatures w14:val="none"/>
        </w:rPr>
        <w:t xml:space="preserve"> (“For each of the deceased bank accounts, please enter bank name, account number, and balance at the date of death”). For the most part, there is no conditionality: each column question has to be completed for each row entry (eg the bank accounts question). </w:t>
      </w:r>
    </w:p>
    <w:p w14:paraId="7DB35F8C"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65657FA2"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Third, and less common, there are </w:t>
      </w:r>
      <w:r w:rsidRPr="0075109C">
        <w:rPr>
          <w:rFonts w:ascii="Arial" w:eastAsia="Times New Roman" w:hAnsi="Arial" w:cs="Arial"/>
          <w:b/>
          <w:bCs/>
          <w:i/>
          <w:iCs/>
          <w:color w:val="000000"/>
          <w:kern w:val="0"/>
          <w:sz w:val="22"/>
          <w:szCs w:val="22"/>
          <w:lang w:eastAsia="en-GB"/>
          <w14:ligatures w14:val="none"/>
        </w:rPr>
        <w:t>conditional tables.</w:t>
      </w:r>
      <w:r w:rsidRPr="0075109C">
        <w:rPr>
          <w:rFonts w:ascii="Arial" w:eastAsia="Times New Roman" w:hAnsi="Arial" w:cs="Arial"/>
          <w:color w:val="000000"/>
          <w:kern w:val="0"/>
          <w:sz w:val="22"/>
          <w:szCs w:val="22"/>
          <w:lang w:eastAsia="en-GB"/>
          <w14:ligatures w14:val="none"/>
        </w:rPr>
        <w:t xml:space="preserve"> IHT405 on Property is a good example. If the executor records that a property is leased there are additional questions (length of lease, annual ground rent); if the executor records that the property has been damaged there are additional questions (eg “Did the deceased’s insurance cover all or part of the damage?”) </w:t>
      </w:r>
    </w:p>
    <w:p w14:paraId="01DE5AC6"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4A4D0724"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In what follows, each of these three has its own type of “section”, which governs how the engine operates. In broad terms, the first two are different, and the third combines the conditional routing of the first, with the multiple answers per question of the second.</w:t>
      </w:r>
    </w:p>
    <w:p w14:paraId="0817C62D"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131A6B84"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b/>
          <w:bCs/>
          <w:color w:val="000000"/>
          <w:kern w:val="0"/>
          <w:sz w:val="22"/>
          <w:szCs w:val="22"/>
          <w:u w:val="single"/>
          <w:lang w:eastAsia="en-GB"/>
          <w14:ligatures w14:val="none"/>
        </w:rPr>
        <w:t>Confirmation screens</w:t>
      </w:r>
    </w:p>
    <w:p w14:paraId="779B5F25"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1E9E177D"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For </w:t>
      </w:r>
      <w:r w:rsidRPr="0075109C">
        <w:rPr>
          <w:rFonts w:ascii="Arial" w:eastAsia="Times New Roman" w:hAnsi="Arial" w:cs="Arial"/>
          <w:b/>
          <w:bCs/>
          <w:i/>
          <w:iCs/>
          <w:color w:val="000000"/>
          <w:kern w:val="0"/>
          <w:sz w:val="22"/>
          <w:szCs w:val="22"/>
          <w:lang w:eastAsia="en-GB"/>
          <w14:ligatures w14:val="none"/>
        </w:rPr>
        <w:t>simple questions</w:t>
      </w:r>
      <w:r w:rsidRPr="0075109C">
        <w:rPr>
          <w:rFonts w:ascii="Arial" w:eastAsia="Times New Roman" w:hAnsi="Arial" w:cs="Arial"/>
          <w:color w:val="000000"/>
          <w:kern w:val="0"/>
          <w:sz w:val="22"/>
          <w:szCs w:val="22"/>
          <w:lang w:eastAsia="en-GB"/>
          <w14:ligatures w14:val="none"/>
        </w:rPr>
        <w:t xml:space="preserve">, the normal GDS standard is to ask one question per page. After completing a logical section of questions this way, typically less than 15, there is another GDS pattern which plays back on one </w:t>
      </w:r>
      <w:r w:rsidRPr="0075109C">
        <w:rPr>
          <w:rFonts w:ascii="Arial" w:eastAsia="Times New Roman" w:hAnsi="Arial" w:cs="Arial"/>
          <w:b/>
          <w:bCs/>
          <w:i/>
          <w:iCs/>
          <w:color w:val="000000"/>
          <w:kern w:val="0"/>
          <w:sz w:val="22"/>
          <w:szCs w:val="22"/>
          <w:lang w:eastAsia="en-GB"/>
          <w14:ligatures w14:val="none"/>
        </w:rPr>
        <w:t>confirmation screen</w:t>
      </w:r>
      <w:r w:rsidRPr="0075109C">
        <w:rPr>
          <w:rFonts w:ascii="Arial" w:eastAsia="Times New Roman" w:hAnsi="Arial" w:cs="Arial"/>
          <w:color w:val="000000"/>
          <w:kern w:val="0"/>
          <w:sz w:val="22"/>
          <w:szCs w:val="22"/>
          <w:lang w:eastAsia="en-GB"/>
          <w14:ligatures w14:val="none"/>
        </w:rPr>
        <w:t xml:space="preserve"> all the questions and the users answers, allowing the user to amend any answer, before confirming they are content and moving on.  </w:t>
      </w:r>
    </w:p>
    <w:p w14:paraId="31F7D26E"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0B508C66"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There is an important consequence of conditional routes here. If the user chooses to amend their answer to, say, the third question on the confirmation screen, that new answer might alter the conditional route which the user needs to follow. So an amendment to the third answer needs to trigger </w:t>
      </w:r>
      <w:r w:rsidRPr="0075109C">
        <w:rPr>
          <w:rFonts w:ascii="Arial" w:eastAsia="Times New Roman" w:hAnsi="Arial" w:cs="Arial"/>
          <w:color w:val="000000"/>
          <w:kern w:val="0"/>
          <w:sz w:val="22"/>
          <w:szCs w:val="22"/>
          <w:u w:val="single"/>
          <w:lang w:eastAsia="en-GB"/>
          <w14:ligatures w14:val="none"/>
        </w:rPr>
        <w:t>all</w:t>
      </w:r>
      <w:r w:rsidRPr="0075109C">
        <w:rPr>
          <w:rFonts w:ascii="Arial" w:eastAsia="Times New Roman" w:hAnsi="Arial" w:cs="Arial"/>
          <w:color w:val="000000"/>
          <w:kern w:val="0"/>
          <w:sz w:val="22"/>
          <w:szCs w:val="22"/>
          <w:lang w:eastAsia="en-GB"/>
          <w14:ligatures w14:val="none"/>
        </w:rPr>
        <w:t xml:space="preserve"> the questions from there on. For the most part the user will simply be reconfirming their earlier answers; but there will be occasions when new questions are asked for the first time, and some questions will no longer be relevant. Once the appropriate route has been traversed the new confirmation screen should show only those questions and answers which have most recently been asked. The user must be able to repeat this process multiple times, potentially traversing a different route each time.</w:t>
      </w:r>
    </w:p>
    <w:p w14:paraId="2C26CEA4"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67D23C26"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For </w:t>
      </w:r>
      <w:r w:rsidRPr="0075109C">
        <w:rPr>
          <w:rFonts w:ascii="Arial" w:eastAsia="Times New Roman" w:hAnsi="Arial" w:cs="Arial"/>
          <w:b/>
          <w:bCs/>
          <w:i/>
          <w:iCs/>
          <w:color w:val="000000"/>
          <w:kern w:val="0"/>
          <w:sz w:val="22"/>
          <w:szCs w:val="22"/>
          <w:lang w:eastAsia="en-GB"/>
          <w14:ligatures w14:val="none"/>
        </w:rPr>
        <w:t>simple tables</w:t>
      </w:r>
      <w:r w:rsidRPr="0075109C">
        <w:rPr>
          <w:rFonts w:ascii="Arial" w:eastAsia="Times New Roman" w:hAnsi="Arial" w:cs="Arial"/>
          <w:color w:val="000000"/>
          <w:kern w:val="0"/>
          <w:sz w:val="22"/>
          <w:szCs w:val="22"/>
          <w:lang w:eastAsia="en-GB"/>
          <w14:ligatures w14:val="none"/>
        </w:rPr>
        <w:t xml:space="preserve">, the most natural pattern is to ask each column question, one after the other, on a single page. The user is focused on one record (say one bank account) and adds all the data relevant to that account on page. Done this way, it is fast from obvious that the </w:t>
      </w:r>
      <w:r w:rsidRPr="0075109C">
        <w:rPr>
          <w:rFonts w:ascii="Arial" w:eastAsia="Times New Roman" w:hAnsi="Arial" w:cs="Arial"/>
          <w:color w:val="000000"/>
          <w:kern w:val="0"/>
          <w:sz w:val="22"/>
          <w:szCs w:val="22"/>
          <w:lang w:eastAsia="en-GB"/>
          <w14:ligatures w14:val="none"/>
        </w:rPr>
        <w:lastRenderedPageBreak/>
        <w:t>user will then wish to see a classic confirmation screen for each record. Instead, we might imagine a simple table “landing page” which records how may records have already been entered, provides the opportunity to view/amend/delete existing records, or to add a new record. Finally, the user also needs the opportunity to report that the table is complete (since only the user knows how many records are needed), and may positively choose to add records over several different sessions before defining the table complete.</w:t>
      </w:r>
    </w:p>
    <w:p w14:paraId="075A5E17"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30D85B7E"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 xml:space="preserve">For </w:t>
      </w:r>
      <w:r w:rsidRPr="0075109C">
        <w:rPr>
          <w:rFonts w:ascii="Arial" w:eastAsia="Times New Roman" w:hAnsi="Arial" w:cs="Arial"/>
          <w:b/>
          <w:bCs/>
          <w:i/>
          <w:iCs/>
          <w:color w:val="000000"/>
          <w:kern w:val="0"/>
          <w:sz w:val="22"/>
          <w:szCs w:val="22"/>
          <w:lang w:eastAsia="en-GB"/>
          <w14:ligatures w14:val="none"/>
        </w:rPr>
        <w:t>conditional tables</w:t>
      </w:r>
      <w:r w:rsidRPr="0075109C">
        <w:rPr>
          <w:rFonts w:ascii="Arial" w:eastAsia="Times New Roman" w:hAnsi="Arial" w:cs="Arial"/>
          <w:color w:val="000000"/>
          <w:kern w:val="0"/>
          <w:sz w:val="22"/>
          <w:szCs w:val="22"/>
          <w:lang w:eastAsia="en-GB"/>
          <w14:ligatures w14:val="none"/>
        </w:rPr>
        <w:t>, we need some combination of the features above. Given the conditionality, it’s probably better for the user to answer one question per page (with each page heading identifying the record eg the address for IHT405). It is also desirable then to play back those answers in a confirmation screen, with all the properties described above. The “landing page” for this sort of table probably looks like that described above for simple tables. But the “view/amend/delete” button needs to give a different result, since the number of columns which might be relevant in a conditional table could easily swamp the user’s screen: an alternative would be to display some pre-defined “core” columns (for IHT405 say the address and the valuation as a minimum), with an additional “other details” link, returning the user to the conformation page showing all the entries for that record,</w:t>
      </w:r>
    </w:p>
    <w:p w14:paraId="773AC105"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240BCB43"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Before describing how the engine works, one final concept: how to re-use data.</w:t>
      </w:r>
    </w:p>
    <w:p w14:paraId="73819949"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4DE27E74"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b/>
          <w:bCs/>
          <w:color w:val="000000"/>
          <w:kern w:val="0"/>
          <w:sz w:val="22"/>
          <w:szCs w:val="22"/>
          <w:u w:val="single"/>
          <w:lang w:eastAsia="en-GB"/>
          <w14:ligatures w14:val="none"/>
        </w:rPr>
        <w:t>The re-use of data</w:t>
      </w:r>
    </w:p>
    <w:p w14:paraId="051A0894"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52C7C079"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It is often asserted that users should need only tell “Government” once (say about a new address), with the implication that another service could simply re-use this data. The same argument can be made for different tax regimes, and sharing of data within HMRC.</w:t>
      </w:r>
    </w:p>
    <w:p w14:paraId="542FD053" w14:textId="77777777" w:rsidR="0075109C" w:rsidRPr="0075109C" w:rsidRDefault="0075109C" w:rsidP="0075109C">
      <w:pPr>
        <w:rPr>
          <w:rFonts w:ascii="Times New Roman" w:eastAsia="Times New Roman" w:hAnsi="Times New Roman" w:cs="Times New Roman"/>
          <w:kern w:val="0"/>
          <w:lang w:eastAsia="en-GB"/>
          <w14:ligatures w14:val="none"/>
        </w:rPr>
      </w:pPr>
      <w:r w:rsidRPr="0075109C">
        <w:rPr>
          <w:rFonts w:ascii="Helvetica" w:eastAsia="Times New Roman" w:hAnsi="Helvetica" w:cs="Times New Roman"/>
          <w:color w:val="000000"/>
          <w:kern w:val="0"/>
          <w:sz w:val="18"/>
          <w:szCs w:val="18"/>
          <w:lang w:eastAsia="en-GB"/>
          <w14:ligatures w14:val="none"/>
        </w:rPr>
        <w:br/>
      </w:r>
    </w:p>
    <w:p w14:paraId="4957EF58" w14:textId="77777777" w:rsidR="0075109C" w:rsidRPr="0075109C" w:rsidRDefault="0075109C" w:rsidP="0075109C">
      <w:pPr>
        <w:rPr>
          <w:rFonts w:ascii="Helvetica" w:eastAsia="Times New Roman" w:hAnsi="Helvetica" w:cs="Times New Roman"/>
          <w:color w:val="000000"/>
          <w:kern w:val="0"/>
          <w:sz w:val="18"/>
          <w:szCs w:val="18"/>
          <w:lang w:eastAsia="en-GB"/>
          <w14:ligatures w14:val="none"/>
        </w:rPr>
      </w:pPr>
      <w:r w:rsidRPr="0075109C">
        <w:rPr>
          <w:rFonts w:ascii="Arial" w:eastAsia="Times New Roman" w:hAnsi="Arial" w:cs="Arial"/>
          <w:color w:val="000000"/>
          <w:kern w:val="0"/>
          <w:sz w:val="22"/>
          <w:szCs w:val="22"/>
          <w:lang w:eastAsia="en-GB"/>
          <w14:ligatures w14:val="none"/>
        </w:rPr>
        <w:t>I think HMRC, and Government more widely, should be cautious here. The key distinction I want to make is between “relying” on information provided to a different regime and “pre-populating answers”. Reliance would, logically, mean suppressing all questions to which the authority already </w:t>
      </w:r>
    </w:p>
    <w:p w14:paraId="4F84D8C6" w14:textId="77777777" w:rsidR="00DA56E9" w:rsidRDefault="00DA56E9"/>
    <w:sectPr w:rsidR="00DA56E9" w:rsidSect="000C44C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433A"/>
    <w:multiLevelType w:val="multilevel"/>
    <w:tmpl w:val="7122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7F14"/>
    <w:multiLevelType w:val="multilevel"/>
    <w:tmpl w:val="D43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1B3C"/>
    <w:multiLevelType w:val="multilevel"/>
    <w:tmpl w:val="E1FE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7021C"/>
    <w:multiLevelType w:val="multilevel"/>
    <w:tmpl w:val="49D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00EAD"/>
    <w:multiLevelType w:val="multilevel"/>
    <w:tmpl w:val="665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C012F"/>
    <w:multiLevelType w:val="multilevel"/>
    <w:tmpl w:val="2D3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216198">
    <w:abstractNumId w:val="4"/>
  </w:num>
  <w:num w:numId="2" w16cid:durableId="1323776781">
    <w:abstractNumId w:val="3"/>
  </w:num>
  <w:num w:numId="3" w16cid:durableId="1572615731">
    <w:abstractNumId w:val="2"/>
  </w:num>
  <w:num w:numId="4" w16cid:durableId="803811074">
    <w:abstractNumId w:val="1"/>
  </w:num>
  <w:num w:numId="5" w16cid:durableId="970013201">
    <w:abstractNumId w:val="0"/>
  </w:num>
  <w:num w:numId="6" w16cid:durableId="1664967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9C"/>
    <w:rsid w:val="000C44C6"/>
    <w:rsid w:val="0075109C"/>
    <w:rsid w:val="008D2055"/>
    <w:rsid w:val="00903296"/>
    <w:rsid w:val="00B67CAD"/>
    <w:rsid w:val="00DA56E9"/>
    <w:rsid w:val="00E5154F"/>
    <w:rsid w:val="00F36AA8"/>
    <w:rsid w:val="00FF2E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44B2EDAB"/>
  <w15:chartTrackingRefBased/>
  <w15:docId w15:val="{C2C32FF5-F393-0445-AE17-6F0EA653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0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0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0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0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09C"/>
    <w:rPr>
      <w:rFonts w:eastAsiaTheme="majorEastAsia" w:cstheme="majorBidi"/>
      <w:color w:val="272727" w:themeColor="text1" w:themeTint="D8"/>
    </w:rPr>
  </w:style>
  <w:style w:type="paragraph" w:styleId="Title">
    <w:name w:val="Title"/>
    <w:basedOn w:val="Normal"/>
    <w:next w:val="Normal"/>
    <w:link w:val="TitleChar"/>
    <w:uiPriority w:val="10"/>
    <w:qFormat/>
    <w:rsid w:val="007510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0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0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109C"/>
    <w:rPr>
      <w:i/>
      <w:iCs/>
      <w:color w:val="404040" w:themeColor="text1" w:themeTint="BF"/>
    </w:rPr>
  </w:style>
  <w:style w:type="paragraph" w:styleId="ListParagraph">
    <w:name w:val="List Paragraph"/>
    <w:basedOn w:val="Normal"/>
    <w:uiPriority w:val="34"/>
    <w:qFormat/>
    <w:rsid w:val="0075109C"/>
    <w:pPr>
      <w:ind w:left="720"/>
      <w:contextualSpacing/>
    </w:pPr>
  </w:style>
  <w:style w:type="character" w:styleId="IntenseEmphasis">
    <w:name w:val="Intense Emphasis"/>
    <w:basedOn w:val="DefaultParagraphFont"/>
    <w:uiPriority w:val="21"/>
    <w:qFormat/>
    <w:rsid w:val="0075109C"/>
    <w:rPr>
      <w:i/>
      <w:iCs/>
      <w:color w:val="0F4761" w:themeColor="accent1" w:themeShade="BF"/>
    </w:rPr>
  </w:style>
  <w:style w:type="paragraph" w:styleId="IntenseQuote">
    <w:name w:val="Intense Quote"/>
    <w:basedOn w:val="Normal"/>
    <w:next w:val="Normal"/>
    <w:link w:val="IntenseQuoteChar"/>
    <w:uiPriority w:val="30"/>
    <w:qFormat/>
    <w:rsid w:val="00751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09C"/>
    <w:rPr>
      <w:i/>
      <w:iCs/>
      <w:color w:val="0F4761" w:themeColor="accent1" w:themeShade="BF"/>
    </w:rPr>
  </w:style>
  <w:style w:type="character" w:styleId="IntenseReference">
    <w:name w:val="Intense Reference"/>
    <w:basedOn w:val="DefaultParagraphFont"/>
    <w:uiPriority w:val="32"/>
    <w:qFormat/>
    <w:rsid w:val="0075109C"/>
    <w:rPr>
      <w:b/>
      <w:bCs/>
      <w:smallCaps/>
      <w:color w:val="0F4761" w:themeColor="accent1" w:themeShade="BF"/>
      <w:spacing w:val="5"/>
    </w:rPr>
  </w:style>
  <w:style w:type="paragraph" w:styleId="NormalWeb">
    <w:name w:val="Normal (Web)"/>
    <w:basedOn w:val="Normal"/>
    <w:uiPriority w:val="99"/>
    <w:semiHidden/>
    <w:unhideWhenUsed/>
    <w:rsid w:val="0075109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510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mea01.safelinks.protection.outlook.com/?url=http%3A%2F%2Fgov.uk%2F&amp;data=05%7C02%7C%7C1ac52ba189ff45f9314c08deed88228b%7C84df9e7fe9f640afb435aaaaaaaaaaaa%7C1%7C0%7C639209366135283864%7CUnknown%7CTWFpbGZsb3d8eyJFbXB0eU1hcGkiOnRydWUsIlYiOiIwLjAuMDAwMCIsIlAiOiJXaW4zMiIsIkFOIjoiTWFpbCIsIldUIjoyfQ%3D%3D%7C0%7C%7C%7C&amp;sdata=%2FyJKpG5XiklA1HNgQDmqnIXutHHZi2GA1Ok9baRM9Rk%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1618</Words>
  <Characters>9099</Characters>
  <Application>Microsoft Office Word</Application>
  <DocSecurity>0</DocSecurity>
  <Lines>606</Lines>
  <Paragraphs>510</Paragraphs>
  <ScaleCrop>false</ScaleCrop>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Devereux</dc:creator>
  <cp:keywords/>
  <dc:description/>
  <cp:lastModifiedBy>Robert Devereux</cp:lastModifiedBy>
  <cp:revision>2</cp:revision>
  <dcterms:created xsi:type="dcterms:W3CDTF">2026-07-29T15:50:00Z</dcterms:created>
  <dcterms:modified xsi:type="dcterms:W3CDTF">2026-08-06T09:35:00Z</dcterms:modified>
</cp:coreProperties>
</file>