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59" w:rsidRDefault="00347A35" w:rsidP="008F66B3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formato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wide</w:t>
      </w:r>
      <w:proofErr w:type="spellEnd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e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long</w:t>
      </w:r>
      <w:proofErr w:type="spellEnd"/>
    </w:p>
    <w:p w:rsidR="00347A35" w:rsidRPr="00347A35" w:rsidRDefault="00347A35" w:rsidP="00347A3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Os dados em uma tabela podem estar organizados em formatos diferentes de acordo com o modo em que foram preenchidos ou da necessidade da análise que será feita. Os termos </w:t>
      </w:r>
      <w:proofErr w:type="spellStart"/>
      <w:r w:rsidRPr="00347A3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wide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e </w:t>
      </w:r>
      <w:proofErr w:type="spellStart"/>
      <w:r w:rsidRPr="00347A3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long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são usados para descrever a organização dos dados em um banco de dados relacional.</w:t>
      </w:r>
    </w:p>
    <w:p w:rsidR="00347A35" w:rsidRPr="00347A35" w:rsidRDefault="00347A35" w:rsidP="00347A3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No formato </w:t>
      </w:r>
      <w:proofErr w:type="spellStart"/>
      <w:r w:rsidRPr="00347A3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wide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também conhecido como </w:t>
      </w:r>
      <w:r w:rsidRPr="00347A35">
        <w:rPr>
          <w:rFonts w:ascii="Times New Roman" w:eastAsia="Times New Roman" w:hAnsi="Times New Roman" w:cs="Times New Roman"/>
          <w:i/>
          <w:iCs/>
          <w:color w:val="FFFFFF"/>
          <w:sz w:val="27"/>
          <w:szCs w:val="27"/>
          <w:lang w:eastAsia="pt-BR"/>
        </w:rPr>
        <w:t>tabelas de pivô</w: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as tabelas têm uma única linha de cabeçalho contendo diversas colunas, geralmente mais colunas do que linhas, e são úteis para armazenar informações que possuem muitos atributos, como questionários e pesquisas. As colunas podem conter valores ausentes para as células em que os dados não se aplicam.</w:t>
      </w:r>
    </w:p>
    <w:p w:rsidR="00347A35" w:rsidRPr="00347A35" w:rsidRDefault="00347A35" w:rsidP="00347A35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Exemplo de uma tabela em formato </w:t>
      </w:r>
      <w:proofErr w:type="spellStart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wide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9"/>
        <w:gridCol w:w="773"/>
        <w:gridCol w:w="773"/>
        <w:gridCol w:w="638"/>
        <w:gridCol w:w="638"/>
        <w:gridCol w:w="803"/>
      </w:tblGrid>
      <w:tr w:rsidR="00347A35" w:rsidRPr="00347A35" w:rsidTr="00347A3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Nível 1 - Setor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2017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2018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2021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897.6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758.0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902.0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804.0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870.0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130.0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168.0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125.0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134.0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378.03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388.89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452.0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935.0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1047.0</w:t>
            </w:r>
          </w:p>
        </w:tc>
      </w:tr>
    </w:tbl>
    <w:p w:rsidR="00347A35" w:rsidRPr="00347A35" w:rsidRDefault="00347A35" w:rsidP="00347A3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No formato </w:t>
      </w:r>
      <w:proofErr w:type="spellStart"/>
      <w:r w:rsidRPr="00347A35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pt-BR"/>
        </w:rPr>
        <w:t>long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, também conhecido como </w:t>
      </w:r>
      <w:r w:rsidRPr="00347A35">
        <w:rPr>
          <w:rFonts w:ascii="Times New Roman" w:eastAsia="Times New Roman" w:hAnsi="Times New Roman" w:cs="Times New Roman"/>
          <w:i/>
          <w:iCs/>
          <w:color w:val="FFFFFF"/>
          <w:sz w:val="27"/>
          <w:szCs w:val="27"/>
          <w:lang w:eastAsia="pt-BR"/>
        </w:rPr>
        <w:t>formato normalizado</w: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ou </w:t>
      </w:r>
      <w:r w:rsidRPr="00347A35">
        <w:rPr>
          <w:rFonts w:ascii="Times New Roman" w:eastAsia="Times New Roman" w:hAnsi="Times New Roman" w:cs="Times New Roman"/>
          <w:i/>
          <w:iCs/>
          <w:color w:val="FFFFFF"/>
          <w:sz w:val="27"/>
          <w:szCs w:val="27"/>
          <w:lang w:eastAsia="pt-BR"/>
        </w:rPr>
        <w:t>estreito</w: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, as tabelas armazenam cada observação em uma linha separada. Ao invés de ter uma única linha de cabeçalho contendo todas as colunas, as tabelas no formato </w:t>
      </w:r>
      <w:proofErr w:type="spellStart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long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geralmente têm duas colunas principais de informação, uma para os nomes das variáveis e outra para os valores das variáveis. São úteis para armazenar informações com muitas observações, como séries temporais ou dados de experimentos científicos.</w:t>
      </w:r>
    </w:p>
    <w:p w:rsidR="00347A35" w:rsidRPr="00347A35" w:rsidRDefault="00347A35" w:rsidP="00347A35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Exemplo de uma tabela em formato </w:t>
      </w:r>
      <w:proofErr w:type="spellStart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long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9"/>
        <w:gridCol w:w="570"/>
        <w:gridCol w:w="1021"/>
      </w:tblGrid>
      <w:tr w:rsidR="00347A35" w:rsidRPr="00347A35" w:rsidTr="00347A35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Nível 1 - Setor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Emissão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897.6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130.0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378.03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758.0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168.0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388.89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902.0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98.0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452.0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804.0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125.0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935.0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870.0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lastRenderedPageBreak/>
              <w:t>Processos industriais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134.0</w:t>
            </w:r>
          </w:p>
        </w:tc>
      </w:tr>
      <w:tr w:rsidR="00347A35" w:rsidRPr="00347A35" w:rsidTr="00347A35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Mudança de Uso da Terra e Floresta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2021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47A35" w:rsidRPr="00347A35" w:rsidRDefault="00347A35" w:rsidP="00347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347A35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1047.0</w:t>
            </w:r>
          </w:p>
        </w:tc>
      </w:tr>
    </w:tbl>
    <w:p w:rsidR="00347A35" w:rsidRDefault="00347A35" w:rsidP="00347A3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</w:p>
    <w:p w:rsidR="00347A35" w:rsidRDefault="00347A35" w:rsidP="00347A3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Na biblioteca </w:t>
      </w:r>
      <w:r w:rsidRPr="00347A3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pandas</w: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, é possível fazer uma mudança do formato </w:t>
      </w:r>
      <w:proofErr w:type="spellStart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wide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para o formato </w:t>
      </w:r>
      <w:proofErr w:type="spellStart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long</w:t>
      </w:r>
      <w:proofErr w:type="spellEnd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com o uso do método </w:t>
      </w:r>
      <w:proofErr w:type="spellStart"/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fldChar w:fldCharType="begin"/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instrText xml:space="preserve"> HYPERLINK "https://pandas.pydata.org/docs/reference/api/pandas.melt.html" \t "_blank" </w:instrTex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fldChar w:fldCharType="separate"/>
      </w:r>
      <w:proofErr w:type="gramStart"/>
      <w:r w:rsidRPr="00347A35">
        <w:rPr>
          <w:rFonts w:ascii="Courier New" w:eastAsia="Times New Roman" w:hAnsi="Courier New" w:cs="Courier New"/>
          <w:color w:val="FFFFFF"/>
          <w:sz w:val="23"/>
          <w:szCs w:val="23"/>
          <w:u w:val="single"/>
          <w:shd w:val="clear" w:color="auto" w:fill="272822"/>
          <w:lang w:eastAsia="pt-BR"/>
        </w:rPr>
        <w:t>melt</w:t>
      </w:r>
      <w:proofErr w:type="spellEnd"/>
      <w:r w:rsidRPr="00347A35">
        <w:rPr>
          <w:rFonts w:ascii="Courier New" w:eastAsia="Times New Roman" w:hAnsi="Courier New" w:cs="Courier New"/>
          <w:color w:val="FFFFFF"/>
          <w:sz w:val="23"/>
          <w:szCs w:val="23"/>
          <w:u w:val="single"/>
          <w:shd w:val="clear" w:color="auto" w:fill="272822"/>
          <w:lang w:eastAsia="pt-BR"/>
        </w:rPr>
        <w:t>(</w:t>
      </w:r>
      <w:proofErr w:type="gramEnd"/>
      <w:r w:rsidRPr="00347A35">
        <w:rPr>
          <w:rFonts w:ascii="Courier New" w:eastAsia="Times New Roman" w:hAnsi="Courier New" w:cs="Courier New"/>
          <w:color w:val="FFFFFF"/>
          <w:sz w:val="23"/>
          <w:szCs w:val="23"/>
          <w:u w:val="single"/>
          <w:shd w:val="clear" w:color="auto" w:fill="272822"/>
          <w:lang w:eastAsia="pt-BR"/>
        </w:rPr>
        <w:t>)</w: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fldChar w:fldCharType="end"/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 A sintaxe para utilizar o método </w:t>
      </w:r>
      <w:proofErr w:type="spellStart"/>
      <w:proofErr w:type="gramStart"/>
      <w:r w:rsidRPr="00347A3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melt</w:t>
      </w:r>
      <w:proofErr w:type="spellEnd"/>
      <w:r w:rsidRPr="00347A3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347A3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)</w:t>
      </w:r>
      <w:r w:rsidRPr="00347A35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é a seguinte:</w:t>
      </w:r>
    </w:p>
    <w:p w:rsidR="00347A35" w:rsidRPr="00347A35" w:rsidRDefault="00347A35" w:rsidP="00347A3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</w:p>
    <w:p w:rsidR="00347A35" w:rsidRPr="00347A35" w:rsidRDefault="00347A35" w:rsidP="00347A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lang w:eastAsia="pt-BR"/>
        </w:rPr>
      </w:pPr>
      <w:proofErr w:type="spellStart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dataframe.melt</w:t>
      </w:r>
      <w:proofErr w:type="spellEnd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spellStart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id_vars</w:t>
      </w:r>
      <w:proofErr w:type="spellEnd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= [...], </w:t>
      </w:r>
      <w:proofErr w:type="spellStart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value_vars</w:t>
      </w:r>
      <w:proofErr w:type="spellEnd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= [...], </w:t>
      </w:r>
      <w:proofErr w:type="spellStart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var_name</w:t>
      </w:r>
      <w:proofErr w:type="spellEnd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= </w:t>
      </w:r>
      <w:r w:rsidRPr="00347A35">
        <w:rPr>
          <w:rFonts w:ascii="Courier New" w:eastAsia="Times New Roman" w:hAnsi="Courier New" w:cs="Courier New"/>
          <w:color w:val="A6E22E"/>
          <w:sz w:val="28"/>
          <w:szCs w:val="28"/>
          <w:shd w:val="clear" w:color="auto" w:fill="272822"/>
          <w:lang w:eastAsia="pt-BR"/>
        </w:rPr>
        <w:t>'..'</w:t>
      </w:r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, </w:t>
      </w:r>
      <w:proofErr w:type="spellStart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value_name</w:t>
      </w:r>
      <w:proofErr w:type="spellEnd"/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= </w:t>
      </w:r>
      <w:r w:rsidRPr="00347A35">
        <w:rPr>
          <w:rFonts w:ascii="Courier New" w:eastAsia="Times New Roman" w:hAnsi="Courier New" w:cs="Courier New"/>
          <w:color w:val="A6E22E"/>
          <w:sz w:val="28"/>
          <w:szCs w:val="28"/>
          <w:shd w:val="clear" w:color="auto" w:fill="272822"/>
          <w:lang w:eastAsia="pt-BR"/>
        </w:rPr>
        <w:t>'..'</w:t>
      </w:r>
      <w:r w:rsidRPr="00347A35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)</w:t>
      </w:r>
    </w:p>
    <w:p w:rsidR="00347A35" w:rsidRDefault="00347A35" w:rsidP="008F66B3">
      <w:pPr>
        <w:jc w:val="center"/>
        <w:rPr>
          <w:rFonts w:cstheme="minorHAnsi"/>
          <w:sz w:val="44"/>
          <w:szCs w:val="44"/>
        </w:rPr>
      </w:pPr>
    </w:p>
    <w:p w:rsidR="00347A35" w:rsidRDefault="00347A35" w:rsidP="00347A35">
      <w:pPr>
        <w:rPr>
          <w:color w:val="FFFFFF"/>
          <w:sz w:val="27"/>
          <w:szCs w:val="27"/>
          <w:shd w:val="clear" w:color="auto" w:fill="121212"/>
        </w:rPr>
      </w:pPr>
      <w:r>
        <w:rPr>
          <w:color w:val="FFFFFF"/>
          <w:sz w:val="27"/>
          <w:szCs w:val="27"/>
          <w:shd w:val="clear" w:color="auto" w:fill="121212"/>
        </w:rPr>
        <w:t>O parâmetro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id_vars</w:t>
      </w:r>
      <w:proofErr w:type="spellEnd"/>
      <w:r>
        <w:rPr>
          <w:color w:val="FFFFFF"/>
          <w:sz w:val="27"/>
          <w:szCs w:val="27"/>
          <w:shd w:val="clear" w:color="auto" w:fill="121212"/>
        </w:rPr>
        <w:t> é utilizado para identificar os nomes das colunas que serão mantidas no momento da transformação. Já o parâmetro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value_vars</w:t>
      </w:r>
      <w:proofErr w:type="spellEnd"/>
      <w:r>
        <w:rPr>
          <w:color w:val="FFFFFF"/>
          <w:sz w:val="27"/>
          <w:szCs w:val="27"/>
          <w:shd w:val="clear" w:color="auto" w:fill="121212"/>
        </w:rPr>
        <w:t xml:space="preserve"> é utilizado para identificar as colunas que serão transformadas nas colunas principais do formato </w:t>
      </w:r>
      <w:proofErr w:type="spellStart"/>
      <w:r>
        <w:rPr>
          <w:color w:val="FFFFFF"/>
          <w:sz w:val="27"/>
          <w:szCs w:val="27"/>
          <w:shd w:val="clear" w:color="auto" w:fill="121212"/>
        </w:rPr>
        <w:t>long</w:t>
      </w:r>
      <w:proofErr w:type="spellEnd"/>
      <w:r>
        <w:rPr>
          <w:color w:val="FFFFFF"/>
          <w:sz w:val="27"/>
          <w:szCs w:val="27"/>
          <w:shd w:val="clear" w:color="auto" w:fill="121212"/>
        </w:rPr>
        <w:t>, uma contendo as categorias com os nomes das colunas e outra contendo os valores. O parâmetro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var_name</w:t>
      </w:r>
      <w:proofErr w:type="spellEnd"/>
      <w:r>
        <w:rPr>
          <w:color w:val="FFFFFF"/>
          <w:sz w:val="27"/>
          <w:szCs w:val="27"/>
          <w:shd w:val="clear" w:color="auto" w:fill="121212"/>
        </w:rPr>
        <w:t> é usado para nomear a coluna contendo as categorias e o parâmetro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value_name</w:t>
      </w:r>
      <w:proofErr w:type="spellEnd"/>
      <w:r>
        <w:rPr>
          <w:color w:val="FFFFFF"/>
          <w:sz w:val="27"/>
          <w:szCs w:val="27"/>
          <w:shd w:val="clear" w:color="auto" w:fill="121212"/>
        </w:rPr>
        <w:t> para nomear a coluna com os valores numéricos.</w:t>
      </w: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347A35">
      <w:pPr>
        <w:rPr>
          <w:color w:val="FFFFFF"/>
          <w:sz w:val="27"/>
          <w:szCs w:val="27"/>
          <w:shd w:val="clear" w:color="auto" w:fill="121212"/>
        </w:rPr>
      </w:pPr>
    </w:p>
    <w:p w:rsidR="009213DD" w:rsidRDefault="009213DD" w:rsidP="009213DD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Para saber mais: como funciona o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groupby</w:t>
      </w:r>
      <w:proofErr w:type="spellEnd"/>
    </w:p>
    <w:p w:rsidR="009213DD" w:rsidRPr="009213DD" w:rsidRDefault="009213DD" w:rsidP="009213DD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grupos são gerados a partir das categorias de uma ou mais colunas da tabela com base na informação que desejamos agrupar. Nesta etapa, podemos visualizar os grupos formados com o atributo </w:t>
      </w:r>
      <w:proofErr w:type="spellStart"/>
      <w:r w:rsidRPr="009213D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groups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 e visualizar os dados de um grupo específico a partir do método </w:t>
      </w:r>
      <w:proofErr w:type="spellStart"/>
      <w:r w:rsidRPr="009213D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get_</w:t>
      </w:r>
      <w:proofErr w:type="gramStart"/>
      <w:r w:rsidRPr="009213D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group</w:t>
      </w:r>
      <w:proofErr w:type="spellEnd"/>
      <w:r w:rsidRPr="009213D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9213DD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)</w:t>
      </w:r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.</w:t>
      </w:r>
    </w:p>
    <w:p w:rsidR="009213DD" w:rsidRPr="009213DD" w:rsidRDefault="009213DD" w:rsidP="009213D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Já a etapa "aplicar" se refere ao momento de utilizar uma função matemática nos dados de cada grupo separadamente. Se o desejo for encontrar o valor total de cada grupo, então a soma será aplicada a cada grupo; se quisermos o valor médio, a função média será aplicada a cada grupo, e assim por diante. Existem diversas funções que podem ser aplicadas e cada uma dependerá do objetivo de análise dos dados: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mean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a média dos grupos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sum(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a soma dos valores do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size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tamanhos de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count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a contagem do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std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desvio padrão de grupos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var(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a variação de grupos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sem(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erro padrão da média dos grupos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describe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gera estatísticas descritivas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first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o primeiro dos valores do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last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o último dos valores do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nth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) : pega o </w:t>
      </w:r>
      <w:proofErr w:type="spell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n-ésimo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 xml:space="preserve"> valor do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min(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o mínimo de valores do grupo</w:t>
      </w:r>
    </w:p>
    <w:p w:rsidR="009213DD" w:rsidRPr="009213DD" w:rsidRDefault="009213DD" w:rsidP="009213D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proofErr w:type="spellStart"/>
      <w:proofErr w:type="gramStart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max</w:t>
      </w:r>
      <w:proofErr w:type="spell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(</w:t>
      </w:r>
      <w:proofErr w:type="gramEnd"/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) : calcula o máximo de valores do grupo</w:t>
      </w:r>
    </w:p>
    <w:p w:rsidR="009213DD" w:rsidRPr="009213DD" w:rsidRDefault="009213DD" w:rsidP="009213DD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</w:pPr>
      <w:r w:rsidRPr="009213DD">
        <w:rPr>
          <w:rFonts w:ascii="Times New Roman" w:eastAsia="Times New Roman" w:hAnsi="Times New Roman" w:cs="Times New Roman"/>
          <w:color w:val="FFFFFF"/>
          <w:sz w:val="27"/>
          <w:szCs w:val="27"/>
          <w:lang w:eastAsia="pt-BR"/>
        </w:rPr>
        <w:t>Por fim, a etapa "combinar" consiste em juntar todas as informações de agregação de cada grupo em uma única tabela, contendo o resumo das informações. A partir dela e com o resultado final, é possível extrair insights a partir dos dados e fazer comparações dos resultados entre cada grupo.</w:t>
      </w:r>
    </w:p>
    <w:p w:rsidR="009213DD" w:rsidRPr="008F66B3" w:rsidRDefault="009213DD" w:rsidP="009213DD">
      <w:pPr>
        <w:jc w:val="center"/>
        <w:rPr>
          <w:rFonts w:cstheme="minorHAnsi"/>
          <w:sz w:val="44"/>
          <w:szCs w:val="44"/>
        </w:rPr>
      </w:pPr>
      <w:bookmarkStart w:id="0" w:name="_GoBack"/>
      <w:bookmarkEnd w:id="0"/>
    </w:p>
    <w:sectPr w:rsidR="009213DD" w:rsidRPr="008F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A03"/>
    <w:multiLevelType w:val="multilevel"/>
    <w:tmpl w:val="43DA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45668"/>
    <w:multiLevelType w:val="multilevel"/>
    <w:tmpl w:val="5D9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6D50"/>
    <w:multiLevelType w:val="multilevel"/>
    <w:tmpl w:val="F06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9"/>
    <w:rsid w:val="00077327"/>
    <w:rsid w:val="00347A35"/>
    <w:rsid w:val="003848A7"/>
    <w:rsid w:val="004B0BAC"/>
    <w:rsid w:val="006F5359"/>
    <w:rsid w:val="008F66B3"/>
    <w:rsid w:val="009213DD"/>
    <w:rsid w:val="00F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75686-0F49-461E-85BF-4502912E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6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66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66B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F66B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F66B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F66B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7A3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34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3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690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2024-11-08T12:26:00Z</dcterms:created>
  <dcterms:modified xsi:type="dcterms:W3CDTF">2024-12-23T13:40:00Z</dcterms:modified>
</cp:coreProperties>
</file>