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DC2" w:rsidRPr="00894DC2" w:rsidRDefault="00894DC2" w:rsidP="00894DC2">
      <w:pPr>
        <w:spacing w:after="0" w:line="240" w:lineRule="auto"/>
        <w:outlineLvl w:val="0"/>
        <w:rPr>
          <w:rFonts w:eastAsia="Times New Roman" w:cstheme="minorHAnsi"/>
          <w:b/>
          <w:bCs/>
          <w:color w:val="000000" w:themeColor="text1"/>
          <w:spacing w:val="-8"/>
          <w:kern w:val="36"/>
          <w:sz w:val="32"/>
          <w:szCs w:val="32"/>
          <w:lang w:eastAsia="pt-BR"/>
        </w:rPr>
      </w:pPr>
      <w:r w:rsidRPr="00894DC2">
        <w:rPr>
          <w:rFonts w:eastAsia="Times New Roman" w:cstheme="minorHAnsi"/>
          <w:b/>
          <w:bCs/>
          <w:color w:val="000000" w:themeColor="text1"/>
          <w:spacing w:val="-8"/>
          <w:kern w:val="36"/>
          <w:sz w:val="35"/>
          <w:szCs w:val="35"/>
          <w:lang w:eastAsia="pt-BR"/>
        </w:rPr>
        <w:br/>
        <w:t>Glossário SQL</w:t>
      </w:r>
    </w:p>
    <w:p w:rsidR="00894DC2" w:rsidRPr="00894DC2" w:rsidRDefault="00894DC2" w:rsidP="00894DC2">
      <w:pPr>
        <w:shd w:val="clear" w:color="auto" w:fill="121212"/>
        <w:spacing w:after="0" w:line="240" w:lineRule="auto"/>
        <w:rPr>
          <w:rFonts w:eastAsia="Times New Roman" w:cstheme="minorHAnsi"/>
          <w:b/>
          <w:bCs/>
          <w:caps/>
          <w:color w:val="000000" w:themeColor="text1"/>
          <w:spacing w:val="-8"/>
          <w:sz w:val="15"/>
          <w:szCs w:val="15"/>
          <w:lang w:eastAsia="pt-BR"/>
        </w:rPr>
      </w:pPr>
    </w:p>
    <w:p w:rsidR="00894DC2" w:rsidRPr="00894DC2" w:rsidRDefault="00894DC2" w:rsidP="00894DC2">
      <w:pPr>
        <w:spacing w:after="0" w:line="473" w:lineRule="atLeast"/>
        <w:rPr>
          <w:rFonts w:eastAsia="Times New Roman" w:cstheme="minorHAnsi"/>
          <w:color w:val="000000" w:themeColor="text1"/>
          <w:sz w:val="27"/>
          <w:szCs w:val="27"/>
          <w:lang w:eastAsia="pt-BR"/>
        </w:rPr>
      </w:pPr>
      <w:r w:rsidRPr="00894DC2">
        <w:rPr>
          <w:rFonts w:eastAsia="Times New Roman" w:cstheme="minorHAnsi"/>
          <w:b/>
          <w:bCs/>
          <w:color w:val="000000" w:themeColor="text1"/>
          <w:sz w:val="27"/>
          <w:szCs w:val="27"/>
          <w:lang w:eastAsia="pt-BR"/>
        </w:rPr>
        <w:t>Glossário SQL: seu guia de bolso para praticar, rever e aprender ainda mais sobre SQL</w:t>
      </w:r>
    </w:p>
    <w:p w:rsidR="00894DC2" w:rsidRPr="00894DC2" w:rsidRDefault="00894DC2" w:rsidP="00894DC2">
      <w:pPr>
        <w:spacing w:before="360" w:after="360" w:line="473" w:lineRule="atLeast"/>
        <w:rPr>
          <w:rFonts w:eastAsia="Times New Roman" w:cstheme="minorHAnsi"/>
          <w:color w:val="000000" w:themeColor="text1"/>
          <w:sz w:val="27"/>
          <w:szCs w:val="27"/>
          <w:lang w:eastAsia="pt-BR"/>
        </w:rPr>
      </w:pPr>
      <w:r w:rsidRPr="00894DC2">
        <w:rPr>
          <w:rFonts w:eastAsia="Times New Roman" w:cstheme="minorHAnsi"/>
          <w:color w:val="000000" w:themeColor="text1"/>
          <w:sz w:val="27"/>
          <w:szCs w:val="27"/>
          <w:lang w:eastAsia="pt-BR"/>
        </w:rPr>
        <w:t>Durante nossa jornada de aprendizado, aprendemos diversas cláusulas e funções da linguagem SQL e conseguimos praticar em diferentes contextos.</w:t>
      </w:r>
    </w:p>
    <w:p w:rsidR="00894DC2" w:rsidRPr="00894DC2" w:rsidRDefault="00894DC2" w:rsidP="00894DC2">
      <w:pPr>
        <w:spacing w:before="360" w:after="360" w:line="473" w:lineRule="atLeast"/>
        <w:rPr>
          <w:rFonts w:eastAsia="Times New Roman" w:cstheme="minorHAnsi"/>
          <w:color w:val="000000" w:themeColor="text1"/>
          <w:sz w:val="27"/>
          <w:szCs w:val="27"/>
          <w:lang w:eastAsia="pt-BR"/>
        </w:rPr>
      </w:pPr>
      <w:r w:rsidRPr="00894DC2">
        <w:rPr>
          <w:rFonts w:eastAsia="Times New Roman" w:cstheme="minorHAnsi"/>
          <w:color w:val="000000" w:themeColor="text1"/>
          <w:sz w:val="27"/>
          <w:szCs w:val="27"/>
          <w:lang w:eastAsia="pt-BR"/>
        </w:rPr>
        <w:t>Foi pensando na sua experiência de aprendizado que criamos um glossário muito prático e útil para você sempre que quiser rever, praticar e entender ainda mais sobre o que vimos neste curso.</w:t>
      </w:r>
    </w:p>
    <w:p w:rsidR="00894DC2" w:rsidRPr="00894DC2" w:rsidRDefault="00894DC2" w:rsidP="00894DC2">
      <w:pPr>
        <w:spacing w:before="360" w:after="360" w:line="473" w:lineRule="atLeast"/>
        <w:rPr>
          <w:rFonts w:eastAsia="Times New Roman" w:cstheme="minorHAnsi"/>
          <w:color w:val="000000" w:themeColor="text1"/>
          <w:sz w:val="27"/>
          <w:szCs w:val="27"/>
          <w:lang w:eastAsia="pt-BR"/>
        </w:rPr>
      </w:pPr>
      <w:r w:rsidRPr="00894DC2">
        <w:rPr>
          <w:rFonts w:eastAsia="Times New Roman" w:cstheme="minorHAnsi"/>
          <w:color w:val="000000" w:themeColor="text1"/>
          <w:sz w:val="27"/>
          <w:szCs w:val="27"/>
          <w:lang w:eastAsia="pt-BR"/>
        </w:rPr>
        <w:t>O que você encontra neste guia:</w:t>
      </w:r>
    </w:p>
    <w:p w:rsidR="00894DC2" w:rsidRPr="00894DC2" w:rsidRDefault="00894DC2" w:rsidP="00894DC2">
      <w:pPr>
        <w:numPr>
          <w:ilvl w:val="0"/>
          <w:numId w:val="2"/>
        </w:numPr>
        <w:spacing w:before="60" w:after="60" w:line="473" w:lineRule="atLeast"/>
        <w:ind w:left="480"/>
        <w:rPr>
          <w:rFonts w:eastAsia="Times New Roman" w:cstheme="minorHAnsi"/>
          <w:color w:val="000000" w:themeColor="text1"/>
          <w:sz w:val="27"/>
          <w:szCs w:val="27"/>
          <w:lang w:eastAsia="pt-BR"/>
        </w:rPr>
      </w:pPr>
      <w:r w:rsidRPr="00894DC2">
        <w:rPr>
          <w:rFonts w:eastAsia="Times New Roman" w:cstheme="minorHAnsi"/>
          <w:color w:val="000000" w:themeColor="text1"/>
          <w:sz w:val="27"/>
          <w:szCs w:val="27"/>
          <w:lang w:eastAsia="pt-BR"/>
        </w:rPr>
        <w:t>Dicas práticas: para dominar ainda mais a linguagem SQL com exemplos reais e sem enrolação.</w:t>
      </w:r>
    </w:p>
    <w:p w:rsidR="00894DC2" w:rsidRPr="00894DC2" w:rsidRDefault="00894DC2" w:rsidP="00894DC2">
      <w:pPr>
        <w:numPr>
          <w:ilvl w:val="0"/>
          <w:numId w:val="2"/>
        </w:numPr>
        <w:spacing w:before="60" w:after="60" w:line="473" w:lineRule="atLeast"/>
        <w:ind w:left="480"/>
        <w:rPr>
          <w:rFonts w:eastAsia="Times New Roman" w:cstheme="minorHAnsi"/>
          <w:color w:val="000000" w:themeColor="text1"/>
          <w:sz w:val="27"/>
          <w:szCs w:val="27"/>
          <w:lang w:eastAsia="pt-BR"/>
        </w:rPr>
      </w:pPr>
      <w:r w:rsidRPr="00894DC2">
        <w:rPr>
          <w:rFonts w:eastAsia="Times New Roman" w:cstheme="minorHAnsi"/>
          <w:color w:val="000000" w:themeColor="text1"/>
          <w:sz w:val="27"/>
          <w:szCs w:val="27"/>
          <w:lang w:eastAsia="pt-BR"/>
        </w:rPr>
        <w:t>Técnicas simples que vão te ajudar no seu dia a dia de trabalho e de estudos em SQL.</w:t>
      </w:r>
    </w:p>
    <w:p w:rsidR="00894DC2" w:rsidRPr="00894DC2" w:rsidRDefault="00894DC2" w:rsidP="00894DC2">
      <w:pPr>
        <w:numPr>
          <w:ilvl w:val="0"/>
          <w:numId w:val="2"/>
        </w:numPr>
        <w:spacing w:before="60" w:after="60" w:line="473" w:lineRule="atLeast"/>
        <w:ind w:left="480"/>
        <w:rPr>
          <w:rFonts w:eastAsia="Times New Roman" w:cstheme="minorHAnsi"/>
          <w:color w:val="000000" w:themeColor="text1"/>
          <w:sz w:val="27"/>
          <w:szCs w:val="27"/>
          <w:lang w:eastAsia="pt-BR"/>
        </w:rPr>
      </w:pPr>
      <w:r w:rsidRPr="00894DC2">
        <w:rPr>
          <w:rFonts w:eastAsia="Times New Roman" w:cstheme="minorHAnsi"/>
          <w:color w:val="000000" w:themeColor="text1"/>
          <w:sz w:val="27"/>
          <w:szCs w:val="27"/>
          <w:lang w:eastAsia="pt-BR"/>
        </w:rPr>
        <w:t>Didática divertida e sem palavras difíceis. Direto ao ponto.</w:t>
      </w:r>
    </w:p>
    <w:p w:rsidR="00894DC2" w:rsidRPr="00894DC2" w:rsidRDefault="00894DC2" w:rsidP="00894DC2">
      <w:pPr>
        <w:spacing w:after="0" w:line="473" w:lineRule="atLeast"/>
        <w:rPr>
          <w:rFonts w:eastAsia="Times New Roman" w:cstheme="minorHAnsi"/>
          <w:color w:val="000000" w:themeColor="text1"/>
          <w:sz w:val="27"/>
          <w:szCs w:val="27"/>
          <w:lang w:eastAsia="pt-BR"/>
        </w:rPr>
      </w:pPr>
      <w:r w:rsidRPr="00894DC2">
        <w:rPr>
          <w:rFonts w:eastAsia="Times New Roman" w:cstheme="minorHAnsi"/>
          <w:color w:val="000000" w:themeColor="text1"/>
          <w:sz w:val="27"/>
          <w:szCs w:val="27"/>
          <w:lang w:eastAsia="pt-BR"/>
        </w:rPr>
        <w:t>Faça o download do glossário </w:t>
      </w:r>
      <w:hyperlink r:id="rId5" w:tgtFrame="_blank" w:history="1">
        <w:r w:rsidRPr="00894DC2">
          <w:rPr>
            <w:rFonts w:eastAsia="Times New Roman" w:cstheme="minorHAnsi"/>
            <w:color w:val="000000" w:themeColor="text1"/>
            <w:sz w:val="27"/>
            <w:szCs w:val="27"/>
            <w:u w:val="single"/>
            <w:lang w:eastAsia="pt-BR"/>
          </w:rPr>
          <w:t>a</w:t>
        </w:r>
        <w:r w:rsidRPr="00894DC2">
          <w:rPr>
            <w:rFonts w:eastAsia="Times New Roman" w:cstheme="minorHAnsi"/>
            <w:color w:val="000000" w:themeColor="text1"/>
            <w:sz w:val="27"/>
            <w:szCs w:val="27"/>
            <w:u w:val="single"/>
            <w:lang w:eastAsia="pt-BR"/>
          </w:rPr>
          <w:t>q</w:t>
        </w:r>
        <w:r w:rsidRPr="00894DC2">
          <w:rPr>
            <w:rFonts w:eastAsia="Times New Roman" w:cstheme="minorHAnsi"/>
            <w:color w:val="000000" w:themeColor="text1"/>
            <w:sz w:val="27"/>
            <w:szCs w:val="27"/>
            <w:u w:val="single"/>
            <w:lang w:eastAsia="pt-BR"/>
          </w:rPr>
          <w:t>ui</w:t>
        </w:r>
      </w:hyperlink>
      <w:r>
        <w:rPr>
          <w:rFonts w:eastAsia="Times New Roman" w:cstheme="minorHAnsi"/>
          <w:color w:val="000000" w:themeColor="text1"/>
          <w:sz w:val="27"/>
          <w:szCs w:val="27"/>
          <w:lang w:eastAsia="pt-BR"/>
        </w:rPr>
        <w:t xml:space="preserve"> ou </w:t>
      </w:r>
      <w:hyperlink r:id="rId6" w:history="1">
        <w:r w:rsidRPr="00894DC2">
          <w:rPr>
            <w:rStyle w:val="Hyperlink"/>
            <w:rFonts w:eastAsia="Times New Roman" w:cstheme="minorHAnsi"/>
            <w:sz w:val="27"/>
            <w:szCs w:val="27"/>
            <w:lang w:eastAsia="pt-BR"/>
          </w:rPr>
          <w:t>aqui</w:t>
        </w:r>
      </w:hyperlink>
      <w:r w:rsidRPr="00894DC2">
        <w:rPr>
          <w:rFonts w:eastAsia="Times New Roman" w:cstheme="minorHAnsi"/>
          <w:color w:val="000000" w:themeColor="text1"/>
          <w:sz w:val="27"/>
          <w:szCs w:val="27"/>
          <w:lang w:eastAsia="pt-BR"/>
        </w:rPr>
        <w:t>.</w:t>
      </w:r>
    </w:p>
    <w:p w:rsidR="00D85820" w:rsidRPr="00894DC2" w:rsidRDefault="00894DC2">
      <w:pPr>
        <w:rPr>
          <w:rFonts w:cstheme="minorHAnsi"/>
          <w:color w:val="000000" w:themeColor="text1"/>
        </w:rPr>
      </w:pPr>
      <w:bookmarkStart w:id="0" w:name="_GoBack"/>
      <w:bookmarkEnd w:id="0"/>
    </w:p>
    <w:sectPr w:rsidR="00D85820" w:rsidRPr="00894D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54530"/>
    <w:multiLevelType w:val="multilevel"/>
    <w:tmpl w:val="E7B4A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F6386E"/>
    <w:multiLevelType w:val="multilevel"/>
    <w:tmpl w:val="36246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999"/>
    <w:rsid w:val="00077327"/>
    <w:rsid w:val="004B0BAC"/>
    <w:rsid w:val="00567999"/>
    <w:rsid w:val="0089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F99496-4F1C-4DF3-874D-F3B854E7E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94D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4DC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894DC2"/>
  </w:style>
  <w:style w:type="character" w:styleId="Hyperlink">
    <w:name w:val="Hyperlink"/>
    <w:basedOn w:val="Fontepargpadro"/>
    <w:uiPriority w:val="99"/>
    <w:unhideWhenUsed/>
    <w:rsid w:val="00894D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94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94D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68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7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549212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15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Gloss&#225;rio+SQL.pdf" TargetMode="External"/><Relationship Id="rId5" Type="http://schemas.openxmlformats.org/officeDocument/2006/relationships/hyperlink" Target="https://cdn3.gnarususercontent.com.br/3395-sql-lite/Material+de+apoio/Gloss%C3%A1rio+SQL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141</Words>
  <Characters>764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2024-10-15T14:07:00Z</dcterms:created>
  <dcterms:modified xsi:type="dcterms:W3CDTF">2024-10-15T14:09:00Z</dcterms:modified>
</cp:coreProperties>
</file>