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9E873" w14:textId="77777777" w:rsidR="007F3431" w:rsidRPr="007F3431" w:rsidRDefault="007F3431" w:rsidP="007F3431">
      <w:pPr>
        <w:rPr>
          <w:b/>
          <w:bCs/>
          <w:lang w:val="en-SE"/>
        </w:rPr>
      </w:pPr>
      <w:r w:rsidRPr="007F3431">
        <w:rPr>
          <w:b/>
          <w:bCs/>
          <w:lang w:val="en-SE"/>
        </w:rPr>
        <w:t>The Crisis in Risk Analysis: A Multi-Sector Imperative</w:t>
      </w:r>
    </w:p>
    <w:p w14:paraId="0F37553A" w14:textId="77777777" w:rsidR="007F3431" w:rsidRPr="007F3431" w:rsidRDefault="007F3431" w:rsidP="007F3431">
      <w:pPr>
        <w:rPr>
          <w:b/>
          <w:bCs/>
          <w:lang w:val="en-SE"/>
        </w:rPr>
      </w:pPr>
      <w:r w:rsidRPr="007F3431">
        <w:rPr>
          <w:b/>
          <w:bCs/>
          <w:lang w:val="en-SE"/>
        </w:rPr>
        <w:t>The Escalating Cost of Risk Assessment Failures</w:t>
      </w:r>
    </w:p>
    <w:p w14:paraId="58CD568E" w14:textId="77777777" w:rsidR="007F3431" w:rsidRPr="007F3431" w:rsidRDefault="007F3431" w:rsidP="007F3431">
      <w:pPr>
        <w:rPr>
          <w:lang w:val="en-SE"/>
        </w:rPr>
      </w:pPr>
      <w:r w:rsidRPr="007F3431">
        <w:rPr>
          <w:lang w:val="en-SE"/>
        </w:rPr>
        <w:t>Traditional due diligence methodologies are failing across sectors at an unprecedented rate</w:t>
      </w:r>
    </w:p>
    <w:p w14:paraId="587E602C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$900M</w:t>
      </w:r>
      <w:r w:rsidRPr="007F3431">
        <w:rPr>
          <w:lang w:val="en-SE"/>
        </w:rPr>
        <w:t xml:space="preserve"> - Stenn fintech collapse</w:t>
      </w:r>
      <w:r w:rsidRPr="007F3431">
        <w:rPr>
          <w:lang w:val="en-SE"/>
        </w:rPr>
        <w:br/>
      </w:r>
      <w:r w:rsidRPr="007F3431">
        <w:rPr>
          <w:b/>
          <w:bCs/>
          <w:lang w:val="en-SE"/>
        </w:rPr>
        <w:t>$32B</w:t>
      </w:r>
      <w:r w:rsidRPr="007F3431">
        <w:rPr>
          <w:lang w:val="en-SE"/>
        </w:rPr>
        <w:t xml:space="preserve"> - FTX due diligence failure</w:t>
      </w:r>
      <w:r w:rsidRPr="007F3431">
        <w:rPr>
          <w:lang w:val="en-SE"/>
        </w:rPr>
        <w:br/>
      </w:r>
      <w:r w:rsidRPr="007F3431">
        <w:rPr>
          <w:b/>
          <w:bCs/>
          <w:lang w:val="en-SE"/>
        </w:rPr>
        <w:t>€200B</w:t>
      </w:r>
      <w:r w:rsidRPr="007F3431">
        <w:rPr>
          <w:lang w:val="en-SE"/>
        </w:rPr>
        <w:t xml:space="preserve"> - Danske Bank scandal</w:t>
      </w:r>
      <w:r w:rsidRPr="007F3431">
        <w:rPr>
          <w:lang w:val="en-SE"/>
        </w:rPr>
        <w:br/>
      </w:r>
      <w:r w:rsidRPr="007F3431">
        <w:rPr>
          <w:b/>
          <w:bCs/>
          <w:lang w:val="en-SE"/>
        </w:rPr>
        <w:t>$2.1T</w:t>
      </w:r>
      <w:r w:rsidRPr="007F3431">
        <w:rPr>
          <w:lang w:val="en-SE"/>
        </w:rPr>
        <w:t xml:space="preserve"> - Annual global financial crime proceeds evading detection</w:t>
      </w:r>
    </w:p>
    <w:p w14:paraId="033C68FB" w14:textId="77777777" w:rsidR="007F3431" w:rsidRPr="007F3431" w:rsidRDefault="007F3431" w:rsidP="007F3431">
      <w:pPr>
        <w:rPr>
          <w:b/>
          <w:bCs/>
          <w:lang w:val="en-SE"/>
        </w:rPr>
      </w:pPr>
      <w:r w:rsidRPr="007F3431">
        <w:rPr>
          <w:b/>
          <w:bCs/>
          <w:lang w:val="en-SE"/>
        </w:rPr>
        <w:t>Why Traditional Due Diligence Fails</w:t>
      </w:r>
    </w:p>
    <w:p w14:paraId="3F94155D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Pressure to Close Deals</w:t>
      </w:r>
      <w:r w:rsidRPr="007F3431">
        <w:rPr>
          <w:lang w:val="en-SE"/>
        </w:rPr>
        <w:br/>
        <w:t>73% of M&amp;A professionals report increased pressure to accelerate due diligence timelines, leading to oversights like WeWork's $40B valuation loss.</w:t>
      </w:r>
    </w:p>
    <w:p w14:paraId="2F0462C3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Digital Transformation Gaps</w:t>
      </w:r>
      <w:r w:rsidRPr="007F3431">
        <w:rPr>
          <w:lang w:val="en-SE"/>
        </w:rPr>
        <w:br/>
        <w:t>64% of organizations report critical gaps between digital transformation and risk assessment capabilities, exemplified by the SolarWinds breach affecting public and private sectors alike.</w:t>
      </w:r>
    </w:p>
    <w:p w14:paraId="564D9261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Geopolitical Complexity</w:t>
      </w:r>
      <w:r w:rsidRPr="007F3431">
        <w:rPr>
          <w:lang w:val="en-SE"/>
        </w:rPr>
        <w:br/>
        <w:t>Cross-border transactions increased 34% while regional risk expertise declined 18%, leading to significant losses in international investments and critical infrastructure projects.</w:t>
      </w:r>
    </w:p>
    <w:p w14:paraId="78F56E46" w14:textId="77777777" w:rsidR="007F3431" w:rsidRPr="007F3431" w:rsidRDefault="007F3431" w:rsidP="007F3431">
      <w:pPr>
        <w:rPr>
          <w:b/>
          <w:bCs/>
          <w:lang w:val="en-SE"/>
        </w:rPr>
      </w:pPr>
      <w:r w:rsidRPr="007F3431">
        <w:rPr>
          <w:b/>
          <w:bCs/>
          <w:lang w:val="en-SE"/>
        </w:rPr>
        <w:t>Why Risk Advisory Services Fall Short Across Sectors</w:t>
      </w:r>
    </w:p>
    <w:p w14:paraId="7A9467DD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Outdated Methodologies</w:t>
      </w:r>
      <w:r w:rsidRPr="007F3431">
        <w:rPr>
          <w:lang w:val="en-SE"/>
        </w:rPr>
        <w:br/>
        <w:t>68% of risk models remain backward-looking and rule-based in a world demanding predictive, adaptive approaches - a critical vulnerability for national security and corporate resilience.</w:t>
      </w:r>
    </w:p>
    <w:p w14:paraId="2A6193FB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Data Silos</w:t>
      </w:r>
      <w:r w:rsidRPr="007F3431">
        <w:rPr>
          <w:lang w:val="en-SE"/>
        </w:rPr>
        <w:br/>
        <w:t>Average enterprise uses 16+ disparate systems containing risk-relevant data with minimal integration, while government agencies face similar challenges across departmental boundaries.</w:t>
      </w:r>
    </w:p>
    <w:p w14:paraId="7C76C00C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Expertise Shortages</w:t>
      </w:r>
      <w:r w:rsidRPr="007F3431">
        <w:rPr>
          <w:lang w:val="en-SE"/>
        </w:rPr>
        <w:br/>
        <w:t>82% shortage in professionals with combined regional expertise and technical risk assessment skills, affecting both private sector and public agency capabilities.</w:t>
      </w:r>
    </w:p>
    <w:p w14:paraId="72B29194" w14:textId="77777777" w:rsidR="007F3431" w:rsidRPr="007F3431" w:rsidRDefault="007F3431" w:rsidP="007F3431">
      <w:pPr>
        <w:rPr>
          <w:b/>
          <w:bCs/>
          <w:lang w:val="en-SE"/>
        </w:rPr>
      </w:pPr>
      <w:r w:rsidRPr="007F3431">
        <w:rPr>
          <w:b/>
          <w:bCs/>
          <w:lang w:val="en-SE"/>
        </w:rPr>
        <w:t>The Multi-Sector Risk Challenge</w:t>
      </w:r>
    </w:p>
    <w:p w14:paraId="4787D978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For Corporations:</w:t>
      </w:r>
    </w:p>
    <w:p w14:paraId="41AEB06D" w14:textId="77777777" w:rsidR="007F3431" w:rsidRPr="007F3431" w:rsidRDefault="007F3431" w:rsidP="007F3431">
      <w:pPr>
        <w:numPr>
          <w:ilvl w:val="0"/>
          <w:numId w:val="1"/>
        </w:numPr>
        <w:rPr>
          <w:lang w:val="en-SE"/>
        </w:rPr>
      </w:pPr>
      <w:r w:rsidRPr="007F3431">
        <w:rPr>
          <w:lang w:val="en-SE"/>
        </w:rPr>
        <w:t>ESG compliance requirements have increased 300% in 5 years</w:t>
      </w:r>
    </w:p>
    <w:p w14:paraId="65B32BA6" w14:textId="77777777" w:rsidR="007F3431" w:rsidRPr="007F3431" w:rsidRDefault="007F3431" w:rsidP="007F3431">
      <w:pPr>
        <w:numPr>
          <w:ilvl w:val="0"/>
          <w:numId w:val="1"/>
        </w:numPr>
        <w:rPr>
          <w:lang w:val="en-SE"/>
        </w:rPr>
      </w:pPr>
      <w:r w:rsidRPr="007F3431">
        <w:rPr>
          <w:lang w:val="en-SE"/>
        </w:rPr>
        <w:t>Supply chain disruptions cost an average of $184M per incident</w:t>
      </w:r>
    </w:p>
    <w:p w14:paraId="259E6848" w14:textId="77777777" w:rsidR="007F3431" w:rsidRPr="007F3431" w:rsidRDefault="007F3431" w:rsidP="007F3431">
      <w:pPr>
        <w:numPr>
          <w:ilvl w:val="0"/>
          <w:numId w:val="1"/>
        </w:numPr>
        <w:rPr>
          <w:lang w:val="en-SE"/>
        </w:rPr>
      </w:pPr>
      <w:r w:rsidRPr="007F3431">
        <w:rPr>
          <w:lang w:val="en-SE"/>
        </w:rPr>
        <w:t>Cyber insurance premiums rose 74% while coverage decreased 55%</w:t>
      </w:r>
    </w:p>
    <w:p w14:paraId="491357FD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For Government Agencies:</w:t>
      </w:r>
    </w:p>
    <w:p w14:paraId="062369D8" w14:textId="77777777" w:rsidR="007F3431" w:rsidRPr="007F3431" w:rsidRDefault="007F3431" w:rsidP="007F3431">
      <w:pPr>
        <w:numPr>
          <w:ilvl w:val="0"/>
          <w:numId w:val="2"/>
        </w:numPr>
        <w:rPr>
          <w:lang w:val="en-SE"/>
        </w:rPr>
      </w:pPr>
      <w:r w:rsidRPr="007F3431">
        <w:rPr>
          <w:lang w:val="en-SE"/>
        </w:rPr>
        <w:t>Critical infrastructure vulnerabilities increased 47% year-over-year</w:t>
      </w:r>
    </w:p>
    <w:p w14:paraId="17A02A49" w14:textId="77777777" w:rsidR="007F3431" w:rsidRPr="007F3431" w:rsidRDefault="007F3431" w:rsidP="007F3431">
      <w:pPr>
        <w:numPr>
          <w:ilvl w:val="0"/>
          <w:numId w:val="2"/>
        </w:numPr>
        <w:rPr>
          <w:lang w:val="en-SE"/>
        </w:rPr>
      </w:pPr>
      <w:r w:rsidRPr="007F3431">
        <w:rPr>
          <w:lang w:val="en-SE"/>
        </w:rPr>
        <w:t>Foreign investment screening requirements expanded across 37 countries</w:t>
      </w:r>
    </w:p>
    <w:p w14:paraId="7682E970" w14:textId="77777777" w:rsidR="007F3431" w:rsidRPr="007F3431" w:rsidRDefault="007F3431" w:rsidP="007F3431">
      <w:pPr>
        <w:numPr>
          <w:ilvl w:val="0"/>
          <w:numId w:val="2"/>
        </w:numPr>
        <w:rPr>
          <w:lang w:val="en-SE"/>
        </w:rPr>
      </w:pPr>
      <w:r w:rsidRPr="007F3431">
        <w:rPr>
          <w:lang w:val="en-SE"/>
        </w:rPr>
        <w:t>Public-private partnership risk allocation models underperforming by 42%</w:t>
      </w:r>
    </w:p>
    <w:p w14:paraId="1742735D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lastRenderedPageBreak/>
        <w:t>For Research Institutions:</w:t>
      </w:r>
    </w:p>
    <w:p w14:paraId="6B506C0F" w14:textId="77777777" w:rsidR="007F3431" w:rsidRPr="007F3431" w:rsidRDefault="007F3431" w:rsidP="007F3431">
      <w:pPr>
        <w:numPr>
          <w:ilvl w:val="0"/>
          <w:numId w:val="3"/>
        </w:numPr>
        <w:rPr>
          <w:lang w:val="en-SE"/>
        </w:rPr>
      </w:pPr>
      <w:r w:rsidRPr="007F3431">
        <w:rPr>
          <w:lang w:val="en-SE"/>
        </w:rPr>
        <w:t>59% increase in research security compliance requirements</w:t>
      </w:r>
    </w:p>
    <w:p w14:paraId="074E5AE9" w14:textId="77777777" w:rsidR="007F3431" w:rsidRPr="007F3431" w:rsidRDefault="007F3431" w:rsidP="007F3431">
      <w:pPr>
        <w:numPr>
          <w:ilvl w:val="0"/>
          <w:numId w:val="3"/>
        </w:numPr>
        <w:rPr>
          <w:lang w:val="en-SE"/>
        </w:rPr>
      </w:pPr>
      <w:r w:rsidRPr="007F3431">
        <w:rPr>
          <w:lang w:val="en-SE"/>
        </w:rPr>
        <w:t>Cross-border collaboration risks threatening $43B in annual funding</w:t>
      </w:r>
    </w:p>
    <w:p w14:paraId="64026001" w14:textId="77777777" w:rsidR="007F3431" w:rsidRPr="007F3431" w:rsidRDefault="007F3431" w:rsidP="007F3431">
      <w:pPr>
        <w:numPr>
          <w:ilvl w:val="0"/>
          <w:numId w:val="3"/>
        </w:numPr>
        <w:rPr>
          <w:lang w:val="en-SE"/>
        </w:rPr>
      </w:pPr>
      <w:r w:rsidRPr="007F3431">
        <w:rPr>
          <w:lang w:val="en-SE"/>
        </w:rPr>
        <w:t>Intellectual property protection gaps identified in 71% of assessments</w:t>
      </w:r>
    </w:p>
    <w:p w14:paraId="4A29EB84" w14:textId="77777777" w:rsidR="007F3431" w:rsidRPr="007F3431" w:rsidRDefault="007F3431" w:rsidP="007F3431">
      <w:pPr>
        <w:rPr>
          <w:b/>
          <w:bCs/>
          <w:lang w:val="en-SE"/>
        </w:rPr>
      </w:pPr>
      <w:r w:rsidRPr="007F3431">
        <w:rPr>
          <w:b/>
          <w:bCs/>
          <w:lang w:val="en-SE"/>
        </w:rPr>
        <w:t>A New Approach to Risk Intelligence</w:t>
      </w:r>
    </w:p>
    <w:p w14:paraId="453D0909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Integrated Risk Technology Platform</w:t>
      </w:r>
      <w:r w:rsidRPr="007F3431">
        <w:rPr>
          <w:lang w:val="en-SE"/>
        </w:rPr>
        <w:br/>
        <w:t>Connecting disparate data sources through AI-powered analytics for comprehensive risk visualization across organizational boundaries.</w:t>
      </w:r>
    </w:p>
    <w:p w14:paraId="51906F31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Multi-Disciplinary Expertise Network</w:t>
      </w:r>
      <w:r w:rsidRPr="007F3431">
        <w:rPr>
          <w:lang w:val="en-SE"/>
        </w:rPr>
        <w:br/>
        <w:t>Combining regional specialists, sector experts, and technical analysts to provide contextualized risk intelligence relevant to your specific challenges.</w:t>
      </w:r>
    </w:p>
    <w:p w14:paraId="2D068B3C" w14:textId="77777777" w:rsidR="007F3431" w:rsidRPr="007F3431" w:rsidRDefault="007F3431" w:rsidP="007F3431">
      <w:pPr>
        <w:rPr>
          <w:lang w:val="en-SE"/>
        </w:rPr>
      </w:pPr>
      <w:r w:rsidRPr="007F3431">
        <w:rPr>
          <w:b/>
          <w:bCs/>
          <w:lang w:val="en-SE"/>
        </w:rPr>
        <w:t>Adaptive Risk Frameworks</w:t>
      </w:r>
      <w:r w:rsidRPr="007F3431">
        <w:rPr>
          <w:lang w:val="en-SE"/>
        </w:rPr>
        <w:br/>
        <w:t>Custom-designed methodologies that evolve with emerging threats and opportunities, aligned to your organizational structure and mission.</w:t>
      </w:r>
    </w:p>
    <w:p w14:paraId="7FD69CB5" w14:textId="77777777" w:rsidR="00114FC3" w:rsidRPr="007F3431" w:rsidRDefault="00114FC3">
      <w:pPr>
        <w:rPr>
          <w:lang w:val="en-SE"/>
        </w:rPr>
      </w:pPr>
    </w:p>
    <w:sectPr w:rsidR="00114FC3" w:rsidRPr="007F34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23309"/>
    <w:multiLevelType w:val="multilevel"/>
    <w:tmpl w:val="1D20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E1465"/>
    <w:multiLevelType w:val="multilevel"/>
    <w:tmpl w:val="46D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76BA4"/>
    <w:multiLevelType w:val="multilevel"/>
    <w:tmpl w:val="A0A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130202">
    <w:abstractNumId w:val="2"/>
  </w:num>
  <w:num w:numId="2" w16cid:durableId="1986474447">
    <w:abstractNumId w:val="1"/>
  </w:num>
  <w:num w:numId="3" w16cid:durableId="46250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31"/>
    <w:rsid w:val="00114FC3"/>
    <w:rsid w:val="007A5267"/>
    <w:rsid w:val="007F3431"/>
    <w:rsid w:val="00926023"/>
    <w:rsid w:val="00B6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E59CC"/>
  <w15:chartTrackingRefBased/>
  <w15:docId w15:val="{AD7E62C7-63CA-4A69-9140-25556995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4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Shaw</dc:creator>
  <cp:keywords/>
  <dc:description/>
  <cp:lastModifiedBy>Robert Shaw</cp:lastModifiedBy>
  <cp:revision>1</cp:revision>
  <dcterms:created xsi:type="dcterms:W3CDTF">2025-05-07T12:37:00Z</dcterms:created>
  <dcterms:modified xsi:type="dcterms:W3CDTF">2025-05-07T13:31:00Z</dcterms:modified>
</cp:coreProperties>
</file>