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82449f8cddce67519e94d6bf0265ec23635041"/>
    <w:p>
      <w:pPr>
        <w:pStyle w:val="Heading1"/>
      </w:pPr>
      <w:r>
        <w:t xml:space="preserve">Documento de Seguridad y Control de Acceso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las políticas de seguridad, autenticación, autorización y protección de datos del Portal Turístico del Gran Santo Domingo, garantizando el acceso controlado a la información y la integridad del sistema.</w:t>
      </w:r>
    </w:p>
    <w:p>
      <w:r>
        <w:pict>
          <v:rect style="width:0;height:1.5pt" o:hralign="center" o:hrstd="t" o:hr="t"/>
        </w:pict>
      </w:r>
    </w:p>
    <w:bookmarkEnd w:id="22"/>
    <w:bookmarkStart w:id="23" w:name="principios-de-seguridad"/>
    <w:p>
      <w:pPr>
        <w:pStyle w:val="Heading1"/>
      </w:pPr>
      <w:r>
        <w:t xml:space="preserve">2. Principios de Seguridad</w:t>
      </w:r>
    </w:p>
    <w:p>
      <w:pPr>
        <w:pStyle w:val="Compact"/>
        <w:numPr>
          <w:ilvl w:val="0"/>
          <w:numId w:val="1001"/>
        </w:numPr>
      </w:pPr>
      <w:r>
        <w:t xml:space="preserve">Principio de mínimo privilegio.</w:t>
      </w:r>
    </w:p>
    <w:p>
      <w:pPr>
        <w:pStyle w:val="Compact"/>
        <w:numPr>
          <w:ilvl w:val="0"/>
          <w:numId w:val="1001"/>
        </w:numPr>
      </w:pPr>
      <w:r>
        <w:t xml:space="preserve">Validación de todas las entradas.</w:t>
      </w:r>
    </w:p>
    <w:p>
      <w:pPr>
        <w:pStyle w:val="Compact"/>
        <w:numPr>
          <w:ilvl w:val="0"/>
          <w:numId w:val="1001"/>
        </w:numPr>
      </w:pPr>
      <w:r>
        <w:t xml:space="preserve">Protección de datos sensibles.</w:t>
      </w:r>
    </w:p>
    <w:p>
      <w:pPr>
        <w:pStyle w:val="Compact"/>
        <w:numPr>
          <w:ilvl w:val="0"/>
          <w:numId w:val="1001"/>
        </w:numPr>
      </w:pPr>
      <w:r>
        <w:t xml:space="preserve">Separación clara entre público y administración.</w:t>
      </w:r>
    </w:p>
    <w:p>
      <w:pPr>
        <w:pStyle w:val="Compact"/>
        <w:numPr>
          <w:ilvl w:val="0"/>
          <w:numId w:val="1001"/>
        </w:numPr>
      </w:pPr>
      <w:r>
        <w:t xml:space="preserve">Registro de todas las acciones críticas.</w:t>
      </w:r>
    </w:p>
    <w:p>
      <w:pPr>
        <w:pStyle w:val="Compact"/>
        <w:numPr>
          <w:ilvl w:val="0"/>
          <w:numId w:val="1001"/>
        </w:numPr>
      </w:pPr>
      <w:r>
        <w:t xml:space="preserve">Prevención de accesos no autorizados.</w:t>
      </w:r>
    </w:p>
    <w:p>
      <w:r>
        <w:pict>
          <v:rect style="width:0;height:1.5pt" o:hralign="center" o:hrstd="t" o:hr="t"/>
        </w:pict>
      </w:r>
    </w:p>
    <w:bookmarkEnd w:id="23"/>
    <w:bookmarkStart w:id="26" w:name="autenticación"/>
    <w:p>
      <w:pPr>
        <w:pStyle w:val="Heading1"/>
      </w:pPr>
      <w:r>
        <w:t xml:space="preserve">3. Autenticación</w:t>
      </w:r>
    </w:p>
    <w:bookmarkStart w:id="24" w:name="método-principal"/>
    <w:p>
      <w:pPr>
        <w:pStyle w:val="Heading2"/>
      </w:pPr>
      <w:r>
        <w:t xml:space="preserve">Método principal</w:t>
      </w:r>
    </w:p>
    <w:p>
      <w:pPr>
        <w:pStyle w:val="Compact"/>
        <w:numPr>
          <w:ilvl w:val="0"/>
          <w:numId w:val="1002"/>
        </w:numPr>
      </w:pPr>
      <w:r>
        <w:t xml:space="preserve">Autenticación basada en JWT (JSON Web Tokens).</w:t>
      </w:r>
    </w:p>
    <w:p>
      <w:pPr>
        <w:pStyle w:val="Compact"/>
        <w:numPr>
          <w:ilvl w:val="0"/>
          <w:numId w:val="1002"/>
        </w:numPr>
      </w:pPr>
      <w:r>
        <w:t xml:space="preserve">Expiración de token configurable.</w:t>
      </w:r>
    </w:p>
    <w:p>
      <w:pPr>
        <w:pStyle w:val="Compact"/>
        <w:numPr>
          <w:ilvl w:val="0"/>
          <w:numId w:val="1002"/>
        </w:numPr>
      </w:pPr>
      <w:r>
        <w:t xml:space="preserve">Refresh tokens para sesiones prolongadas.</w:t>
      </w:r>
    </w:p>
    <w:bookmarkEnd w:id="24"/>
    <w:bookmarkStart w:id="25" w:name="reglas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03"/>
        </w:numPr>
      </w:pPr>
      <w:r>
        <w:t xml:space="preserve">Contraseñas almacenadas con hash bcrypt.</w:t>
      </w:r>
    </w:p>
    <w:p>
      <w:pPr>
        <w:pStyle w:val="Compact"/>
        <w:numPr>
          <w:ilvl w:val="0"/>
          <w:numId w:val="1003"/>
        </w:numPr>
      </w:pPr>
      <w:r>
        <w:t xml:space="preserve">Mínimo 8 caracteres.</w:t>
      </w:r>
    </w:p>
    <w:p>
      <w:pPr>
        <w:pStyle w:val="Compact"/>
        <w:numPr>
          <w:ilvl w:val="0"/>
          <w:numId w:val="1003"/>
        </w:numPr>
      </w:pPr>
      <w:r>
        <w:t xml:space="preserve">Recomendado: mayúsculas, minúsculas, números y símbolos.</w:t>
      </w:r>
    </w:p>
    <w:p>
      <w:pPr>
        <w:pStyle w:val="Compact"/>
        <w:numPr>
          <w:ilvl w:val="0"/>
          <w:numId w:val="1003"/>
        </w:numPr>
      </w:pPr>
      <w:r>
        <w:t xml:space="preserve">Bloqueo temporal tras múltiples intentos fallidos.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utorización-roles"/>
    <w:p>
      <w:pPr>
        <w:pStyle w:val="Heading1"/>
      </w:pPr>
      <w:r>
        <w:t xml:space="preserve">4. Autorización (Roles)</w:t>
      </w:r>
    </w:p>
    <w:bookmarkStart w:id="27" w:name="super-administrador"/>
    <w:p>
      <w:pPr>
        <w:pStyle w:val="Heading2"/>
      </w:pPr>
      <w:r>
        <w:t xml:space="preserve">Super Administrador</w:t>
      </w:r>
    </w:p>
    <w:p>
      <w:pPr>
        <w:pStyle w:val="Compact"/>
        <w:numPr>
          <w:ilvl w:val="0"/>
          <w:numId w:val="1004"/>
        </w:numPr>
      </w:pPr>
      <w:r>
        <w:t xml:space="preserve">Acceso total al sistema.</w:t>
      </w:r>
    </w:p>
    <w:p>
      <w:pPr>
        <w:pStyle w:val="Compact"/>
        <w:numPr>
          <w:ilvl w:val="0"/>
          <w:numId w:val="1004"/>
        </w:numPr>
      </w:pPr>
      <w:r>
        <w:t xml:space="preserve">Gestión de usuarios y configuración global.</w:t>
      </w:r>
    </w:p>
    <w:p>
      <w:pPr>
        <w:pStyle w:val="Compact"/>
        <w:numPr>
          <w:ilvl w:val="0"/>
          <w:numId w:val="1004"/>
        </w:numPr>
      </w:pPr>
      <w:r>
        <w:t xml:space="preserve">Eliminación de cualquier contenido.</w:t>
      </w:r>
    </w:p>
    <w:bookmarkEnd w:id="27"/>
    <w:bookmarkStart w:id="28" w:name="administrador"/>
    <w:p>
      <w:pPr>
        <w:pStyle w:val="Heading2"/>
      </w:pPr>
      <w:r>
        <w:t xml:space="preserve">Administrador</w:t>
      </w:r>
    </w:p>
    <w:p>
      <w:pPr>
        <w:pStyle w:val="Compact"/>
        <w:numPr>
          <w:ilvl w:val="0"/>
          <w:numId w:val="1005"/>
        </w:numPr>
      </w:pPr>
      <w:r>
        <w:t xml:space="preserve">Gestión completa de contenido.</w:t>
      </w:r>
    </w:p>
    <w:p>
      <w:pPr>
        <w:pStyle w:val="Compact"/>
        <w:numPr>
          <w:ilvl w:val="0"/>
          <w:numId w:val="1005"/>
        </w:numPr>
      </w:pPr>
      <w:r>
        <w:t xml:space="preserve">Publicación y edición.</w:t>
      </w:r>
    </w:p>
    <w:p>
      <w:pPr>
        <w:pStyle w:val="Compact"/>
        <w:numPr>
          <w:ilvl w:val="0"/>
          <w:numId w:val="1005"/>
        </w:numPr>
      </w:pPr>
      <w:r>
        <w:t xml:space="preserve">Sin acceso a configuración crítica del sistema.</w:t>
      </w:r>
    </w:p>
    <w:bookmarkEnd w:id="28"/>
    <w:bookmarkStart w:id="29" w:name="editor"/>
    <w:p>
      <w:pPr>
        <w:pStyle w:val="Heading2"/>
      </w:pPr>
      <w:r>
        <w:t xml:space="preserve">Editor</w:t>
      </w:r>
    </w:p>
    <w:p>
      <w:pPr>
        <w:pStyle w:val="Compact"/>
        <w:numPr>
          <w:ilvl w:val="0"/>
          <w:numId w:val="1006"/>
        </w:numPr>
      </w:pPr>
      <w:r>
        <w:t xml:space="preserve">Crear y editar contenido.</w:t>
      </w:r>
    </w:p>
    <w:p>
      <w:pPr>
        <w:pStyle w:val="Compact"/>
        <w:numPr>
          <w:ilvl w:val="0"/>
          <w:numId w:val="1006"/>
        </w:numPr>
      </w:pPr>
      <w:r>
        <w:t xml:space="preserve">Enviar contenido a publicación.</w:t>
      </w:r>
    </w:p>
    <w:p>
      <w:pPr>
        <w:pStyle w:val="Compact"/>
        <w:numPr>
          <w:ilvl w:val="0"/>
          <w:numId w:val="1006"/>
        </w:numPr>
      </w:pPr>
      <w:r>
        <w:t xml:space="preserve">Sin permisos de eliminación global.</w:t>
      </w:r>
    </w:p>
    <w:bookmarkEnd w:id="29"/>
    <w:bookmarkStart w:id="30" w:name="autor"/>
    <w:p>
      <w:pPr>
        <w:pStyle w:val="Heading2"/>
      </w:pPr>
      <w:r>
        <w:t xml:space="preserve">Autor</w:t>
      </w:r>
    </w:p>
    <w:p>
      <w:pPr>
        <w:pStyle w:val="Compact"/>
        <w:numPr>
          <w:ilvl w:val="0"/>
          <w:numId w:val="1007"/>
        </w:numPr>
      </w:pPr>
      <w:r>
        <w:t xml:space="preserve">Crear contenido propio.</w:t>
      </w:r>
    </w:p>
    <w:p>
      <w:pPr>
        <w:pStyle w:val="Compact"/>
        <w:numPr>
          <w:ilvl w:val="0"/>
          <w:numId w:val="1007"/>
        </w:numPr>
      </w:pPr>
      <w:r>
        <w:t xml:space="preserve">Editar solo contenido propio.</w:t>
      </w:r>
    </w:p>
    <w:p>
      <w:pPr>
        <w:pStyle w:val="Compact"/>
        <w:numPr>
          <w:ilvl w:val="0"/>
          <w:numId w:val="1007"/>
        </w:numPr>
      </w:pPr>
      <w:r>
        <w:t xml:space="preserve">Sin permisos de publicación directa.</w:t>
      </w:r>
    </w:p>
    <w:bookmarkEnd w:id="30"/>
    <w:bookmarkStart w:id="31" w:name="visitante"/>
    <w:p>
      <w:pPr>
        <w:pStyle w:val="Heading2"/>
      </w:pPr>
      <w:r>
        <w:t xml:space="preserve">Visitante</w:t>
      </w:r>
    </w:p>
    <w:p>
      <w:pPr>
        <w:pStyle w:val="Compact"/>
        <w:numPr>
          <w:ilvl w:val="0"/>
          <w:numId w:val="1008"/>
        </w:numPr>
      </w:pPr>
      <w:r>
        <w:t xml:space="preserve">Acceso únicamente a contenido público.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guridad-en-api"/>
    <w:p>
      <w:pPr>
        <w:pStyle w:val="Heading1"/>
      </w:pPr>
      <w:r>
        <w:t xml:space="preserve">5. Seguridad en API</w:t>
      </w:r>
    </w:p>
    <w:p>
      <w:pPr>
        <w:pStyle w:val="Compact"/>
        <w:numPr>
          <w:ilvl w:val="0"/>
          <w:numId w:val="1009"/>
        </w:numPr>
      </w:pPr>
      <w:r>
        <w:t xml:space="preserve">Todas las rutas administrativas requieren autenticación.</w:t>
      </w:r>
    </w:p>
    <w:p>
      <w:pPr>
        <w:pStyle w:val="Compact"/>
        <w:numPr>
          <w:ilvl w:val="0"/>
          <w:numId w:val="1009"/>
        </w:numPr>
      </w:pPr>
      <w:r>
        <w:t xml:space="preserve">Validación de roles en cada endpoint protegido.</w:t>
      </w:r>
    </w:p>
    <w:p>
      <w:pPr>
        <w:pStyle w:val="Compact"/>
        <w:numPr>
          <w:ilvl w:val="0"/>
          <w:numId w:val="1009"/>
        </w:numPr>
      </w:pPr>
      <w:r>
        <w:t xml:space="preserve">Rate limiting para prevenir abuso.</w:t>
      </w:r>
    </w:p>
    <w:p>
      <w:pPr>
        <w:pStyle w:val="Compact"/>
        <w:numPr>
          <w:ilvl w:val="0"/>
          <w:numId w:val="1009"/>
        </w:numPr>
      </w:pPr>
      <w:r>
        <w:t xml:space="preserve">Protección contra ataques de fuerza bruta.</w:t>
      </w:r>
    </w:p>
    <w:p>
      <w:pPr>
        <w:pStyle w:val="Compact"/>
        <w:numPr>
          <w:ilvl w:val="0"/>
          <w:numId w:val="1009"/>
        </w:numPr>
      </w:pPr>
      <w:r>
        <w:t xml:space="preserve">Sanitización de entradas para evitar inyección SQL.</w:t>
      </w:r>
    </w:p>
    <w:p>
      <w:r>
        <w:pict>
          <v:rect style="width:0;height:1.5pt" o:hralign="center" o:hrstd="t" o:hr="t"/>
        </w:pict>
      </w:r>
    </w:p>
    <w:bookmarkEnd w:id="33"/>
    <w:bookmarkStart w:id="34" w:name="seguridad-del-cms"/>
    <w:p>
      <w:pPr>
        <w:pStyle w:val="Heading1"/>
      </w:pPr>
      <w:r>
        <w:t xml:space="preserve">6. Seguridad del CMS</w:t>
      </w:r>
    </w:p>
    <w:p>
      <w:pPr>
        <w:pStyle w:val="Compact"/>
        <w:numPr>
          <w:ilvl w:val="0"/>
          <w:numId w:val="1010"/>
        </w:numPr>
      </w:pPr>
      <w:r>
        <w:t xml:space="preserve">Sesiones seguras con expiración automática.</w:t>
      </w:r>
    </w:p>
    <w:p>
      <w:pPr>
        <w:pStyle w:val="Compact"/>
        <w:numPr>
          <w:ilvl w:val="0"/>
          <w:numId w:val="1010"/>
        </w:numPr>
      </w:pPr>
      <w:r>
        <w:t xml:space="preserve">Logout obligatorio tras inactividad.</w:t>
      </w:r>
    </w:p>
    <w:p>
      <w:pPr>
        <w:pStyle w:val="Compact"/>
        <w:numPr>
          <w:ilvl w:val="0"/>
          <w:numId w:val="1010"/>
        </w:numPr>
      </w:pPr>
      <w:r>
        <w:t xml:space="preserve">Protección contra CSRF.</w:t>
      </w:r>
    </w:p>
    <w:p>
      <w:pPr>
        <w:pStyle w:val="Compact"/>
        <w:numPr>
          <w:ilvl w:val="0"/>
          <w:numId w:val="1010"/>
        </w:numPr>
      </w:pPr>
      <w:r>
        <w:t xml:space="preserve">Validación en frontend y backend.</w:t>
      </w:r>
    </w:p>
    <w:p>
      <w:pPr>
        <w:pStyle w:val="Compact"/>
        <w:numPr>
          <w:ilvl w:val="0"/>
          <w:numId w:val="1010"/>
        </w:numPr>
      </w:pPr>
      <w:r>
        <w:t xml:space="preserve">Confirmación obligatoria para acciones críticas (eliminación/publicación).</w:t>
      </w:r>
    </w:p>
    <w:p>
      <w:r>
        <w:pict>
          <v:rect style="width:0;height:1.5pt" o:hralign="center" o:hrstd="t" o:hr="t"/>
        </w:pict>
      </w:r>
    </w:p>
    <w:bookmarkEnd w:id="34"/>
    <w:bookmarkStart w:id="35" w:name="protección-de-datos"/>
    <w:p>
      <w:pPr>
        <w:pStyle w:val="Heading1"/>
      </w:pPr>
      <w:r>
        <w:t xml:space="preserve">7. Protección de Datos</w:t>
      </w:r>
    </w:p>
    <w:p>
      <w:pPr>
        <w:pStyle w:val="Compact"/>
        <w:numPr>
          <w:ilvl w:val="0"/>
          <w:numId w:val="1011"/>
        </w:numPr>
      </w:pPr>
      <w:r>
        <w:t xml:space="preserve">No se almacenarán datos sensibles innecesarios.</w:t>
      </w:r>
    </w:p>
    <w:p>
      <w:pPr>
        <w:pStyle w:val="Compact"/>
        <w:numPr>
          <w:ilvl w:val="0"/>
          <w:numId w:val="1011"/>
        </w:numPr>
      </w:pPr>
      <w:r>
        <w:t xml:space="preserve">Correos electrónicos protegidos con acceso restringido.</w:t>
      </w:r>
    </w:p>
    <w:p>
      <w:pPr>
        <w:pStyle w:val="Compact"/>
        <w:numPr>
          <w:ilvl w:val="0"/>
          <w:numId w:val="1011"/>
        </w:numPr>
      </w:pPr>
      <w:r>
        <w:t xml:space="preserve">Contraseñas nunca visibles en texto plano.</w:t>
      </w:r>
    </w:p>
    <w:p>
      <w:pPr>
        <w:pStyle w:val="Compact"/>
        <w:numPr>
          <w:ilvl w:val="0"/>
          <w:numId w:val="1011"/>
        </w:numPr>
      </w:pPr>
      <w:r>
        <w:t xml:space="preserve">Logs sin exposición de información sensible.</w:t>
      </w:r>
    </w:p>
    <w:p>
      <w:r>
        <w:pict>
          <v:rect style="width:0;height:1.5pt" o:hralign="center" o:hrstd="t" o:hr="t"/>
        </w:pict>
      </w:r>
    </w:p>
    <w:bookmarkEnd w:id="35"/>
    <w:bookmarkStart w:id="36" w:name="auditoría"/>
    <w:p>
      <w:pPr>
        <w:pStyle w:val="Heading1"/>
      </w:pPr>
      <w:r>
        <w:t xml:space="preserve">8. Auditoría</w:t>
      </w:r>
    </w:p>
    <w:p>
      <w:pPr>
        <w:pStyle w:val="FirstParagraph"/>
      </w:pPr>
      <w:r>
        <w:t xml:space="preserve">El sistema registrará:</w:t>
      </w:r>
    </w:p>
    <w:p>
      <w:pPr>
        <w:pStyle w:val="Compact"/>
        <w:numPr>
          <w:ilvl w:val="0"/>
          <w:numId w:val="1012"/>
        </w:numPr>
      </w:pPr>
      <w:r>
        <w:t xml:space="preserve">Creación de contenido.</w:t>
      </w:r>
    </w:p>
    <w:p>
      <w:pPr>
        <w:pStyle w:val="Compact"/>
        <w:numPr>
          <w:ilvl w:val="0"/>
          <w:numId w:val="1012"/>
        </w:numPr>
      </w:pPr>
      <w:r>
        <w:t xml:space="preserve">Edición de contenido.</w:t>
      </w:r>
    </w:p>
    <w:p>
      <w:pPr>
        <w:pStyle w:val="Compact"/>
        <w:numPr>
          <w:ilvl w:val="0"/>
          <w:numId w:val="1012"/>
        </w:numPr>
      </w:pPr>
      <w:r>
        <w:t xml:space="preserve">Publicación.</w:t>
      </w:r>
    </w:p>
    <w:p>
      <w:pPr>
        <w:pStyle w:val="Compact"/>
        <w:numPr>
          <w:ilvl w:val="0"/>
          <w:numId w:val="1012"/>
        </w:numPr>
      </w:pPr>
      <w:r>
        <w:t xml:space="preserve">Eliminación.</w:t>
      </w:r>
    </w:p>
    <w:p>
      <w:pPr>
        <w:pStyle w:val="Compact"/>
        <w:numPr>
          <w:ilvl w:val="0"/>
          <w:numId w:val="1012"/>
        </w:numPr>
      </w:pPr>
      <w:r>
        <w:t xml:space="preserve">Inicio de sesión.</w:t>
      </w:r>
    </w:p>
    <w:p>
      <w:pPr>
        <w:pStyle w:val="Compact"/>
        <w:numPr>
          <w:ilvl w:val="0"/>
          <w:numId w:val="1012"/>
        </w:numPr>
      </w:pPr>
      <w:r>
        <w:t xml:space="preserve">Fallos de autenticación.</w:t>
      </w:r>
    </w:p>
    <w:p>
      <w:pPr>
        <w:pStyle w:val="FirstParagraph"/>
      </w:pPr>
      <w:r>
        <w:t xml:space="preserve">Cada registro incluirá:</w:t>
      </w:r>
    </w:p>
    <w:p>
      <w:pPr>
        <w:pStyle w:val="Compact"/>
        <w:numPr>
          <w:ilvl w:val="0"/>
          <w:numId w:val="1013"/>
        </w:numPr>
      </w:pPr>
      <w:r>
        <w:t xml:space="preserve">Usuario.</w:t>
      </w:r>
    </w:p>
    <w:p>
      <w:pPr>
        <w:pStyle w:val="Compact"/>
        <w:numPr>
          <w:ilvl w:val="0"/>
          <w:numId w:val="1013"/>
        </w:numPr>
      </w:pPr>
      <w:r>
        <w:t xml:space="preserve">Fecha y hora.</w:t>
      </w:r>
    </w:p>
    <w:p>
      <w:pPr>
        <w:pStyle w:val="Compact"/>
        <w:numPr>
          <w:ilvl w:val="0"/>
          <w:numId w:val="1013"/>
        </w:numPr>
      </w:pPr>
      <w:r>
        <w:t xml:space="preserve">Acción realizada.</w:t>
      </w:r>
    </w:p>
    <w:p>
      <w:pPr>
        <w:pStyle w:val="Compact"/>
        <w:numPr>
          <w:ilvl w:val="0"/>
          <w:numId w:val="1013"/>
        </w:numPr>
      </w:pPr>
      <w:r>
        <w:t xml:space="preserve">IP (opcional según configuración).</w:t>
      </w:r>
    </w:p>
    <w:p>
      <w:r>
        <w:pict>
          <v:rect style="width:0;height:1.5pt" o:hralign="center" o:hrstd="t" o:hr="t"/>
        </w:pict>
      </w:r>
    </w:p>
    <w:bookmarkEnd w:id="36"/>
    <w:bookmarkStart w:id="37" w:name="seguridad-de-archivos"/>
    <w:p>
      <w:pPr>
        <w:pStyle w:val="Heading1"/>
      </w:pPr>
      <w:r>
        <w:t xml:space="preserve">9. Seguridad de Archivos</w:t>
      </w:r>
    </w:p>
    <w:p>
      <w:pPr>
        <w:pStyle w:val="Compact"/>
        <w:numPr>
          <w:ilvl w:val="0"/>
          <w:numId w:val="1014"/>
        </w:numPr>
      </w:pPr>
      <w:r>
        <w:t xml:space="preserve">Solo formatos permitidos: JPG, PNG, WebP, MP4.</w:t>
      </w:r>
    </w:p>
    <w:p>
      <w:pPr>
        <w:pStyle w:val="Compact"/>
        <w:numPr>
          <w:ilvl w:val="0"/>
          <w:numId w:val="1014"/>
        </w:numPr>
      </w:pPr>
      <w:r>
        <w:t xml:space="preserve">Tamaño máximo configurable por archivo.</w:t>
      </w:r>
    </w:p>
    <w:p>
      <w:pPr>
        <w:pStyle w:val="Compact"/>
        <w:numPr>
          <w:ilvl w:val="0"/>
          <w:numId w:val="1014"/>
        </w:numPr>
      </w:pPr>
      <w:r>
        <w:t xml:space="preserve">Escaneo básico de archivos subidos.</w:t>
      </w:r>
    </w:p>
    <w:p>
      <w:pPr>
        <w:pStyle w:val="Compact"/>
        <w:numPr>
          <w:ilvl w:val="0"/>
          <w:numId w:val="1014"/>
        </w:numPr>
      </w:pPr>
      <w:r>
        <w:t xml:space="preserve">Almacenamiento en bucket seguro (S3 o equivalente).</w:t>
      </w:r>
    </w:p>
    <w:p>
      <w:pPr>
        <w:pStyle w:val="Compact"/>
        <w:numPr>
          <w:ilvl w:val="0"/>
          <w:numId w:val="1014"/>
        </w:numPr>
      </w:pPr>
      <w:r>
        <w:t xml:space="preserve">URLs firmadas para acceso controlado si es necesario.</w:t>
      </w:r>
    </w:p>
    <w:p>
      <w:r>
        <w:pict>
          <v:rect style="width:0;height:1.5pt" o:hralign="center" o:hrstd="t" o:hr="t"/>
        </w:pict>
      </w:r>
    </w:p>
    <w:bookmarkEnd w:id="37"/>
    <w:bookmarkStart w:id="38" w:name="seguridad-en-frontend"/>
    <w:p>
      <w:pPr>
        <w:pStyle w:val="Heading1"/>
      </w:pPr>
      <w:r>
        <w:t xml:space="preserve">10. Seguridad en Frontend</w:t>
      </w:r>
    </w:p>
    <w:p>
      <w:pPr>
        <w:pStyle w:val="Compact"/>
        <w:numPr>
          <w:ilvl w:val="0"/>
          <w:numId w:val="1015"/>
        </w:numPr>
      </w:pPr>
      <w:r>
        <w:t xml:space="preserve">Protección contra XSS.</w:t>
      </w:r>
    </w:p>
    <w:p>
      <w:pPr>
        <w:pStyle w:val="Compact"/>
        <w:numPr>
          <w:ilvl w:val="0"/>
          <w:numId w:val="1015"/>
        </w:numPr>
      </w:pPr>
      <w:r>
        <w:t xml:space="preserve">Sanitización de contenido dinámico.</w:t>
      </w:r>
    </w:p>
    <w:p>
      <w:pPr>
        <w:pStyle w:val="Compact"/>
        <w:numPr>
          <w:ilvl w:val="0"/>
          <w:numId w:val="1015"/>
        </w:numPr>
      </w:pPr>
      <w:r>
        <w:t xml:space="preserve">Uso de HTTPS obligatorio.</w:t>
      </w:r>
    </w:p>
    <w:p>
      <w:pPr>
        <w:pStyle w:val="Compact"/>
        <w:numPr>
          <w:ilvl w:val="0"/>
          <w:numId w:val="1015"/>
        </w:numPr>
      </w:pPr>
      <w:r>
        <w:t xml:space="preserve">Evitar exposición de tokens en localStorage sin control.</w:t>
      </w:r>
    </w:p>
    <w:p>
      <w:pPr>
        <w:pStyle w:val="Compact"/>
        <w:numPr>
          <w:ilvl w:val="0"/>
          <w:numId w:val="1015"/>
        </w:numPr>
      </w:pPr>
      <w:r>
        <w:t xml:space="preserve">Uso de cookies seguras cuando aplique.</w:t>
      </w:r>
    </w:p>
    <w:p>
      <w:r>
        <w:pict>
          <v:rect style="width:0;height:1.5pt" o:hralign="center" o:hrstd="t" o:hr="t"/>
        </w:pict>
      </w:r>
    </w:p>
    <w:bookmarkEnd w:id="38"/>
    <w:bookmarkStart w:id="39" w:name="seguridad-en-infraestructura"/>
    <w:p>
      <w:pPr>
        <w:pStyle w:val="Heading1"/>
      </w:pPr>
      <w:r>
        <w:t xml:space="preserve">11. Seguridad en Infraestructura</w:t>
      </w:r>
    </w:p>
    <w:p>
      <w:pPr>
        <w:pStyle w:val="Compact"/>
        <w:numPr>
          <w:ilvl w:val="0"/>
          <w:numId w:val="1016"/>
        </w:numPr>
      </w:pPr>
      <w:r>
        <w:t xml:space="preserve">Uso obligatorio de HTTPS.</w:t>
      </w:r>
    </w:p>
    <w:p>
      <w:pPr>
        <w:pStyle w:val="Compact"/>
        <w:numPr>
          <w:ilvl w:val="0"/>
          <w:numId w:val="1016"/>
        </w:numPr>
      </w:pPr>
      <w:r>
        <w:t xml:space="preserve">Firewall activo en servidor.</w:t>
      </w:r>
    </w:p>
    <w:p>
      <w:pPr>
        <w:pStyle w:val="Compact"/>
        <w:numPr>
          <w:ilvl w:val="0"/>
          <w:numId w:val="1016"/>
        </w:numPr>
      </w:pPr>
      <w:r>
        <w:t xml:space="preserve">Puertos limitados.</w:t>
      </w:r>
    </w:p>
    <w:p>
      <w:pPr>
        <w:pStyle w:val="Compact"/>
        <w:numPr>
          <w:ilvl w:val="0"/>
          <w:numId w:val="1016"/>
        </w:numPr>
      </w:pPr>
      <w:r>
        <w:t xml:space="preserve">Acceso SSH restringido por llave.</w:t>
      </w:r>
    </w:p>
    <w:p>
      <w:pPr>
        <w:pStyle w:val="Compact"/>
        <w:numPr>
          <w:ilvl w:val="0"/>
          <w:numId w:val="1016"/>
        </w:numPr>
      </w:pPr>
      <w:r>
        <w:t xml:space="preserve">Backups automáticos programados.</w:t>
      </w:r>
    </w:p>
    <w:p>
      <w:pPr>
        <w:pStyle w:val="Compact"/>
        <w:numPr>
          <w:ilvl w:val="0"/>
          <w:numId w:val="1016"/>
        </w:numPr>
      </w:pPr>
      <w:r>
        <w:t xml:space="preserve">Actualización periódica del sistema operativo.</w:t>
      </w:r>
    </w:p>
    <w:p>
      <w:r>
        <w:pict>
          <v:rect style="width:0;height:1.5pt" o:hralign="center" o:hrstd="t" o:hr="t"/>
        </w:pict>
      </w:r>
    </w:p>
    <w:bookmarkEnd w:id="39"/>
    <w:bookmarkStart w:id="40" w:name="manejo-de-errores"/>
    <w:p>
      <w:pPr>
        <w:pStyle w:val="Heading1"/>
      </w:pPr>
      <w:r>
        <w:t xml:space="preserve">12. Manejo de Errores</w:t>
      </w:r>
    </w:p>
    <w:p>
      <w:pPr>
        <w:pStyle w:val="Compact"/>
        <w:numPr>
          <w:ilvl w:val="0"/>
          <w:numId w:val="1017"/>
        </w:numPr>
      </w:pPr>
      <w:r>
        <w:t xml:space="preserve">No exponer errores internos al usuario final.</w:t>
      </w:r>
    </w:p>
    <w:p>
      <w:pPr>
        <w:pStyle w:val="Compact"/>
        <w:numPr>
          <w:ilvl w:val="0"/>
          <w:numId w:val="1017"/>
        </w:numPr>
      </w:pPr>
      <w:r>
        <w:t xml:space="preserve">Logs internos detallados para depuración.</w:t>
      </w:r>
    </w:p>
    <w:p>
      <w:pPr>
        <w:pStyle w:val="Compact"/>
        <w:numPr>
          <w:ilvl w:val="0"/>
          <w:numId w:val="1017"/>
        </w:numPr>
      </w:pPr>
      <w:r>
        <w:t xml:space="preserve">Mensajes genéricos en producción.</w:t>
      </w:r>
    </w:p>
    <w:p>
      <w:pPr>
        <w:pStyle w:val="Compact"/>
        <w:numPr>
          <w:ilvl w:val="0"/>
          <w:numId w:val="1017"/>
        </w:numPr>
      </w:pPr>
      <w:r>
        <w:t xml:space="preserve">Monitoreo de fallos críticos.</w:t>
      </w:r>
    </w:p>
    <w:p>
      <w:r>
        <w:pict>
          <v:rect style="width:0;height:1.5pt" o:hralign="center" o:hrstd="t" o:hr="t"/>
        </w:pict>
      </w:r>
    </w:p>
    <w:bookmarkEnd w:id="40"/>
    <w:bookmarkStart w:id="41" w:name="cumplimiento"/>
    <w:p>
      <w:pPr>
        <w:pStyle w:val="Heading1"/>
      </w:pPr>
      <w:r>
        <w:t xml:space="preserve">13. Cumplimiento</w:t>
      </w:r>
    </w:p>
    <w:p>
      <w:pPr>
        <w:pStyle w:val="FirstParagraph"/>
      </w:pPr>
      <w:r>
        <w:t xml:space="preserve">El sistema deberá cumplir con:</w:t>
      </w:r>
    </w:p>
    <w:p>
      <w:pPr>
        <w:pStyle w:val="Compact"/>
        <w:numPr>
          <w:ilvl w:val="0"/>
          <w:numId w:val="1018"/>
        </w:numPr>
      </w:pPr>
      <w:r>
        <w:t xml:space="preserve">Buenas prácticas OWASP.</w:t>
      </w:r>
    </w:p>
    <w:p>
      <w:pPr>
        <w:pStyle w:val="Compact"/>
        <w:numPr>
          <w:ilvl w:val="0"/>
          <w:numId w:val="1018"/>
        </w:numPr>
      </w:pPr>
      <w:r>
        <w:t xml:space="preserve">Protección básica de datos personales.</w:t>
      </w:r>
    </w:p>
    <w:p>
      <w:pPr>
        <w:pStyle w:val="Compact"/>
        <w:numPr>
          <w:ilvl w:val="0"/>
          <w:numId w:val="1018"/>
        </w:numPr>
      </w:pPr>
      <w:r>
        <w:t xml:space="preserve">Estándares modernos de autenticación y autorización.</w:t>
      </w:r>
    </w:p>
    <w:p>
      <w:r>
        <w:pict>
          <v:rect style="width:0;height:1.5pt" o:hralign="center" o:hrstd="t" o:hr="t"/>
        </w:pict>
      </w:r>
    </w:p>
    <w:bookmarkEnd w:id="41"/>
    <w:bookmarkStart w:id="42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define el marco de seguridad del Portal Turístico del Gran Santo Domingo y es obligatorio para todas las capas del sistema: frontend, backend, CMS e infraestructura.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2026-06-28T23:49:20Z</dcterms:created>
  <dcterms:modified xsi:type="dcterms:W3CDTF">2026-06-28T23:49:20Z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