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lan-de-pruebas-qa-testing-plan"/>
    <w:p>
      <w:pPr>
        <w:pStyle w:val="Heading1"/>
      </w:pPr>
      <w:r>
        <w:t xml:space="preserve">Plan de Pruebas (QA / Testing Plan)</w:t>
      </w:r>
    </w:p>
    <w:bookmarkStart w:id="20" w:name="portal-turístico-del-gran-santo-domingo"/>
    <w:p>
      <w:pPr>
        <w:pStyle w:val="Heading2"/>
      </w:pPr>
      <w:r>
        <w:t xml:space="preserve">Portal Turístico del Gran Santo Domingo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Borrador Inicial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la estrategia de pruebas del Portal Turístico del Gran Santo Domingo para garantizar que el sistema funcione correctamente, cumpla los requerimientos definidos y mantenga la calidad antes de su puesta en producción.</w:t>
      </w:r>
    </w:p>
    <w:p>
      <w:r>
        <w:pict>
          <v:rect style="width:0;height:1.5pt" o:hralign="center" o:hrstd="t" o:hr="t"/>
        </w:pict>
      </w:r>
    </w:p>
    <w:bookmarkEnd w:id="22"/>
    <w:bookmarkStart w:id="23" w:name="alcance-de-las-pruebas"/>
    <w:p>
      <w:pPr>
        <w:pStyle w:val="Heading1"/>
      </w:pPr>
      <w:r>
        <w:t xml:space="preserve">2. Alcance de las Pruebas</w:t>
      </w:r>
    </w:p>
    <w:p>
      <w:pPr>
        <w:pStyle w:val="FirstParagraph"/>
      </w:pPr>
      <w:r>
        <w:t xml:space="preserve">Este plan cubre:</w:t>
      </w:r>
    </w:p>
    <w:p>
      <w:pPr>
        <w:pStyle w:val="Compact"/>
        <w:numPr>
          <w:ilvl w:val="0"/>
          <w:numId w:val="1001"/>
        </w:numPr>
      </w:pPr>
      <w:r>
        <w:t xml:space="preserve">Frontend público</w:t>
      </w:r>
    </w:p>
    <w:p>
      <w:pPr>
        <w:pStyle w:val="Compact"/>
        <w:numPr>
          <w:ilvl w:val="0"/>
          <w:numId w:val="1001"/>
        </w:numPr>
      </w:pPr>
      <w:r>
        <w:t xml:space="preserve">Panel administrativo (CMS)</w:t>
      </w:r>
    </w:p>
    <w:p>
      <w:pPr>
        <w:pStyle w:val="Compact"/>
        <w:numPr>
          <w:ilvl w:val="0"/>
          <w:numId w:val="1001"/>
        </w:numPr>
      </w:pPr>
      <w:r>
        <w:t xml:space="preserve">Backend API</w:t>
      </w:r>
    </w:p>
    <w:p>
      <w:pPr>
        <w:pStyle w:val="Compact"/>
        <w:numPr>
          <w:ilvl w:val="0"/>
          <w:numId w:val="1001"/>
        </w:numPr>
      </w:pPr>
      <w:r>
        <w:t xml:space="preserve">Base de datos</w:t>
      </w:r>
    </w:p>
    <w:p>
      <w:pPr>
        <w:pStyle w:val="Compact"/>
        <w:numPr>
          <w:ilvl w:val="0"/>
          <w:numId w:val="1001"/>
        </w:numPr>
      </w:pPr>
      <w:r>
        <w:t xml:space="preserve">Integraciones externas</w:t>
      </w:r>
    </w:p>
    <w:p>
      <w:pPr>
        <w:pStyle w:val="Compact"/>
        <w:numPr>
          <w:ilvl w:val="0"/>
          <w:numId w:val="1001"/>
        </w:numPr>
      </w:pPr>
      <w:r>
        <w:t xml:space="preserve">SEO y rendimiento</w:t>
      </w:r>
    </w:p>
    <w:p>
      <w:r>
        <w:pict>
          <v:rect style="width:0;height:1.5pt" o:hralign="center" o:hrstd="t" o:hr="t"/>
        </w:pict>
      </w:r>
    </w:p>
    <w:bookmarkEnd w:id="23"/>
    <w:bookmarkStart w:id="31" w:name="tipos-de-pruebas"/>
    <w:p>
      <w:pPr>
        <w:pStyle w:val="Heading1"/>
      </w:pPr>
      <w:r>
        <w:t xml:space="preserve">3. Tipos de Pruebas</w:t>
      </w:r>
    </w:p>
    <w:bookmarkStart w:id="24" w:name="pruebas-unitarias"/>
    <w:p>
      <w:pPr>
        <w:pStyle w:val="Heading2"/>
      </w:pPr>
      <w:r>
        <w:t xml:space="preserve">3.1 Pruebas Unitarias</w:t>
      </w:r>
    </w:p>
    <w:p>
      <w:pPr>
        <w:pStyle w:val="Compact"/>
        <w:numPr>
          <w:ilvl w:val="0"/>
          <w:numId w:val="1002"/>
        </w:numPr>
      </w:pPr>
      <w:r>
        <w:t xml:space="preserve">Validación de funciones individuales.</w:t>
      </w:r>
    </w:p>
    <w:p>
      <w:pPr>
        <w:pStyle w:val="Compact"/>
        <w:numPr>
          <w:ilvl w:val="0"/>
          <w:numId w:val="1002"/>
        </w:numPr>
      </w:pPr>
      <w:r>
        <w:t xml:space="preserve">Componentes del frontend.</w:t>
      </w:r>
    </w:p>
    <w:p>
      <w:pPr>
        <w:pStyle w:val="Compact"/>
        <w:numPr>
          <w:ilvl w:val="0"/>
          <w:numId w:val="1002"/>
        </w:numPr>
      </w:pPr>
      <w:r>
        <w:t xml:space="preserve">Servicios del backend.</w:t>
      </w:r>
    </w:p>
    <w:p>
      <w:pPr>
        <w:pStyle w:val="Compact"/>
        <w:numPr>
          <w:ilvl w:val="0"/>
          <w:numId w:val="1002"/>
        </w:numPr>
      </w:pPr>
      <w:r>
        <w:t xml:space="preserve">Validaciones de datos.</w:t>
      </w:r>
    </w:p>
    <w:p>
      <w:r>
        <w:pict>
          <v:rect style="width:0;height:1.5pt" o:hralign="center" o:hrstd="t" o:hr="t"/>
        </w:pict>
      </w:r>
    </w:p>
    <w:bookmarkEnd w:id="24"/>
    <w:bookmarkStart w:id="25" w:name="pruebas-de-integración"/>
    <w:p>
      <w:pPr>
        <w:pStyle w:val="Heading2"/>
      </w:pPr>
      <w:r>
        <w:t xml:space="preserve">3.2 Pruebas de Integración</w:t>
      </w:r>
    </w:p>
    <w:p>
      <w:pPr>
        <w:pStyle w:val="Compact"/>
        <w:numPr>
          <w:ilvl w:val="0"/>
          <w:numId w:val="1003"/>
        </w:numPr>
      </w:pPr>
      <w:r>
        <w:t xml:space="preserve">Comunicación frontend ↔ API.</w:t>
      </w:r>
    </w:p>
    <w:p>
      <w:pPr>
        <w:pStyle w:val="Compact"/>
        <w:numPr>
          <w:ilvl w:val="0"/>
          <w:numId w:val="1003"/>
        </w:numPr>
      </w:pPr>
      <w:r>
        <w:t xml:space="preserve">API ↔ base de datos.</w:t>
      </w:r>
    </w:p>
    <w:p>
      <w:pPr>
        <w:pStyle w:val="Compact"/>
        <w:numPr>
          <w:ilvl w:val="0"/>
          <w:numId w:val="1003"/>
        </w:numPr>
      </w:pPr>
      <w:r>
        <w:t xml:space="preserve">CMS ↔ backend.</w:t>
      </w:r>
    </w:p>
    <w:p>
      <w:pPr>
        <w:pStyle w:val="Compact"/>
        <w:numPr>
          <w:ilvl w:val="0"/>
          <w:numId w:val="1003"/>
        </w:numPr>
      </w:pPr>
      <w:r>
        <w:t xml:space="preserve">Subida de archivos a almacenamiento.</w:t>
      </w:r>
    </w:p>
    <w:p>
      <w:r>
        <w:pict>
          <v:rect style="width:0;height:1.5pt" o:hralign="center" o:hrstd="t" o:hr="t"/>
        </w:pict>
      </w:r>
    </w:p>
    <w:bookmarkEnd w:id="25"/>
    <w:bookmarkStart w:id="26" w:name="pruebas-funcionales"/>
    <w:p>
      <w:pPr>
        <w:pStyle w:val="Heading2"/>
      </w:pPr>
      <w:r>
        <w:t xml:space="preserve">3.3 Pruebas Funcionales</w:t>
      </w:r>
    </w:p>
    <w:p>
      <w:pPr>
        <w:pStyle w:val="FirstParagraph"/>
      </w:pPr>
      <w:r>
        <w:t xml:space="preserve">Validación de módulos completos:</w:t>
      </w:r>
    </w:p>
    <w:p>
      <w:pPr>
        <w:pStyle w:val="Compact"/>
        <w:numPr>
          <w:ilvl w:val="0"/>
          <w:numId w:val="1004"/>
        </w:numPr>
      </w:pPr>
      <w:r>
        <w:t xml:space="preserve">Lugares</w:t>
      </w:r>
    </w:p>
    <w:p>
      <w:pPr>
        <w:pStyle w:val="Compact"/>
        <w:numPr>
          <w:ilvl w:val="0"/>
          <w:numId w:val="1004"/>
        </w:numPr>
      </w:pPr>
      <w:r>
        <w:t xml:space="preserve">Restaurantes</w:t>
      </w:r>
    </w:p>
    <w:p>
      <w:pPr>
        <w:pStyle w:val="Compact"/>
        <w:numPr>
          <w:ilvl w:val="0"/>
          <w:numId w:val="1004"/>
        </w:numPr>
      </w:pPr>
      <w:r>
        <w:t xml:space="preserve">Hoteles</w:t>
      </w:r>
    </w:p>
    <w:p>
      <w:pPr>
        <w:pStyle w:val="Compact"/>
        <w:numPr>
          <w:ilvl w:val="0"/>
          <w:numId w:val="1004"/>
        </w:numPr>
      </w:pPr>
      <w:r>
        <w:t xml:space="preserve">Eventos</w:t>
      </w:r>
    </w:p>
    <w:p>
      <w:pPr>
        <w:pStyle w:val="Compact"/>
        <w:numPr>
          <w:ilvl w:val="0"/>
          <w:numId w:val="1004"/>
        </w:numPr>
      </w:pPr>
      <w:r>
        <w:t xml:space="preserve">Rutas</w:t>
      </w:r>
    </w:p>
    <w:p>
      <w:pPr>
        <w:pStyle w:val="Compact"/>
        <w:numPr>
          <w:ilvl w:val="0"/>
          <w:numId w:val="1004"/>
        </w:numPr>
      </w:pPr>
      <w:r>
        <w:t xml:space="preserve">Blog</w:t>
      </w:r>
    </w:p>
    <w:p>
      <w:pPr>
        <w:pStyle w:val="Compact"/>
        <w:numPr>
          <w:ilvl w:val="0"/>
          <w:numId w:val="1004"/>
        </w:numPr>
      </w:pPr>
      <w:r>
        <w:t xml:space="preserve">Usuarios</w:t>
      </w:r>
    </w:p>
    <w:p>
      <w:pPr>
        <w:pStyle w:val="Compact"/>
        <w:numPr>
          <w:ilvl w:val="0"/>
          <w:numId w:val="1004"/>
        </w:numPr>
      </w:pPr>
      <w:r>
        <w:t xml:space="preserve">Categorías</w:t>
      </w:r>
    </w:p>
    <w:p>
      <w:r>
        <w:pict>
          <v:rect style="width:0;height:1.5pt" o:hralign="center" o:hrstd="t" o:hr="t"/>
        </w:pict>
      </w:r>
    </w:p>
    <w:bookmarkEnd w:id="26"/>
    <w:bookmarkStart w:id="27" w:name="pruebas-de-uiux"/>
    <w:p>
      <w:pPr>
        <w:pStyle w:val="Heading2"/>
      </w:pPr>
      <w:r>
        <w:t xml:space="preserve">3.4 Pruebas de UI/UX</w:t>
      </w:r>
    </w:p>
    <w:p>
      <w:pPr>
        <w:pStyle w:val="Compact"/>
        <w:numPr>
          <w:ilvl w:val="0"/>
          <w:numId w:val="1005"/>
        </w:numPr>
      </w:pPr>
      <w:r>
        <w:t xml:space="preserve">Responsividad en dispositivos.</w:t>
      </w:r>
    </w:p>
    <w:p>
      <w:pPr>
        <w:pStyle w:val="Compact"/>
        <w:numPr>
          <w:ilvl w:val="0"/>
          <w:numId w:val="1005"/>
        </w:numPr>
      </w:pPr>
      <w:r>
        <w:t xml:space="preserve">Navegación correcta.</w:t>
      </w:r>
    </w:p>
    <w:p>
      <w:pPr>
        <w:pStyle w:val="Compact"/>
        <w:numPr>
          <w:ilvl w:val="0"/>
          <w:numId w:val="1005"/>
        </w:numPr>
      </w:pPr>
      <w:r>
        <w:t xml:space="preserve">Consistencia visual.</w:t>
      </w:r>
    </w:p>
    <w:p>
      <w:pPr>
        <w:pStyle w:val="Compact"/>
        <w:numPr>
          <w:ilvl w:val="0"/>
          <w:numId w:val="1005"/>
        </w:numPr>
      </w:pPr>
      <w:r>
        <w:t xml:space="preserve">Estados (loading, error, vacío).</w:t>
      </w:r>
    </w:p>
    <w:p>
      <w:pPr>
        <w:pStyle w:val="Compact"/>
        <w:numPr>
          <w:ilvl w:val="0"/>
          <w:numId w:val="1005"/>
        </w:numPr>
      </w:pPr>
      <w:r>
        <w:t xml:space="preserve">Accesibilidad básica.</w:t>
      </w:r>
    </w:p>
    <w:p>
      <w:r>
        <w:pict>
          <v:rect style="width:0;height:1.5pt" o:hralign="center" o:hrstd="t" o:hr="t"/>
        </w:pict>
      </w:r>
    </w:p>
    <w:bookmarkEnd w:id="27"/>
    <w:bookmarkStart w:id="28" w:name="pruebas-de-rendimiento"/>
    <w:p>
      <w:pPr>
        <w:pStyle w:val="Heading2"/>
      </w:pPr>
      <w:r>
        <w:t xml:space="preserve">3.5 Pruebas de Rendimiento</w:t>
      </w:r>
    </w:p>
    <w:p>
      <w:pPr>
        <w:pStyle w:val="Compact"/>
        <w:numPr>
          <w:ilvl w:val="0"/>
          <w:numId w:val="1006"/>
        </w:numPr>
      </w:pPr>
      <w:r>
        <w:t xml:space="preserve">Tiempo de carga &lt; 3 segundos.</w:t>
      </w:r>
    </w:p>
    <w:p>
      <w:pPr>
        <w:pStyle w:val="Compact"/>
        <w:numPr>
          <w:ilvl w:val="0"/>
          <w:numId w:val="1006"/>
        </w:numPr>
      </w:pPr>
      <w:r>
        <w:t xml:space="preserve">API &lt; 500 ms en consultas comunes.</w:t>
      </w:r>
    </w:p>
    <w:p>
      <w:pPr>
        <w:pStyle w:val="Compact"/>
        <w:numPr>
          <w:ilvl w:val="0"/>
          <w:numId w:val="1006"/>
        </w:numPr>
      </w:pPr>
      <w:r>
        <w:t xml:space="preserve">Optimización de imágenes.</w:t>
      </w:r>
    </w:p>
    <w:p>
      <w:pPr>
        <w:pStyle w:val="Compact"/>
        <w:numPr>
          <w:ilvl w:val="0"/>
          <w:numId w:val="1006"/>
        </w:numPr>
      </w:pPr>
      <w:r>
        <w:t xml:space="preserve">Uso de caché.</w:t>
      </w:r>
    </w:p>
    <w:p>
      <w:r>
        <w:pict>
          <v:rect style="width:0;height:1.5pt" o:hralign="center" o:hrstd="t" o:hr="t"/>
        </w:pict>
      </w:r>
    </w:p>
    <w:bookmarkEnd w:id="28"/>
    <w:bookmarkStart w:id="29" w:name="pruebas-de-seguridad"/>
    <w:p>
      <w:pPr>
        <w:pStyle w:val="Heading2"/>
      </w:pPr>
      <w:r>
        <w:t xml:space="preserve">3.6 Pruebas de Seguridad</w:t>
      </w:r>
    </w:p>
    <w:p>
      <w:pPr>
        <w:pStyle w:val="Compact"/>
        <w:numPr>
          <w:ilvl w:val="0"/>
          <w:numId w:val="1007"/>
        </w:numPr>
      </w:pPr>
      <w:r>
        <w:t xml:space="preserve">Autenticación JWT.</w:t>
      </w:r>
    </w:p>
    <w:p>
      <w:pPr>
        <w:pStyle w:val="Compact"/>
        <w:numPr>
          <w:ilvl w:val="0"/>
          <w:numId w:val="1007"/>
        </w:numPr>
      </w:pPr>
      <w:r>
        <w:t xml:space="preserve">Control de roles.</w:t>
      </w:r>
    </w:p>
    <w:p>
      <w:pPr>
        <w:pStyle w:val="Compact"/>
        <w:numPr>
          <w:ilvl w:val="0"/>
          <w:numId w:val="1007"/>
        </w:numPr>
      </w:pPr>
      <w:r>
        <w:t xml:space="preserve">Intentos de acceso no autorizado.</w:t>
      </w:r>
    </w:p>
    <w:p>
      <w:pPr>
        <w:pStyle w:val="Compact"/>
        <w:numPr>
          <w:ilvl w:val="0"/>
          <w:numId w:val="1007"/>
        </w:numPr>
      </w:pPr>
      <w:r>
        <w:t xml:space="preserve">Validación de inputs.</w:t>
      </w:r>
    </w:p>
    <w:p>
      <w:pPr>
        <w:pStyle w:val="Compact"/>
        <w:numPr>
          <w:ilvl w:val="0"/>
          <w:numId w:val="1007"/>
        </w:numPr>
      </w:pPr>
      <w:r>
        <w:t xml:space="preserve">Protección contra XSS y SQL Injection.</w:t>
      </w:r>
    </w:p>
    <w:p>
      <w:r>
        <w:pict>
          <v:rect style="width:0;height:1.5pt" o:hralign="center" o:hrstd="t" o:hr="t"/>
        </w:pict>
      </w:r>
    </w:p>
    <w:bookmarkEnd w:id="29"/>
    <w:bookmarkStart w:id="30" w:name="pruebas-seo"/>
    <w:p>
      <w:pPr>
        <w:pStyle w:val="Heading2"/>
      </w:pPr>
      <w:r>
        <w:t xml:space="preserve">3.7 Pruebas SEO</w:t>
      </w:r>
    </w:p>
    <w:p>
      <w:pPr>
        <w:pStyle w:val="Compact"/>
        <w:numPr>
          <w:ilvl w:val="0"/>
          <w:numId w:val="1008"/>
        </w:numPr>
      </w:pPr>
      <w:r>
        <w:t xml:space="preserve">URLs amigables.</w:t>
      </w:r>
    </w:p>
    <w:p>
      <w:pPr>
        <w:pStyle w:val="Compact"/>
        <w:numPr>
          <w:ilvl w:val="0"/>
          <w:numId w:val="1008"/>
        </w:numPr>
      </w:pPr>
      <w:r>
        <w:t xml:space="preserve">Meta tags correctos.</w:t>
      </w:r>
    </w:p>
    <w:p>
      <w:pPr>
        <w:pStyle w:val="Compact"/>
        <w:numPr>
          <w:ilvl w:val="0"/>
          <w:numId w:val="1008"/>
        </w:numPr>
      </w:pPr>
      <w:r>
        <w:t xml:space="preserve">Indexación correcta.</w:t>
      </w:r>
    </w:p>
    <w:p>
      <w:pPr>
        <w:pStyle w:val="Compact"/>
        <w:numPr>
          <w:ilvl w:val="0"/>
          <w:numId w:val="1008"/>
        </w:numPr>
      </w:pPr>
      <w:r>
        <w:t xml:space="preserve">Sitemap generado.</w:t>
      </w:r>
    </w:p>
    <w:p>
      <w:pPr>
        <w:pStyle w:val="Compact"/>
        <w:numPr>
          <w:ilvl w:val="0"/>
          <w:numId w:val="1008"/>
        </w:numPr>
      </w:pPr>
      <w:r>
        <w:t xml:space="preserve">Open Graph y Twitter Cards.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casos-de-prueba-clave"/>
    <w:p>
      <w:pPr>
        <w:pStyle w:val="Heading1"/>
      </w:pPr>
      <w:r>
        <w:t xml:space="preserve">4. Casos de Prueba Clave</w:t>
      </w:r>
    </w:p>
    <w:bookmarkStart w:id="32" w:name="cp-01-crear-lugar"/>
    <w:p>
      <w:pPr>
        <w:pStyle w:val="Heading2"/>
      </w:pPr>
      <w:r>
        <w:t xml:space="preserve">CP-01 Crear Lugar</w:t>
      </w:r>
    </w:p>
    <w:p>
      <w:pPr>
        <w:pStyle w:val="FirstParagraph"/>
      </w:pPr>
      <w:r>
        <w:rPr>
          <w:b/>
          <w:bCs/>
        </w:rPr>
        <w:t xml:space="preserve">Pasos:</w:t>
      </w:r>
      <w:r>
        <w:t xml:space="preserve"> </w:t>
      </w:r>
      <w:r>
        <w:t xml:space="preserve">1. Acceder al CMS.</w:t>
      </w:r>
      <w:r>
        <w:t xml:space="preserve"> </w:t>
      </w:r>
      <w:r>
        <w:t xml:space="preserve">2. Crear nuevo lugar.</w:t>
      </w:r>
      <w:r>
        <w:t xml:space="preserve"> </w:t>
      </w:r>
      <w:r>
        <w:t xml:space="preserve">3. Completar campos obligatorios.</w:t>
      </w:r>
      <w:r>
        <w:t xml:space="preserve"> </w:t>
      </w:r>
      <w:r>
        <w:t xml:space="preserve">4. Publicar.</w:t>
      </w:r>
    </w:p>
    <w:p>
      <w:pPr>
        <w:pStyle w:val="BodyText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09"/>
        </w:numPr>
      </w:pPr>
      <w:r>
        <w:t xml:space="preserve">Lugar visible en el portal público.</w:t>
      </w:r>
    </w:p>
    <w:p>
      <w:r>
        <w:pict>
          <v:rect style="width:0;height:1.5pt" o:hralign="center" o:hrstd="t" o:hr="t"/>
        </w:pict>
      </w:r>
    </w:p>
    <w:bookmarkEnd w:id="32"/>
    <w:bookmarkStart w:id="33" w:name="cp-02-buscar-contenido"/>
    <w:p>
      <w:pPr>
        <w:pStyle w:val="Heading2"/>
      </w:pPr>
      <w:r>
        <w:t xml:space="preserve">CP-02 Buscar Contenido</w:t>
      </w:r>
    </w:p>
    <w:p>
      <w:pPr>
        <w:pStyle w:val="FirstParagraph"/>
      </w:pPr>
      <w:r>
        <w:rPr>
          <w:b/>
          <w:bCs/>
        </w:rPr>
        <w:t xml:space="preserve">Pasos:</w:t>
      </w:r>
      <w:r>
        <w:t xml:space="preserve"> </w:t>
      </w:r>
      <w:r>
        <w:t xml:space="preserve">1. Usar buscador.</w:t>
      </w:r>
      <w:r>
        <w:t xml:space="preserve"> </w:t>
      </w:r>
      <w:r>
        <w:t xml:space="preserve">2. Escribir palabra clave.</w:t>
      </w:r>
      <w:r>
        <w:t xml:space="preserve"> </w:t>
      </w:r>
      <w:r>
        <w:t xml:space="preserve">3. Filtrar resultados.</w:t>
      </w:r>
    </w:p>
    <w:p>
      <w:pPr>
        <w:pStyle w:val="BodyText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10"/>
        </w:numPr>
      </w:pPr>
      <w:r>
        <w:t xml:space="preserve">Resultados relevantes y rápidos.</w:t>
      </w:r>
    </w:p>
    <w:p>
      <w:r>
        <w:pict>
          <v:rect style="width:0;height:1.5pt" o:hralign="center" o:hrstd="t" o:hr="t"/>
        </w:pict>
      </w:r>
    </w:p>
    <w:bookmarkEnd w:id="33"/>
    <w:bookmarkStart w:id="34" w:name="cp-03-publicar-evento"/>
    <w:p>
      <w:pPr>
        <w:pStyle w:val="Heading2"/>
      </w:pPr>
      <w:r>
        <w:t xml:space="preserve">CP-03 Publicar Evento</w:t>
      </w:r>
    </w:p>
    <w:p>
      <w:pPr>
        <w:pStyle w:val="FirstParagraph"/>
      </w:pPr>
      <w:r>
        <w:rPr>
          <w:b/>
          <w:bCs/>
        </w:rPr>
        <w:t xml:space="preserve">Pasos:</w:t>
      </w:r>
      <w:r>
        <w:t xml:space="preserve"> </w:t>
      </w:r>
      <w:r>
        <w:t xml:space="preserve">1. Crear evento.</w:t>
      </w:r>
      <w:r>
        <w:t xml:space="preserve"> </w:t>
      </w:r>
      <w:r>
        <w:t xml:space="preserve">2. Asociar lugar.</w:t>
      </w:r>
      <w:r>
        <w:t xml:space="preserve"> </w:t>
      </w:r>
      <w:r>
        <w:t xml:space="preserve">3. Definir fecha.</w:t>
      </w:r>
      <w:r>
        <w:t xml:space="preserve"> </w:t>
      </w:r>
      <w:r>
        <w:t xml:space="preserve">4. Publicar.</w:t>
      </w:r>
    </w:p>
    <w:p>
      <w:pPr>
        <w:pStyle w:val="BodyText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11"/>
        </w:numPr>
      </w:pPr>
      <w:r>
        <w:t xml:space="preserve">Evento visible en sección pública.</w:t>
      </w:r>
    </w:p>
    <w:p>
      <w:r>
        <w:pict>
          <v:rect style="width:0;height:1.5pt" o:hralign="center" o:hrstd="t" o:hr="t"/>
        </w:pict>
      </w:r>
    </w:p>
    <w:bookmarkEnd w:id="34"/>
    <w:bookmarkStart w:id="35" w:name="cp-04-subida-de-imagen"/>
    <w:p>
      <w:pPr>
        <w:pStyle w:val="Heading2"/>
      </w:pPr>
      <w:r>
        <w:t xml:space="preserve">CP-04 Subida de Imagen</w:t>
      </w:r>
    </w:p>
    <w:p>
      <w:pPr>
        <w:pStyle w:val="FirstParagraph"/>
      </w:pPr>
      <w:r>
        <w:rPr>
          <w:b/>
          <w:bCs/>
        </w:rPr>
        <w:t xml:space="preserve">Pasos:</w:t>
      </w:r>
      <w:r>
        <w:t xml:space="preserve"> </w:t>
      </w:r>
      <w:r>
        <w:t xml:space="preserve">1. Subir imagen desde CMS.</w:t>
      </w:r>
      <w:r>
        <w:t xml:space="preserve"> </w:t>
      </w:r>
      <w:r>
        <w:t xml:space="preserve">2. Asociarla a contenido.</w:t>
      </w:r>
    </w:p>
    <w:p>
      <w:pPr>
        <w:pStyle w:val="BodyText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12"/>
        </w:numPr>
      </w:pPr>
      <w:r>
        <w:t xml:space="preserve">Imagen optimizada y visible.</w:t>
      </w:r>
    </w:p>
    <w:p>
      <w:r>
        <w:pict>
          <v:rect style="width:0;height:1.5pt" o:hralign="center" o:hrstd="t" o:hr="t"/>
        </w:pict>
      </w:r>
    </w:p>
    <w:bookmarkEnd w:id="35"/>
    <w:bookmarkStart w:id="36" w:name="cp-05-control-de-acceso"/>
    <w:p>
      <w:pPr>
        <w:pStyle w:val="Heading2"/>
      </w:pPr>
      <w:r>
        <w:t xml:space="preserve">CP-05 Control de Acceso</w:t>
      </w:r>
    </w:p>
    <w:p>
      <w:pPr>
        <w:pStyle w:val="FirstParagraph"/>
      </w:pPr>
      <w:r>
        <w:rPr>
          <w:b/>
          <w:bCs/>
        </w:rPr>
        <w:t xml:space="preserve">Pasos:</w:t>
      </w:r>
      <w:r>
        <w:t xml:space="preserve"> </w:t>
      </w:r>
      <w:r>
        <w:t xml:space="preserve">1. Intentar acceso sin token.</w:t>
      </w:r>
      <w:r>
        <w:t xml:space="preserve"> </w:t>
      </w:r>
      <w:r>
        <w:t xml:space="preserve">2. Intentar acción sin permisos.</w:t>
      </w:r>
    </w:p>
    <w:p>
      <w:pPr>
        <w:pStyle w:val="BodyText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13"/>
        </w:numPr>
      </w:pPr>
      <w:r>
        <w:t xml:space="preserve">Acceso denegado correctamente.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riterios-de-aceptación"/>
    <w:p>
      <w:pPr>
        <w:pStyle w:val="Heading1"/>
      </w:pPr>
      <w:r>
        <w:t xml:space="preserve">5. Criterios de Aceptación</w:t>
      </w:r>
    </w:p>
    <w:p>
      <w:pPr>
        <w:pStyle w:val="FirstParagraph"/>
      </w:pPr>
      <w:r>
        <w:t xml:space="preserve">El sistema será aprobado si:</w:t>
      </w:r>
    </w:p>
    <w:p>
      <w:pPr>
        <w:pStyle w:val="Compact"/>
        <w:numPr>
          <w:ilvl w:val="0"/>
          <w:numId w:val="1014"/>
        </w:numPr>
      </w:pPr>
      <w:r>
        <w:t xml:space="preserve">Todos los módulos críticos funcionan sin errores.</w:t>
      </w:r>
    </w:p>
    <w:p>
      <w:pPr>
        <w:pStyle w:val="Compact"/>
        <w:numPr>
          <w:ilvl w:val="0"/>
          <w:numId w:val="1014"/>
        </w:numPr>
      </w:pPr>
      <w:r>
        <w:t xml:space="preserve">No existen fallos críticos en API.</w:t>
      </w:r>
    </w:p>
    <w:p>
      <w:pPr>
        <w:pStyle w:val="Compact"/>
        <w:numPr>
          <w:ilvl w:val="0"/>
          <w:numId w:val="1014"/>
        </w:numPr>
      </w:pPr>
      <w:r>
        <w:t xml:space="preserve">El CMS permite gestionar contenido completo.</w:t>
      </w:r>
    </w:p>
    <w:p>
      <w:pPr>
        <w:pStyle w:val="Compact"/>
        <w:numPr>
          <w:ilvl w:val="0"/>
          <w:numId w:val="1014"/>
        </w:numPr>
      </w:pPr>
      <w:r>
        <w:t xml:space="preserve">El frontend es completamente funcional.</w:t>
      </w:r>
    </w:p>
    <w:p>
      <w:pPr>
        <w:pStyle w:val="Compact"/>
        <w:numPr>
          <w:ilvl w:val="0"/>
          <w:numId w:val="1014"/>
        </w:numPr>
      </w:pPr>
      <w:r>
        <w:t xml:space="preserve">El rendimiento cumple los estándares.</w:t>
      </w:r>
    </w:p>
    <w:p>
      <w:pPr>
        <w:pStyle w:val="Compact"/>
        <w:numPr>
          <w:ilvl w:val="0"/>
          <w:numId w:val="1014"/>
        </w:numPr>
      </w:pPr>
      <w:r>
        <w:t xml:space="preserve">La seguridad está validada.</w:t>
      </w:r>
    </w:p>
    <w:p>
      <w:r>
        <w:pict>
          <v:rect style="width:0;height:1.5pt" o:hralign="center" o:hrstd="t" o:hr="t"/>
        </w:pict>
      </w:r>
    </w:p>
    <w:bookmarkEnd w:id="38"/>
    <w:bookmarkStart w:id="39" w:name="entorno-de-pruebas"/>
    <w:p>
      <w:pPr>
        <w:pStyle w:val="Heading1"/>
      </w:pPr>
      <w:r>
        <w:t xml:space="preserve">6. Entorno de Pruebas</w:t>
      </w:r>
    </w:p>
    <w:p>
      <w:pPr>
        <w:pStyle w:val="Compact"/>
        <w:numPr>
          <w:ilvl w:val="0"/>
          <w:numId w:val="1015"/>
        </w:numPr>
      </w:pPr>
      <w:r>
        <w:t xml:space="preserve">Ambiente Staging obligatorio.</w:t>
      </w:r>
    </w:p>
    <w:p>
      <w:pPr>
        <w:pStyle w:val="Compact"/>
        <w:numPr>
          <w:ilvl w:val="0"/>
          <w:numId w:val="1015"/>
        </w:numPr>
      </w:pPr>
      <w:r>
        <w:t xml:space="preserve">Base de datos separada de producción.</w:t>
      </w:r>
    </w:p>
    <w:p>
      <w:pPr>
        <w:pStyle w:val="Compact"/>
        <w:numPr>
          <w:ilvl w:val="0"/>
          <w:numId w:val="1015"/>
        </w:numPr>
      </w:pPr>
      <w:r>
        <w:t xml:space="preserve">Datos de prueba controlados.</w:t>
      </w:r>
    </w:p>
    <w:p>
      <w:pPr>
        <w:pStyle w:val="Compact"/>
        <w:numPr>
          <w:ilvl w:val="0"/>
          <w:numId w:val="1015"/>
        </w:numPr>
      </w:pPr>
      <w:r>
        <w:t xml:space="preserve">Integraciones externas simuladas cuando sea necesario.</w:t>
      </w:r>
    </w:p>
    <w:p>
      <w:r>
        <w:pict>
          <v:rect style="width:0;height:1.5pt" o:hralign="center" o:hrstd="t" o:hr="t"/>
        </w:pict>
      </w:r>
    </w:p>
    <w:bookmarkEnd w:id="39"/>
    <w:bookmarkStart w:id="40" w:name="herramientas-sugeridas"/>
    <w:p>
      <w:pPr>
        <w:pStyle w:val="Heading1"/>
      </w:pPr>
      <w:r>
        <w:t xml:space="preserve">7. Herramientas Sugeridas</w:t>
      </w:r>
    </w:p>
    <w:p>
      <w:pPr>
        <w:pStyle w:val="Compact"/>
        <w:numPr>
          <w:ilvl w:val="0"/>
          <w:numId w:val="1016"/>
        </w:numPr>
      </w:pPr>
      <w:r>
        <w:t xml:space="preserve">Jest (unit tests)</w:t>
      </w:r>
    </w:p>
    <w:p>
      <w:pPr>
        <w:pStyle w:val="Compact"/>
        <w:numPr>
          <w:ilvl w:val="0"/>
          <w:numId w:val="1016"/>
        </w:numPr>
      </w:pPr>
      <w:r>
        <w:t xml:space="preserve">Cypress o Playwright (E2E)</w:t>
      </w:r>
    </w:p>
    <w:p>
      <w:pPr>
        <w:pStyle w:val="Compact"/>
        <w:numPr>
          <w:ilvl w:val="0"/>
          <w:numId w:val="1016"/>
        </w:numPr>
      </w:pPr>
      <w:r>
        <w:t xml:space="preserve">Postman (API testing)</w:t>
      </w:r>
    </w:p>
    <w:p>
      <w:pPr>
        <w:pStyle w:val="Compact"/>
        <w:numPr>
          <w:ilvl w:val="0"/>
          <w:numId w:val="1016"/>
        </w:numPr>
      </w:pPr>
      <w:r>
        <w:t xml:space="preserve">Lighthouse (performance y SEO)</w:t>
      </w:r>
    </w:p>
    <w:p>
      <w:pPr>
        <w:pStyle w:val="Compact"/>
        <w:numPr>
          <w:ilvl w:val="0"/>
          <w:numId w:val="1016"/>
        </w:numPr>
      </w:pPr>
      <w:r>
        <w:t xml:space="preserve">SonarQube (calidad de código)</w:t>
      </w:r>
    </w:p>
    <w:p>
      <w:r>
        <w:pict>
          <v:rect style="width:0;height:1.5pt" o:hralign="center" o:hrstd="t" o:hr="t"/>
        </w:pict>
      </w:r>
    </w:p>
    <w:bookmarkEnd w:id="40"/>
    <w:bookmarkStart w:id="41" w:name="roles-en-qa"/>
    <w:p>
      <w:pPr>
        <w:pStyle w:val="Heading1"/>
      </w:pPr>
      <w:r>
        <w:t xml:space="preserve">8. Roles en QA</w:t>
      </w:r>
    </w:p>
    <w:p>
      <w:pPr>
        <w:pStyle w:val="Compact"/>
        <w:numPr>
          <w:ilvl w:val="0"/>
          <w:numId w:val="1017"/>
        </w:numPr>
      </w:pPr>
      <w:r>
        <w:t xml:space="preserve">QA Engineer: ejecución de pruebas.</w:t>
      </w:r>
    </w:p>
    <w:p>
      <w:pPr>
        <w:pStyle w:val="Compact"/>
        <w:numPr>
          <w:ilvl w:val="0"/>
          <w:numId w:val="1017"/>
        </w:numPr>
      </w:pPr>
      <w:r>
        <w:t xml:space="preserve">Backend Developer: soporte de API.</w:t>
      </w:r>
    </w:p>
    <w:p>
      <w:pPr>
        <w:pStyle w:val="Compact"/>
        <w:numPr>
          <w:ilvl w:val="0"/>
          <w:numId w:val="1017"/>
        </w:numPr>
      </w:pPr>
      <w:r>
        <w:t xml:space="preserve">Frontend Developer: corrección de UI.</w:t>
      </w:r>
    </w:p>
    <w:p>
      <w:pPr>
        <w:pStyle w:val="Compact"/>
        <w:numPr>
          <w:ilvl w:val="0"/>
          <w:numId w:val="1017"/>
        </w:numPr>
      </w:pPr>
      <w:r>
        <w:t xml:space="preserve">Product Owner: validación funcional final.</w:t>
      </w:r>
    </w:p>
    <w:p>
      <w:r>
        <w:pict>
          <v:rect style="width:0;height:1.5pt" o:hralign="center" o:hrstd="t" o:hr="t"/>
        </w:pict>
      </w:r>
    </w:p>
    <w:bookmarkEnd w:id="41"/>
    <w:bookmarkStart w:id="42" w:name="flujo-de-validación"/>
    <w:p>
      <w:pPr>
        <w:pStyle w:val="Heading1"/>
      </w:pPr>
      <w:r>
        <w:t xml:space="preserve">9. Flujo de Validación</w:t>
      </w:r>
    </w:p>
    <w:p>
      <w:pPr>
        <w:pStyle w:val="Compact"/>
        <w:numPr>
          <w:ilvl w:val="0"/>
          <w:numId w:val="1018"/>
        </w:numPr>
      </w:pPr>
      <w:r>
        <w:t xml:space="preserve">Desarrollo completado.</w:t>
      </w:r>
    </w:p>
    <w:p>
      <w:pPr>
        <w:pStyle w:val="Compact"/>
        <w:numPr>
          <w:ilvl w:val="0"/>
          <w:numId w:val="1018"/>
        </w:numPr>
      </w:pPr>
      <w:r>
        <w:t xml:space="preserve">Deploy a staging.</w:t>
      </w:r>
    </w:p>
    <w:p>
      <w:pPr>
        <w:pStyle w:val="Compact"/>
        <w:numPr>
          <w:ilvl w:val="0"/>
          <w:numId w:val="1018"/>
        </w:numPr>
      </w:pPr>
      <w:r>
        <w:t xml:space="preserve">Ejecución de pruebas.</w:t>
      </w:r>
    </w:p>
    <w:p>
      <w:pPr>
        <w:pStyle w:val="Compact"/>
        <w:numPr>
          <w:ilvl w:val="0"/>
          <w:numId w:val="1018"/>
        </w:numPr>
      </w:pPr>
      <w:r>
        <w:t xml:space="preserve">Corrección de errores.</w:t>
      </w:r>
    </w:p>
    <w:p>
      <w:pPr>
        <w:pStyle w:val="Compact"/>
        <w:numPr>
          <w:ilvl w:val="0"/>
          <w:numId w:val="1018"/>
        </w:numPr>
      </w:pPr>
      <w:r>
        <w:t xml:space="preserve">Re-test.</w:t>
      </w:r>
    </w:p>
    <w:p>
      <w:pPr>
        <w:pStyle w:val="Compact"/>
        <w:numPr>
          <w:ilvl w:val="0"/>
          <w:numId w:val="1018"/>
        </w:numPr>
      </w:pPr>
      <w:r>
        <w:t xml:space="preserve">Aprobación final.</w:t>
      </w:r>
    </w:p>
    <w:p>
      <w:pPr>
        <w:pStyle w:val="Compact"/>
        <w:numPr>
          <w:ilvl w:val="0"/>
          <w:numId w:val="1018"/>
        </w:numPr>
      </w:pPr>
      <w:r>
        <w:t xml:space="preserve">Deploy a producción.</w:t>
      </w:r>
    </w:p>
    <w:p>
      <w:r>
        <w:pict>
          <v:rect style="width:0;height:1.5pt" o:hralign="center" o:hrstd="t" o:hr="t"/>
        </w:pict>
      </w:r>
    </w:p>
    <w:bookmarkEnd w:id="42"/>
    <w:bookmarkStart w:id="43" w:name="aprobación"/>
    <w:p>
      <w:pPr>
        <w:pStyle w:val="Heading1"/>
      </w:pPr>
      <w:r>
        <w:t xml:space="preserve">Aprobación</w:t>
      </w:r>
    </w:p>
    <w:p>
      <w:pPr>
        <w:pStyle w:val="FirstParagraph"/>
      </w:pPr>
      <w:r>
        <w:t xml:space="preserve">Este Plan de Pruebas establece los criterios de calidad mínimos para el Portal Turístico del Gran Santo Domingo y es obligatorio antes de cualquier despliegue en producción.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2026-06-28T23:56:35Z</dcterms:created>
  <dcterms:modified xsi:type="dcterms:W3CDTF">2026-06-28T23:56:35Z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