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B8FA" w14:textId="266E8D68" w:rsidR="00592933" w:rsidRDefault="00C84A95" w:rsidP="00C84A95">
      <w:pPr>
        <w:tabs>
          <w:tab w:val="left" w:pos="2160"/>
        </w:tabs>
      </w:pPr>
      <w:r>
        <w:t>Procedure:</w:t>
      </w:r>
      <w:r>
        <w:tab/>
      </w:r>
      <w:proofErr w:type="spellStart"/>
      <w:r w:rsidRPr="00BA3D10">
        <w:rPr>
          <w:rStyle w:val="CodeObjectChar"/>
        </w:rPr>
        <w:t>CalcEmissions</w:t>
      </w:r>
      <w:proofErr w:type="spellEnd"/>
    </w:p>
    <w:p w14:paraId="2661B33A" w14:textId="7C112488" w:rsidR="00C84A95" w:rsidRDefault="00C84A95" w:rsidP="00C84A95">
      <w:pPr>
        <w:tabs>
          <w:tab w:val="left" w:pos="2160"/>
        </w:tabs>
      </w:pPr>
      <w:r>
        <w:t>File:</w:t>
      </w:r>
      <w:r>
        <w:tab/>
      </w:r>
      <w:r w:rsidRPr="00BA3D10">
        <w:rPr>
          <w:rStyle w:val="CodeObjectChar"/>
        </w:rPr>
        <w:t>CalcEmissions_RH2_2020-03-27.sql</w:t>
      </w:r>
    </w:p>
    <w:p w14:paraId="38B37F93" w14:textId="282A23B1" w:rsidR="00C84A95" w:rsidRDefault="00C84A95" w:rsidP="004E3C4E">
      <w:pPr>
        <w:pStyle w:val="Heading1"/>
      </w:pPr>
      <w:r>
        <w:t>Introduction</w:t>
      </w:r>
    </w:p>
    <w:p w14:paraId="76557F7A" w14:textId="52373904" w:rsidR="00C84A95" w:rsidRDefault="00C84A95" w:rsidP="0049177F">
      <w:r>
        <w:t xml:space="preserve">The </w:t>
      </w:r>
      <w:proofErr w:type="spellStart"/>
      <w:r w:rsidRPr="00C84A95">
        <w:rPr>
          <w:rStyle w:val="CodeObjectChar"/>
        </w:rPr>
        <w:t>CalcEmissions</w:t>
      </w:r>
      <w:proofErr w:type="spellEnd"/>
      <w:r>
        <w:t xml:space="preserve"> procedure is a Transact-SQL (T-SQL) script which is saved to instances of the Cost Effectiveness Tool (CET) database. The procedure has </w:t>
      </w:r>
      <w:r w:rsidR="0049177F">
        <w:t>three</w:t>
      </w:r>
      <w:r>
        <w:t xml:space="preserve"> </w:t>
      </w:r>
      <w:r w:rsidR="0049177F">
        <w:t xml:space="preserve">formal </w:t>
      </w:r>
      <w:r>
        <w:t xml:space="preserve">parameters, no outputs, and updates two tables as a side-effect. The intended purpose of </w:t>
      </w:r>
      <w:proofErr w:type="spellStart"/>
      <w:r w:rsidRPr="0049177F">
        <w:rPr>
          <w:rStyle w:val="CodeObjectChar"/>
        </w:rPr>
        <w:t>CalcEmissions</w:t>
      </w:r>
      <w:proofErr w:type="spellEnd"/>
      <w:r>
        <w:t xml:space="preserve"> is to apply standardized emissions rates for three criterion pollutants to a user’s input energy efficiency measures and calculate each measure’s emissions reductions. Within the context of the CET, which is run as a stack of numerous procedures, saved tables, and saved queries, the tables changed </w:t>
      </w:r>
      <w:r w:rsidR="0049177F">
        <w:t xml:space="preserve">due to the </w:t>
      </w:r>
      <w:r>
        <w:t xml:space="preserve">side-effects of </w:t>
      </w:r>
      <w:proofErr w:type="spellStart"/>
      <w:r w:rsidRPr="0049177F">
        <w:rPr>
          <w:rStyle w:val="CodeObjectChar"/>
        </w:rPr>
        <w:t>CalcEmissions</w:t>
      </w:r>
      <w:proofErr w:type="spellEnd"/>
      <w:r w:rsidR="0049177F">
        <w:t xml:space="preserve"> are included in the overall feedback to users.</w:t>
      </w:r>
    </w:p>
    <w:p w14:paraId="038E31C5" w14:textId="7BED6E20" w:rsidR="0049177F" w:rsidRDefault="0049177F" w:rsidP="00BA3D10">
      <w:pPr>
        <w:pStyle w:val="Heading2"/>
      </w:pPr>
      <w:r>
        <w:t>Parameters:</w:t>
      </w:r>
    </w:p>
    <w:p w14:paraId="5EA6C041" w14:textId="53C093B0" w:rsidR="004E3C4E" w:rsidRPr="004E3C4E" w:rsidRDefault="004E3C4E" w:rsidP="004E3C4E">
      <w:r>
        <w:t xml:space="preserve">The following table identifies each of the parameters specified for the </w:t>
      </w:r>
      <w:proofErr w:type="spellStart"/>
      <w:r w:rsidRPr="004E3C4E">
        <w:rPr>
          <w:rStyle w:val="CodeObjectChar"/>
        </w:rPr>
        <w:t>CalcEmissions</w:t>
      </w:r>
      <w:proofErr w:type="spellEnd"/>
      <w:r>
        <w:t xml:space="preserve"> procedure. The syntax for execution is EXEC [</w:t>
      </w:r>
      <w:proofErr w:type="spellStart"/>
      <w:r>
        <w:t>ProcedureName</w:t>
      </w:r>
      <w:proofErr w:type="spellEnd"/>
      <w:r>
        <w:t>] [Parameter1</w:t>
      </w:r>
      <w:proofErr w:type="gramStart"/>
      <w:r>
        <w:t>Name]=</w:t>
      </w:r>
      <w:proofErr w:type="gramEnd"/>
      <w:r>
        <w:t>[Parameter1Value] []Parameter2Name]=[Parameter2Value]</w:t>
      </w:r>
    </w:p>
    <w:tbl>
      <w:tblPr>
        <w:tblStyle w:val="TableGrid"/>
        <w:tblW w:w="9535"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337"/>
        <w:gridCol w:w="2337"/>
        <w:gridCol w:w="4861"/>
      </w:tblGrid>
      <w:tr w:rsidR="0049177F" w:rsidRPr="00D058F6" w14:paraId="0AEBC1CF" w14:textId="77777777" w:rsidTr="00D058F6">
        <w:tc>
          <w:tcPr>
            <w:tcW w:w="2337" w:type="dxa"/>
          </w:tcPr>
          <w:p w14:paraId="6DB88FD9" w14:textId="6718AED5" w:rsidR="0049177F" w:rsidRPr="00D058F6" w:rsidRDefault="0049177F" w:rsidP="0049177F">
            <w:pPr>
              <w:rPr>
                <w:b/>
                <w:bCs/>
              </w:rPr>
            </w:pPr>
            <w:r w:rsidRPr="00D058F6">
              <w:rPr>
                <w:b/>
                <w:bCs/>
              </w:rPr>
              <w:t>Name</w:t>
            </w:r>
          </w:p>
        </w:tc>
        <w:tc>
          <w:tcPr>
            <w:tcW w:w="2337" w:type="dxa"/>
          </w:tcPr>
          <w:p w14:paraId="5C736886" w14:textId="28DF6F11" w:rsidR="0049177F" w:rsidRPr="00D058F6" w:rsidRDefault="0049177F" w:rsidP="0049177F">
            <w:pPr>
              <w:rPr>
                <w:b/>
                <w:bCs/>
              </w:rPr>
            </w:pPr>
            <w:r w:rsidRPr="00D058F6">
              <w:rPr>
                <w:b/>
                <w:bCs/>
              </w:rPr>
              <w:t>Data Type</w:t>
            </w:r>
          </w:p>
        </w:tc>
        <w:tc>
          <w:tcPr>
            <w:tcW w:w="4861" w:type="dxa"/>
          </w:tcPr>
          <w:p w14:paraId="527DBDB6" w14:textId="44D846FD" w:rsidR="0049177F" w:rsidRPr="00D058F6" w:rsidRDefault="0049177F" w:rsidP="0049177F">
            <w:pPr>
              <w:rPr>
                <w:b/>
                <w:bCs/>
              </w:rPr>
            </w:pPr>
            <w:r w:rsidRPr="00D058F6">
              <w:rPr>
                <w:b/>
                <w:bCs/>
              </w:rPr>
              <w:t>Description</w:t>
            </w:r>
          </w:p>
        </w:tc>
      </w:tr>
      <w:tr w:rsidR="0049177F" w14:paraId="1EF409F0" w14:textId="77777777" w:rsidTr="00D058F6">
        <w:tc>
          <w:tcPr>
            <w:tcW w:w="2337" w:type="dxa"/>
          </w:tcPr>
          <w:p w14:paraId="1176C7AB" w14:textId="7AEEF4A4" w:rsidR="0049177F" w:rsidRDefault="0049177F" w:rsidP="0049177F">
            <w:pPr>
              <w:pStyle w:val="CodeObject"/>
            </w:pPr>
            <w:r>
              <w:t>@</w:t>
            </w:r>
            <w:proofErr w:type="spellStart"/>
            <w:r>
              <w:t>JobID</w:t>
            </w:r>
            <w:proofErr w:type="spellEnd"/>
          </w:p>
        </w:tc>
        <w:tc>
          <w:tcPr>
            <w:tcW w:w="2337" w:type="dxa"/>
          </w:tcPr>
          <w:p w14:paraId="14D697B5" w14:textId="07EA3F1F" w:rsidR="0049177F" w:rsidRDefault="0049177F" w:rsidP="0049177F">
            <w:pPr>
              <w:pStyle w:val="CodeObject"/>
            </w:pPr>
            <w:r>
              <w:t>INT</w:t>
            </w:r>
          </w:p>
        </w:tc>
        <w:tc>
          <w:tcPr>
            <w:tcW w:w="4861" w:type="dxa"/>
          </w:tcPr>
          <w:p w14:paraId="5B2B5447" w14:textId="77777777" w:rsidR="0049177F" w:rsidRDefault="0049177F" w:rsidP="0049177F">
            <w:r>
              <w:t xml:space="preserve">A numeric identifier for a particular instance of calling the </w:t>
            </w:r>
            <w:proofErr w:type="spellStart"/>
            <w:r w:rsidRPr="0049177F">
              <w:rPr>
                <w:rStyle w:val="CodeObjectChar"/>
              </w:rPr>
              <w:t>CalcEmissions</w:t>
            </w:r>
            <w:proofErr w:type="spellEnd"/>
            <w:r>
              <w:t xml:space="preserve">. The CET stack generates a sequential number each time it is run, which is passed to </w:t>
            </w:r>
            <w:proofErr w:type="spellStart"/>
            <w:r w:rsidRPr="0049177F">
              <w:rPr>
                <w:rStyle w:val="CodeObjectChar"/>
              </w:rPr>
              <w:t>CalcEmissions</w:t>
            </w:r>
            <w:proofErr w:type="spellEnd"/>
            <w:r>
              <w:t xml:space="preserve">. The value of </w:t>
            </w:r>
            <w:r w:rsidRPr="0049177F">
              <w:rPr>
                <w:rStyle w:val="CodeObjectChar"/>
              </w:rPr>
              <w:t>@</w:t>
            </w:r>
            <w:proofErr w:type="spellStart"/>
            <w:r w:rsidRPr="0049177F">
              <w:rPr>
                <w:rStyle w:val="CodeObjectChar"/>
              </w:rPr>
              <w:t>JobID</w:t>
            </w:r>
            <w:proofErr w:type="spellEnd"/>
            <w:r>
              <w:t xml:space="preserve"> is used to delete existing rows in the table </w:t>
            </w:r>
            <w:proofErr w:type="spellStart"/>
            <w:r w:rsidRPr="0049177F">
              <w:rPr>
                <w:rStyle w:val="CodeObjectChar"/>
              </w:rPr>
              <w:t>OutputEmissions</w:t>
            </w:r>
            <w:proofErr w:type="spellEnd"/>
            <w:r>
              <w:t xml:space="preserve">, and is written into the </w:t>
            </w:r>
            <w:proofErr w:type="spellStart"/>
            <w:r w:rsidRPr="0049177F">
              <w:rPr>
                <w:rStyle w:val="CodeObjectChar"/>
              </w:rPr>
              <w:t>JobID</w:t>
            </w:r>
            <w:proofErr w:type="spellEnd"/>
            <w:r>
              <w:t xml:space="preserve"> column of new rows.</w:t>
            </w:r>
          </w:p>
          <w:p w14:paraId="4432109D" w14:textId="77777777" w:rsidR="00E16DE9" w:rsidRDefault="00E16DE9" w:rsidP="0049177F"/>
          <w:p w14:paraId="0786B128" w14:textId="5839BB77" w:rsidR="00E16DE9" w:rsidRDefault="00E16DE9" w:rsidP="0049177F">
            <w:r>
              <w:t>Default Value: -1</w:t>
            </w:r>
          </w:p>
        </w:tc>
      </w:tr>
      <w:tr w:rsidR="0049177F" w14:paraId="07A40540" w14:textId="77777777" w:rsidTr="00D058F6">
        <w:tc>
          <w:tcPr>
            <w:tcW w:w="2337" w:type="dxa"/>
          </w:tcPr>
          <w:p w14:paraId="132DF2AA" w14:textId="587153ED" w:rsidR="0049177F" w:rsidRDefault="0049177F" w:rsidP="0049177F">
            <w:pPr>
              <w:pStyle w:val="CodeObject"/>
            </w:pPr>
            <w:r>
              <w:t>@</w:t>
            </w:r>
            <w:proofErr w:type="spellStart"/>
            <w:r>
              <w:t>MEBens</w:t>
            </w:r>
            <w:proofErr w:type="spellEnd"/>
          </w:p>
        </w:tc>
        <w:tc>
          <w:tcPr>
            <w:tcW w:w="2337" w:type="dxa"/>
          </w:tcPr>
          <w:p w14:paraId="64C31941" w14:textId="4D0B4C1D" w:rsidR="0049177F" w:rsidRDefault="0049177F" w:rsidP="0049177F">
            <w:pPr>
              <w:pStyle w:val="CodeObject"/>
            </w:pPr>
            <w:r>
              <w:t>FLOAT</w:t>
            </w:r>
          </w:p>
        </w:tc>
        <w:tc>
          <w:tcPr>
            <w:tcW w:w="4861" w:type="dxa"/>
          </w:tcPr>
          <w:p w14:paraId="4C8AACA7" w14:textId="77777777" w:rsidR="0049177F" w:rsidRDefault="0049177F" w:rsidP="0049177F">
            <w:r>
              <w:t xml:space="preserve">A number which is added </w:t>
            </w:r>
            <w:r w:rsidR="00E16DE9">
              <w:t xml:space="preserve">to </w:t>
            </w:r>
            <w:r>
              <w:t xml:space="preserve">the Net-to-Gross Ratio </w:t>
            </w:r>
            <w:r w:rsidR="00E16DE9">
              <w:t>(NTGR) to adjust calculated net savings. The number represents unaccountable savings attributed to the Energy Efficiency Portfolio’s effects on the broader market. California State Policy currently sets the value to 0.05. The value is used in calculating net emissions reductions, which are based on net energy savings values.</w:t>
            </w:r>
          </w:p>
          <w:p w14:paraId="667B27D3" w14:textId="77777777" w:rsidR="00E16DE9" w:rsidRDefault="00E16DE9" w:rsidP="0049177F"/>
          <w:p w14:paraId="2D967495" w14:textId="77777777" w:rsidR="00E16DE9" w:rsidRDefault="00E16DE9" w:rsidP="0049177F">
            <w:r>
              <w:t>Default Value: Null</w:t>
            </w:r>
          </w:p>
          <w:p w14:paraId="18755F66" w14:textId="77777777" w:rsidR="00B50FDC" w:rsidRDefault="00B50FDC" w:rsidP="0049177F"/>
          <w:p w14:paraId="2BACC6FA" w14:textId="41478F20" w:rsidR="00B50FDC" w:rsidRDefault="00B50FDC" w:rsidP="0049177F">
            <w:r>
              <w:t xml:space="preserve">Note: If </w:t>
            </w:r>
            <w:r w:rsidRPr="00B50FDC">
              <w:rPr>
                <w:rStyle w:val="CodeObjectChar"/>
              </w:rPr>
              <w:t>@</w:t>
            </w:r>
            <w:proofErr w:type="spellStart"/>
            <w:r w:rsidRPr="00B50FDC">
              <w:rPr>
                <w:rStyle w:val="CodeObjectChar"/>
              </w:rPr>
              <w:t>MEBens</w:t>
            </w:r>
            <w:proofErr w:type="spellEnd"/>
            <w:r>
              <w:t xml:space="preserve"> is null, </w:t>
            </w:r>
            <w:proofErr w:type="spellStart"/>
            <w:r w:rsidRPr="00B50FDC">
              <w:rPr>
                <w:rStyle w:val="CodeObjectChar"/>
              </w:rPr>
              <w:t>CalcEmissions</w:t>
            </w:r>
            <w:proofErr w:type="spellEnd"/>
            <w:r>
              <w:t xml:space="preserve"> uses the value of the </w:t>
            </w:r>
            <w:proofErr w:type="spellStart"/>
            <w:r w:rsidRPr="00B50FDC">
              <w:rPr>
                <w:rStyle w:val="CodeObjectChar"/>
              </w:rPr>
              <w:t>MarketEffectBens</w:t>
            </w:r>
            <w:proofErr w:type="spellEnd"/>
            <w:r>
              <w:t xml:space="preserve"> column of the table </w:t>
            </w:r>
            <w:proofErr w:type="spellStart"/>
            <w:r w:rsidRPr="00B50FDC">
              <w:rPr>
                <w:rStyle w:val="CodeObjectChar"/>
              </w:rPr>
              <w:t>CETJobs</w:t>
            </w:r>
            <w:proofErr w:type="spellEnd"/>
            <w:r>
              <w:t xml:space="preserve"> with the </w:t>
            </w:r>
            <w:r w:rsidRPr="00B50FDC">
              <w:rPr>
                <w:rStyle w:val="CodeObjectChar"/>
              </w:rPr>
              <w:t>ID</w:t>
            </w:r>
            <w:r>
              <w:t xml:space="preserve"> matching the value of </w:t>
            </w:r>
            <w:r w:rsidRPr="00B50FDC">
              <w:rPr>
                <w:rStyle w:val="CodeObjectChar"/>
              </w:rPr>
              <w:t>@</w:t>
            </w:r>
            <w:proofErr w:type="spellStart"/>
            <w:r w:rsidRPr="00B50FDC">
              <w:rPr>
                <w:rStyle w:val="CodeObjectChar"/>
              </w:rPr>
              <w:t>JobID</w:t>
            </w:r>
            <w:proofErr w:type="spellEnd"/>
            <w:r>
              <w:t xml:space="preserve"> if a value exists, and 0 otherwise.</w:t>
            </w:r>
          </w:p>
        </w:tc>
      </w:tr>
      <w:tr w:rsidR="0049177F" w14:paraId="51FF3DB3" w14:textId="77777777" w:rsidTr="00D058F6">
        <w:tc>
          <w:tcPr>
            <w:tcW w:w="2337" w:type="dxa"/>
          </w:tcPr>
          <w:p w14:paraId="3A6A21A5" w14:textId="7F0AA4B5" w:rsidR="0049177F" w:rsidRDefault="0049177F" w:rsidP="0049177F">
            <w:pPr>
              <w:pStyle w:val="CodeObject"/>
            </w:pPr>
            <w:r>
              <w:t>@</w:t>
            </w:r>
            <w:proofErr w:type="spellStart"/>
            <w:r>
              <w:t>AVCVersion</w:t>
            </w:r>
            <w:proofErr w:type="spellEnd"/>
          </w:p>
        </w:tc>
        <w:tc>
          <w:tcPr>
            <w:tcW w:w="2337" w:type="dxa"/>
          </w:tcPr>
          <w:p w14:paraId="14999607" w14:textId="2518533A" w:rsidR="0049177F" w:rsidRDefault="0049177F" w:rsidP="0049177F">
            <w:pPr>
              <w:pStyle w:val="CodeObject"/>
            </w:pPr>
            <w:proofErr w:type="gramStart"/>
            <w:r>
              <w:t>VARCHAR(</w:t>
            </w:r>
            <w:proofErr w:type="gramEnd"/>
            <w:r>
              <w:t>255)</w:t>
            </w:r>
          </w:p>
        </w:tc>
        <w:tc>
          <w:tcPr>
            <w:tcW w:w="4861" w:type="dxa"/>
          </w:tcPr>
          <w:p w14:paraId="36DB520B" w14:textId="77777777" w:rsidR="0049177F" w:rsidRDefault="00E16DE9" w:rsidP="0049177F">
            <w:r>
              <w:t xml:space="preserve">The name of the version of the Avoided Cost Calculator which is to be used as the source of emissions rate data. Though input as a string, the versions are typically named according to the year </w:t>
            </w:r>
            <w:r>
              <w:lastRenderedPageBreak/>
              <w:t xml:space="preserve">in which the Avoided Cost Calculator was published, e.g., </w:t>
            </w:r>
            <w:r w:rsidRPr="00E16DE9">
              <w:rPr>
                <w:rStyle w:val="CodeObjectChar"/>
              </w:rPr>
              <w:t>’2018’</w:t>
            </w:r>
            <w:r>
              <w:t>.</w:t>
            </w:r>
          </w:p>
          <w:p w14:paraId="3E2B94E7" w14:textId="77777777" w:rsidR="003C7370" w:rsidRDefault="003C7370" w:rsidP="0049177F"/>
          <w:p w14:paraId="0A09D695" w14:textId="77777777" w:rsidR="003C7370" w:rsidRDefault="003C7370" w:rsidP="0049177F">
            <w:r>
              <w:t>Default Value: Null</w:t>
            </w:r>
          </w:p>
          <w:p w14:paraId="784B40BA" w14:textId="77777777" w:rsidR="00B50FDC" w:rsidRDefault="00B50FDC" w:rsidP="0049177F"/>
          <w:p w14:paraId="631D5146" w14:textId="1FE4E4E8" w:rsidR="00B50FDC" w:rsidRDefault="00B50FDC" w:rsidP="0049177F">
            <w:r>
              <w:t xml:space="preserve">Note: If the value of </w:t>
            </w:r>
            <w:r w:rsidRPr="00B50FDC">
              <w:rPr>
                <w:rStyle w:val="CodeObjectChar"/>
              </w:rPr>
              <w:t>@</w:t>
            </w:r>
            <w:proofErr w:type="spellStart"/>
            <w:r w:rsidRPr="00B50FDC">
              <w:rPr>
                <w:rStyle w:val="CodeObjectChar"/>
              </w:rPr>
              <w:t>AVCVersion</w:t>
            </w:r>
            <w:proofErr w:type="spellEnd"/>
            <w:r>
              <w:t xml:space="preserve"> does not match an entry in the </w:t>
            </w:r>
            <w:proofErr w:type="spellStart"/>
            <w:r w:rsidRPr="00B50FDC">
              <w:rPr>
                <w:rStyle w:val="CodeObjectChar"/>
              </w:rPr>
              <w:t>Setting</w:t>
            </w:r>
            <w:r w:rsidR="000C4674">
              <w:rPr>
                <w:rStyle w:val="CodeObjectChar"/>
              </w:rPr>
              <w:t>svw</w:t>
            </w:r>
            <w:proofErr w:type="spellEnd"/>
            <w:r w:rsidR="000C4674">
              <w:t xml:space="preserve"> stored query,</w:t>
            </w:r>
            <w:r>
              <w:t xml:space="preserve"> </w:t>
            </w:r>
            <w:proofErr w:type="spellStart"/>
            <w:r w:rsidRPr="00AC1FAB">
              <w:rPr>
                <w:rStyle w:val="CodeObjectChar"/>
              </w:rPr>
              <w:t>CalcEmissions</w:t>
            </w:r>
            <w:proofErr w:type="spellEnd"/>
            <w:r>
              <w:t xml:space="preserve"> </w:t>
            </w:r>
            <w:r w:rsidR="007B05A4">
              <w:t xml:space="preserve">may remove but </w:t>
            </w:r>
            <w:r>
              <w:t xml:space="preserve">will not add new rows to the </w:t>
            </w:r>
            <w:proofErr w:type="spellStart"/>
            <w:r w:rsidR="00AC1FAB" w:rsidRPr="00AC1FAB">
              <w:rPr>
                <w:rStyle w:val="CodeObjectChar"/>
              </w:rPr>
              <w:t>OutputEmissions</w:t>
            </w:r>
            <w:proofErr w:type="spellEnd"/>
            <w:r w:rsidR="00AC1FAB">
              <w:t xml:space="preserve"> table.</w:t>
            </w:r>
          </w:p>
        </w:tc>
      </w:tr>
    </w:tbl>
    <w:p w14:paraId="20C54C2A" w14:textId="62CA7096" w:rsidR="0049177F" w:rsidRDefault="0049177F" w:rsidP="0049177F"/>
    <w:p w14:paraId="0B4E06BC" w14:textId="5382B783" w:rsidR="007B05A4" w:rsidRDefault="007B05A4" w:rsidP="00BA3D10">
      <w:pPr>
        <w:pStyle w:val="Heading2"/>
      </w:pPr>
      <w:r>
        <w:t>Data Sources:</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25"/>
        <w:gridCol w:w="1701"/>
        <w:gridCol w:w="4924"/>
      </w:tblGrid>
      <w:tr w:rsidR="00452F68" w:rsidRPr="00D058F6" w14:paraId="303DF4D0" w14:textId="77777777" w:rsidTr="00D058F6">
        <w:tc>
          <w:tcPr>
            <w:tcW w:w="2725" w:type="dxa"/>
          </w:tcPr>
          <w:p w14:paraId="7502E541" w14:textId="36E4D322" w:rsidR="00452F68" w:rsidRPr="00D058F6" w:rsidRDefault="00D058F6" w:rsidP="0049177F">
            <w:pPr>
              <w:rPr>
                <w:b/>
                <w:bCs/>
              </w:rPr>
            </w:pPr>
            <w:r>
              <w:rPr>
                <w:b/>
                <w:bCs/>
              </w:rPr>
              <w:t>Database Object</w:t>
            </w:r>
          </w:p>
        </w:tc>
        <w:tc>
          <w:tcPr>
            <w:tcW w:w="1701" w:type="dxa"/>
          </w:tcPr>
          <w:p w14:paraId="39AFEE7E" w14:textId="5BD066B9" w:rsidR="00452F68" w:rsidRPr="00D058F6" w:rsidRDefault="00452F68" w:rsidP="0049177F">
            <w:pPr>
              <w:rPr>
                <w:b/>
                <w:bCs/>
              </w:rPr>
            </w:pPr>
            <w:r w:rsidRPr="00D058F6">
              <w:rPr>
                <w:b/>
                <w:bCs/>
              </w:rPr>
              <w:t>Operations</w:t>
            </w:r>
          </w:p>
        </w:tc>
        <w:tc>
          <w:tcPr>
            <w:tcW w:w="4924" w:type="dxa"/>
          </w:tcPr>
          <w:p w14:paraId="0B21F197" w14:textId="738468A8" w:rsidR="00452F68" w:rsidRPr="00D058F6" w:rsidRDefault="00452F68" w:rsidP="0049177F">
            <w:pPr>
              <w:rPr>
                <w:b/>
                <w:bCs/>
              </w:rPr>
            </w:pPr>
            <w:r w:rsidRPr="00D058F6">
              <w:rPr>
                <w:b/>
                <w:bCs/>
              </w:rPr>
              <w:t>Description</w:t>
            </w:r>
          </w:p>
        </w:tc>
      </w:tr>
      <w:tr w:rsidR="00452F68" w14:paraId="2DFD7EFB" w14:textId="77777777" w:rsidTr="00D058F6">
        <w:tc>
          <w:tcPr>
            <w:tcW w:w="2725" w:type="dxa"/>
          </w:tcPr>
          <w:p w14:paraId="53E5A9ED" w14:textId="5356706B" w:rsidR="00452F68" w:rsidRDefault="00452F68" w:rsidP="000C4674">
            <w:pPr>
              <w:pStyle w:val="CodeObject"/>
            </w:pPr>
            <w:proofErr w:type="spellStart"/>
            <w:r>
              <w:t>CETJobs</w:t>
            </w:r>
            <w:proofErr w:type="spellEnd"/>
          </w:p>
        </w:tc>
        <w:tc>
          <w:tcPr>
            <w:tcW w:w="1701" w:type="dxa"/>
          </w:tcPr>
          <w:p w14:paraId="680F0AB1" w14:textId="3252B585" w:rsidR="00452F68" w:rsidRDefault="00452F68" w:rsidP="0049177F">
            <w:r>
              <w:t>Read</w:t>
            </w:r>
          </w:p>
        </w:tc>
        <w:tc>
          <w:tcPr>
            <w:tcW w:w="4924" w:type="dxa"/>
          </w:tcPr>
          <w:p w14:paraId="2CB4C530" w14:textId="2D5D1C2F" w:rsidR="00452F68" w:rsidRDefault="00452F68" w:rsidP="0049177F">
            <w:r>
              <w:t xml:space="preserve">A table containing a log of previous executions of </w:t>
            </w:r>
            <w:proofErr w:type="spellStart"/>
            <w:r w:rsidRPr="000C4674">
              <w:rPr>
                <w:rStyle w:val="CodeObjectChar"/>
              </w:rPr>
              <w:t>RunCET</w:t>
            </w:r>
            <w:proofErr w:type="spellEnd"/>
            <w:r>
              <w:t xml:space="preserve">. </w:t>
            </w:r>
            <w:proofErr w:type="spellStart"/>
            <w:r w:rsidRPr="000C4674">
              <w:rPr>
                <w:rStyle w:val="CodeObjectChar"/>
              </w:rPr>
              <w:t>CETJobs</w:t>
            </w:r>
            <w:proofErr w:type="spellEnd"/>
            <w:r>
              <w:t xml:space="preserve"> stores the time of execution, and certain inputs and outputs. </w:t>
            </w:r>
            <w:proofErr w:type="spellStart"/>
            <w:r w:rsidRPr="000C4674">
              <w:rPr>
                <w:rStyle w:val="CodeObjectChar"/>
              </w:rPr>
              <w:t>CalcEmissions</w:t>
            </w:r>
            <w:proofErr w:type="spellEnd"/>
            <w:r>
              <w:t xml:space="preserve"> reads only from the ID and </w:t>
            </w:r>
            <w:proofErr w:type="spellStart"/>
            <w:r w:rsidRPr="000C4674">
              <w:rPr>
                <w:rStyle w:val="CodeObjectChar"/>
              </w:rPr>
              <w:t>MarketEffectBens</w:t>
            </w:r>
            <w:proofErr w:type="spellEnd"/>
            <w:r>
              <w:t xml:space="preserve"> columns of </w:t>
            </w:r>
            <w:proofErr w:type="spellStart"/>
            <w:r w:rsidRPr="000C4674">
              <w:rPr>
                <w:rStyle w:val="CodeObjectChar"/>
              </w:rPr>
              <w:t>CETJobs</w:t>
            </w:r>
            <w:proofErr w:type="spellEnd"/>
            <w:r>
              <w:t>.</w:t>
            </w:r>
          </w:p>
        </w:tc>
      </w:tr>
      <w:tr w:rsidR="00452F68" w14:paraId="16FF2381" w14:textId="77777777" w:rsidTr="00D058F6">
        <w:tc>
          <w:tcPr>
            <w:tcW w:w="2725" w:type="dxa"/>
          </w:tcPr>
          <w:p w14:paraId="78A30B43" w14:textId="4D50C9EC" w:rsidR="00452F68" w:rsidRDefault="00452F68" w:rsidP="000C4674">
            <w:pPr>
              <w:pStyle w:val="CodeObject"/>
            </w:pPr>
            <w:r>
              <w:t>E3EmissionsSourcevw</w:t>
            </w:r>
          </w:p>
        </w:tc>
        <w:tc>
          <w:tcPr>
            <w:tcW w:w="1701" w:type="dxa"/>
          </w:tcPr>
          <w:p w14:paraId="21F402F3" w14:textId="4BC1FE91" w:rsidR="00452F68" w:rsidRDefault="00452F68" w:rsidP="0049177F">
            <w:r>
              <w:t>Read</w:t>
            </w:r>
          </w:p>
        </w:tc>
        <w:tc>
          <w:tcPr>
            <w:tcW w:w="4924" w:type="dxa"/>
          </w:tcPr>
          <w:p w14:paraId="2921F6A0" w14:textId="6843C91C" w:rsidR="00452F68" w:rsidRDefault="00452F68" w:rsidP="0049177F">
            <w:r>
              <w:t>Source data for electric energy emissions rates</w:t>
            </w:r>
            <w:r w:rsidR="00935EAA">
              <w:t>.</w:t>
            </w:r>
          </w:p>
        </w:tc>
      </w:tr>
      <w:tr w:rsidR="00452F68" w14:paraId="6F074C18" w14:textId="77777777" w:rsidTr="00D058F6">
        <w:tc>
          <w:tcPr>
            <w:tcW w:w="2725" w:type="dxa"/>
          </w:tcPr>
          <w:p w14:paraId="4E478E95" w14:textId="4880A959" w:rsidR="00452F68" w:rsidRDefault="00452F68" w:rsidP="000C4674">
            <w:pPr>
              <w:pStyle w:val="CodeObject"/>
            </w:pPr>
            <w:r>
              <w:t>E3CombustionTypevw</w:t>
            </w:r>
          </w:p>
        </w:tc>
        <w:tc>
          <w:tcPr>
            <w:tcW w:w="1701" w:type="dxa"/>
          </w:tcPr>
          <w:p w14:paraId="6CE18247" w14:textId="4C510204" w:rsidR="00452F68" w:rsidRDefault="00452F68" w:rsidP="0049177F">
            <w:r>
              <w:t>Read</w:t>
            </w:r>
          </w:p>
        </w:tc>
        <w:tc>
          <w:tcPr>
            <w:tcW w:w="4924" w:type="dxa"/>
          </w:tcPr>
          <w:p w14:paraId="2A35DA60" w14:textId="3BD29610" w:rsidR="00452F68" w:rsidRDefault="00452F68" w:rsidP="0049177F">
            <w:r>
              <w:t>Source data for natural gas energy emissions rates.</w:t>
            </w:r>
          </w:p>
        </w:tc>
      </w:tr>
      <w:tr w:rsidR="00452F68" w14:paraId="72876F16" w14:textId="77777777" w:rsidTr="00D058F6">
        <w:tc>
          <w:tcPr>
            <w:tcW w:w="2725" w:type="dxa"/>
          </w:tcPr>
          <w:p w14:paraId="15E640A4" w14:textId="09612EAB" w:rsidR="00452F68" w:rsidRDefault="00452F68" w:rsidP="000C4674">
            <w:pPr>
              <w:pStyle w:val="CodeObject"/>
            </w:pPr>
            <w:proofErr w:type="spellStart"/>
            <w:r>
              <w:t>S</w:t>
            </w:r>
            <w:r w:rsidR="00935EAA">
              <w:t>ettingsvw</w:t>
            </w:r>
            <w:proofErr w:type="spellEnd"/>
          </w:p>
        </w:tc>
        <w:tc>
          <w:tcPr>
            <w:tcW w:w="1701" w:type="dxa"/>
          </w:tcPr>
          <w:p w14:paraId="68BE92A1" w14:textId="65D9A2AC" w:rsidR="00452F68" w:rsidRDefault="00452F68" w:rsidP="0049177F">
            <w:r>
              <w:t>Read</w:t>
            </w:r>
          </w:p>
        </w:tc>
        <w:tc>
          <w:tcPr>
            <w:tcW w:w="4924" w:type="dxa"/>
          </w:tcPr>
          <w:p w14:paraId="3D4A9D75" w14:textId="4A85B509" w:rsidR="00452F68" w:rsidRDefault="00452F68" w:rsidP="0049177F">
            <w:r>
              <w:t xml:space="preserve">Source data </w:t>
            </w:r>
            <w:r w:rsidR="00B45E9B">
              <w:t xml:space="preserve">for Avoided Cost Calculator metadata used in matching emissions rates in </w:t>
            </w:r>
            <w:r w:rsidR="00B45E9B" w:rsidRPr="00B45E9B">
              <w:rPr>
                <w:rStyle w:val="CodeObjectChar"/>
              </w:rPr>
              <w:t>E3EmissionsSourcevw</w:t>
            </w:r>
            <w:r w:rsidR="00B45E9B">
              <w:t xml:space="preserve"> to measures in </w:t>
            </w:r>
            <w:proofErr w:type="spellStart"/>
            <w:r w:rsidR="00B45E9B" w:rsidRPr="00B45E9B">
              <w:rPr>
                <w:rStyle w:val="CodeObjectChar"/>
              </w:rPr>
              <w:t>InputEmissions</w:t>
            </w:r>
            <w:proofErr w:type="spellEnd"/>
            <w:r w:rsidR="00B45E9B">
              <w:t>.</w:t>
            </w:r>
          </w:p>
        </w:tc>
      </w:tr>
      <w:tr w:rsidR="00452F68" w14:paraId="30ED9F7F" w14:textId="77777777" w:rsidTr="00D058F6">
        <w:tc>
          <w:tcPr>
            <w:tcW w:w="2725" w:type="dxa"/>
          </w:tcPr>
          <w:p w14:paraId="05FF2FE8" w14:textId="20EB5401" w:rsidR="00452F68" w:rsidRDefault="00452F68" w:rsidP="000C4674">
            <w:pPr>
              <w:pStyle w:val="CodeObject"/>
            </w:pPr>
            <w:proofErr w:type="spellStart"/>
            <w:r>
              <w:t>InputMeasurevw</w:t>
            </w:r>
            <w:proofErr w:type="spellEnd"/>
          </w:p>
        </w:tc>
        <w:tc>
          <w:tcPr>
            <w:tcW w:w="1701" w:type="dxa"/>
          </w:tcPr>
          <w:p w14:paraId="52D53343" w14:textId="6D39A4A3" w:rsidR="00452F68" w:rsidRDefault="00452F68" w:rsidP="0049177F">
            <w:r>
              <w:t>Read</w:t>
            </w:r>
          </w:p>
        </w:tc>
        <w:tc>
          <w:tcPr>
            <w:tcW w:w="4924" w:type="dxa"/>
          </w:tcPr>
          <w:p w14:paraId="29DD7C13" w14:textId="720C097F" w:rsidR="00452F68" w:rsidRDefault="00452F68" w:rsidP="0049177F">
            <w:r>
              <w:t xml:space="preserve">A saved query or view which passes the contents of the </w:t>
            </w:r>
            <w:proofErr w:type="spellStart"/>
            <w:r w:rsidRPr="00C536BB">
              <w:rPr>
                <w:rStyle w:val="CodeObjectChar"/>
              </w:rPr>
              <w:t>InputMeasure</w:t>
            </w:r>
            <w:proofErr w:type="spellEnd"/>
            <w:r>
              <w:t xml:space="preserve"> table with additional filters, trivial calculations, and renamed fields. User inputs are stored to </w:t>
            </w:r>
            <w:proofErr w:type="spellStart"/>
            <w:r w:rsidRPr="00C536BB">
              <w:rPr>
                <w:rStyle w:val="CodeObjectChar"/>
              </w:rPr>
              <w:t>InputMeasure</w:t>
            </w:r>
            <w:proofErr w:type="spellEnd"/>
            <w:r>
              <w:t xml:space="preserve"> for use in the CET stack generally and by </w:t>
            </w:r>
            <w:proofErr w:type="spellStart"/>
            <w:r w:rsidRPr="00C536BB">
              <w:rPr>
                <w:rStyle w:val="CodeObjectChar"/>
              </w:rPr>
              <w:t>CalcEmissions</w:t>
            </w:r>
            <w:proofErr w:type="spellEnd"/>
            <w:r>
              <w:t xml:space="preserve"> specifically.</w:t>
            </w:r>
          </w:p>
        </w:tc>
      </w:tr>
    </w:tbl>
    <w:p w14:paraId="58C6F946" w14:textId="77777777" w:rsidR="007B05A4" w:rsidRDefault="007B05A4" w:rsidP="0049177F"/>
    <w:p w14:paraId="45DB2BC4" w14:textId="3616B909" w:rsidR="0049177F" w:rsidRDefault="0049177F" w:rsidP="00BA3D10">
      <w:pPr>
        <w:pStyle w:val="Heading2"/>
      </w:pPr>
      <w:r>
        <w:t>Outputs:</w:t>
      </w:r>
    </w:p>
    <w:p w14:paraId="680C2291" w14:textId="75BFA7D0" w:rsidR="0049177F" w:rsidRDefault="0049177F" w:rsidP="0049177F">
      <w:pPr>
        <w:ind w:left="720"/>
      </w:pPr>
      <w:r>
        <w:t>None</w:t>
      </w:r>
    </w:p>
    <w:p w14:paraId="5495C8AD" w14:textId="0CAC27D2" w:rsidR="0049177F" w:rsidRDefault="00E16DE9" w:rsidP="00BA3D10">
      <w:pPr>
        <w:pStyle w:val="Heading2"/>
      </w:pPr>
      <w:r>
        <w:t>Side Effects:</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725"/>
        <w:gridCol w:w="1701"/>
        <w:gridCol w:w="4924"/>
      </w:tblGrid>
      <w:tr w:rsidR="00B45E9B" w:rsidRPr="00D058F6" w14:paraId="148FEEE1" w14:textId="77777777" w:rsidTr="00D058F6">
        <w:tc>
          <w:tcPr>
            <w:tcW w:w="2725" w:type="dxa"/>
          </w:tcPr>
          <w:p w14:paraId="777891F8" w14:textId="627CE383" w:rsidR="00B45E9B" w:rsidRPr="00D058F6" w:rsidRDefault="00D058F6" w:rsidP="00C620AC">
            <w:pPr>
              <w:rPr>
                <w:b/>
                <w:bCs/>
              </w:rPr>
            </w:pPr>
            <w:r w:rsidRPr="00D058F6">
              <w:rPr>
                <w:b/>
                <w:bCs/>
              </w:rPr>
              <w:t>Affected Object</w:t>
            </w:r>
          </w:p>
        </w:tc>
        <w:tc>
          <w:tcPr>
            <w:tcW w:w="1701" w:type="dxa"/>
          </w:tcPr>
          <w:p w14:paraId="6784DBDD" w14:textId="77777777" w:rsidR="00B45E9B" w:rsidRPr="00D058F6" w:rsidRDefault="00B45E9B" w:rsidP="00C620AC">
            <w:pPr>
              <w:rPr>
                <w:b/>
                <w:bCs/>
              </w:rPr>
            </w:pPr>
            <w:r w:rsidRPr="00D058F6">
              <w:rPr>
                <w:b/>
                <w:bCs/>
              </w:rPr>
              <w:t>Operations</w:t>
            </w:r>
          </w:p>
        </w:tc>
        <w:tc>
          <w:tcPr>
            <w:tcW w:w="4924" w:type="dxa"/>
          </w:tcPr>
          <w:p w14:paraId="6EF3A864" w14:textId="77777777" w:rsidR="00B45E9B" w:rsidRPr="00D058F6" w:rsidRDefault="00B45E9B" w:rsidP="00C620AC">
            <w:pPr>
              <w:rPr>
                <w:b/>
                <w:bCs/>
              </w:rPr>
            </w:pPr>
            <w:r w:rsidRPr="00D058F6">
              <w:rPr>
                <w:b/>
                <w:bCs/>
              </w:rPr>
              <w:t>Description</w:t>
            </w:r>
          </w:p>
        </w:tc>
      </w:tr>
      <w:tr w:rsidR="00B45E9B" w14:paraId="17272100" w14:textId="77777777" w:rsidTr="00D058F6">
        <w:tc>
          <w:tcPr>
            <w:tcW w:w="2725" w:type="dxa"/>
          </w:tcPr>
          <w:p w14:paraId="74D10178" w14:textId="77777777" w:rsidR="00B45E9B" w:rsidRDefault="00B45E9B" w:rsidP="00C620AC">
            <w:pPr>
              <w:pStyle w:val="CodeObject"/>
            </w:pPr>
            <w:proofErr w:type="spellStart"/>
            <w:r>
              <w:t>OutputEmissions</w:t>
            </w:r>
            <w:proofErr w:type="spellEnd"/>
          </w:p>
        </w:tc>
        <w:tc>
          <w:tcPr>
            <w:tcW w:w="1701" w:type="dxa"/>
          </w:tcPr>
          <w:p w14:paraId="113240F9" w14:textId="77777777" w:rsidR="00B45E9B" w:rsidRDefault="00B45E9B" w:rsidP="00C620AC">
            <w:r>
              <w:t>Delete Rows</w:t>
            </w:r>
          </w:p>
          <w:p w14:paraId="4FF344FB" w14:textId="77777777" w:rsidR="00B45E9B" w:rsidRDefault="00B45E9B" w:rsidP="00C620AC">
            <w:r>
              <w:t>Append Rows</w:t>
            </w:r>
          </w:p>
        </w:tc>
        <w:tc>
          <w:tcPr>
            <w:tcW w:w="4924" w:type="dxa"/>
          </w:tcPr>
          <w:p w14:paraId="42AA37B0" w14:textId="77777777" w:rsidR="00B45E9B" w:rsidRDefault="00B45E9B" w:rsidP="00C620AC">
            <w:r>
              <w:t xml:space="preserve">A pre-defined table containing the results from previous executions of </w:t>
            </w:r>
            <w:proofErr w:type="spellStart"/>
            <w:r w:rsidRPr="000C4674">
              <w:rPr>
                <w:rStyle w:val="CodeObjectChar"/>
              </w:rPr>
              <w:t>CalcEmissions</w:t>
            </w:r>
            <w:proofErr w:type="spellEnd"/>
            <w:r>
              <w:t xml:space="preserve">. The table includes the value of </w:t>
            </w:r>
            <w:r w:rsidRPr="000C4674">
              <w:rPr>
                <w:rStyle w:val="CodeObjectChar"/>
              </w:rPr>
              <w:t>@</w:t>
            </w:r>
            <w:proofErr w:type="spellStart"/>
            <w:r w:rsidRPr="000C4674">
              <w:rPr>
                <w:rStyle w:val="CodeObjectChar"/>
              </w:rPr>
              <w:t>JobID</w:t>
            </w:r>
            <w:proofErr w:type="spellEnd"/>
            <w:r>
              <w:t xml:space="preserve"> and identifying information from of </w:t>
            </w:r>
            <w:proofErr w:type="spellStart"/>
            <w:r w:rsidRPr="000C4674">
              <w:rPr>
                <w:rStyle w:val="CodeObjectChar"/>
              </w:rPr>
              <w:t>InputMeasure</w:t>
            </w:r>
            <w:proofErr w:type="spellEnd"/>
            <w:r>
              <w:t xml:space="preserve">, along with the results of the calculations in </w:t>
            </w:r>
            <w:proofErr w:type="spellStart"/>
            <w:r w:rsidRPr="000C4674">
              <w:rPr>
                <w:rStyle w:val="CodeObjectChar"/>
              </w:rPr>
              <w:t>CalcEmissions</w:t>
            </w:r>
            <w:proofErr w:type="spellEnd"/>
            <w:r>
              <w:t>.</w:t>
            </w:r>
          </w:p>
        </w:tc>
      </w:tr>
      <w:tr w:rsidR="00B45E9B" w14:paraId="1C145CC0" w14:textId="77777777" w:rsidTr="00D058F6">
        <w:tc>
          <w:tcPr>
            <w:tcW w:w="2725" w:type="dxa"/>
          </w:tcPr>
          <w:p w14:paraId="5329AA1B" w14:textId="77777777" w:rsidR="00B45E9B" w:rsidRDefault="00B45E9B" w:rsidP="00C620AC">
            <w:pPr>
              <w:pStyle w:val="CodeObject"/>
            </w:pPr>
            <w:proofErr w:type="spellStart"/>
            <w:r>
              <w:t>SavedEmissions</w:t>
            </w:r>
            <w:proofErr w:type="spellEnd"/>
          </w:p>
        </w:tc>
        <w:tc>
          <w:tcPr>
            <w:tcW w:w="1701" w:type="dxa"/>
          </w:tcPr>
          <w:p w14:paraId="006FB4FD" w14:textId="77777777" w:rsidR="00B45E9B" w:rsidRDefault="00B45E9B" w:rsidP="00C620AC">
            <w:r>
              <w:t>Delete Rows</w:t>
            </w:r>
          </w:p>
        </w:tc>
        <w:tc>
          <w:tcPr>
            <w:tcW w:w="4924" w:type="dxa"/>
          </w:tcPr>
          <w:p w14:paraId="587F05F5" w14:textId="77777777" w:rsidR="00B45E9B" w:rsidRDefault="00B45E9B" w:rsidP="00C620AC">
            <w:r>
              <w:t xml:space="preserve">A pre-defined table containing data copied from </w:t>
            </w:r>
            <w:proofErr w:type="spellStart"/>
            <w:r w:rsidRPr="00452F68">
              <w:rPr>
                <w:rStyle w:val="CodeObjectChar"/>
              </w:rPr>
              <w:t>OutputEmissions</w:t>
            </w:r>
            <w:proofErr w:type="spellEnd"/>
            <w:r>
              <w:t xml:space="preserve">. </w:t>
            </w:r>
            <w:proofErr w:type="spellStart"/>
            <w:r w:rsidRPr="00452F68">
              <w:rPr>
                <w:rStyle w:val="CodeObjectChar"/>
              </w:rPr>
              <w:t>CalcEmissions</w:t>
            </w:r>
            <w:proofErr w:type="spellEnd"/>
            <w:r>
              <w:t xml:space="preserve"> deletes rows with values in the </w:t>
            </w:r>
            <w:proofErr w:type="spellStart"/>
            <w:r w:rsidRPr="00452F68">
              <w:rPr>
                <w:rStyle w:val="CodeObjectChar"/>
              </w:rPr>
              <w:t>JobID</w:t>
            </w:r>
            <w:proofErr w:type="spellEnd"/>
            <w:r>
              <w:t xml:space="preserve"> column matching the value of the parameter </w:t>
            </w:r>
            <w:r w:rsidRPr="00452F68">
              <w:rPr>
                <w:rStyle w:val="CodeObjectChar"/>
              </w:rPr>
              <w:t>@</w:t>
            </w:r>
            <w:proofErr w:type="spellStart"/>
            <w:r w:rsidRPr="00452F68">
              <w:rPr>
                <w:rStyle w:val="CodeObjectChar"/>
              </w:rPr>
              <w:t>JobID</w:t>
            </w:r>
            <w:proofErr w:type="spellEnd"/>
            <w:r>
              <w:t>, but does not make any additions.</w:t>
            </w:r>
          </w:p>
        </w:tc>
      </w:tr>
    </w:tbl>
    <w:p w14:paraId="43805AE3" w14:textId="1C25BEE3" w:rsidR="00E16DE9" w:rsidRDefault="00E16DE9" w:rsidP="00B45E9B"/>
    <w:p w14:paraId="6F18C548" w14:textId="1788ABB4" w:rsidR="00B45E9B" w:rsidRDefault="00B45E9B" w:rsidP="00BA3D10">
      <w:pPr>
        <w:pStyle w:val="Heading1"/>
      </w:pPr>
      <w:r>
        <w:t>Calculation Methodology</w:t>
      </w:r>
    </w:p>
    <w:p w14:paraId="712FCE90" w14:textId="0885CC06" w:rsidR="00B45E9B" w:rsidRDefault="00B45E9B" w:rsidP="00B45E9B">
      <w:proofErr w:type="spellStart"/>
      <w:r w:rsidRPr="00B45E9B">
        <w:rPr>
          <w:rStyle w:val="CodeObjectChar"/>
        </w:rPr>
        <w:t>CalcEmissions</w:t>
      </w:r>
      <w:proofErr w:type="spellEnd"/>
      <w:r>
        <w:t xml:space="preserve"> calculates the following values, which are appended to the </w:t>
      </w:r>
      <w:proofErr w:type="spellStart"/>
      <w:r w:rsidRPr="00B45E9B">
        <w:rPr>
          <w:rStyle w:val="CodeObjectChar"/>
        </w:rPr>
        <w:t>OutputEmissions</w:t>
      </w:r>
      <w:proofErr w:type="spellEnd"/>
      <w:r>
        <w:t xml:space="preserve"> table</w:t>
      </w:r>
      <w:r w:rsidR="001E751D">
        <w:t>, based on equations presented later in this document</w:t>
      </w:r>
      <w:r>
        <w: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989"/>
        <w:gridCol w:w="5062"/>
        <w:gridCol w:w="1309"/>
      </w:tblGrid>
      <w:tr w:rsidR="001E751D" w:rsidRPr="00D3689B" w14:paraId="44C85849" w14:textId="1D46D2C4" w:rsidTr="00D3689B">
        <w:trPr>
          <w:tblHeader/>
        </w:trPr>
        <w:tc>
          <w:tcPr>
            <w:tcW w:w="2443" w:type="dxa"/>
            <w:vAlign w:val="bottom"/>
          </w:tcPr>
          <w:p w14:paraId="3E5AA235" w14:textId="214B2EF9" w:rsidR="001E751D" w:rsidRPr="00D3689B" w:rsidRDefault="001E751D" w:rsidP="00C620AC">
            <w:pPr>
              <w:rPr>
                <w:b/>
                <w:bCs/>
              </w:rPr>
            </w:pPr>
            <w:r w:rsidRPr="00D3689B">
              <w:rPr>
                <w:b/>
                <w:bCs/>
              </w:rPr>
              <w:t>Column Name</w:t>
            </w:r>
          </w:p>
        </w:tc>
        <w:tc>
          <w:tcPr>
            <w:tcW w:w="5562" w:type="dxa"/>
            <w:vAlign w:val="bottom"/>
          </w:tcPr>
          <w:p w14:paraId="360DA6E4" w14:textId="0C3C5231" w:rsidR="001E751D" w:rsidRPr="00D3689B" w:rsidRDefault="001E751D" w:rsidP="00C620AC">
            <w:pPr>
              <w:rPr>
                <w:b/>
                <w:bCs/>
              </w:rPr>
            </w:pPr>
            <w:r w:rsidRPr="00D3689B">
              <w:rPr>
                <w:b/>
                <w:bCs/>
              </w:rPr>
              <w:t>Description</w:t>
            </w:r>
          </w:p>
        </w:tc>
        <w:tc>
          <w:tcPr>
            <w:tcW w:w="1345" w:type="dxa"/>
            <w:vAlign w:val="bottom"/>
          </w:tcPr>
          <w:p w14:paraId="4110793A" w14:textId="3B6F92BB" w:rsidR="001E751D" w:rsidRPr="00D3689B" w:rsidRDefault="001E751D" w:rsidP="00C620AC">
            <w:pPr>
              <w:rPr>
                <w:b/>
                <w:bCs/>
              </w:rPr>
            </w:pPr>
            <w:r w:rsidRPr="00D3689B">
              <w:rPr>
                <w:b/>
                <w:bCs/>
              </w:rPr>
              <w:t>Equation Number</w:t>
            </w:r>
          </w:p>
        </w:tc>
      </w:tr>
      <w:tr w:rsidR="001E751D" w14:paraId="4CF8F026" w14:textId="30077F9C" w:rsidTr="00D3689B">
        <w:tc>
          <w:tcPr>
            <w:tcW w:w="2443" w:type="dxa"/>
            <w:vAlign w:val="center"/>
          </w:tcPr>
          <w:p w14:paraId="54EFD218" w14:textId="33ADCB8D" w:rsidR="001E751D" w:rsidRDefault="001E751D" w:rsidP="000C779C">
            <w:pPr>
              <w:pStyle w:val="CodeObject"/>
            </w:pPr>
            <w:r>
              <w:t>NetElecCO2</w:t>
            </w:r>
          </w:p>
        </w:tc>
        <w:tc>
          <w:tcPr>
            <w:tcW w:w="5562" w:type="dxa"/>
          </w:tcPr>
          <w:p w14:paraId="0F5BB9F0" w14:textId="5849FA61" w:rsidR="001E751D" w:rsidRDefault="001E751D" w:rsidP="00B45E9B">
            <w:r>
              <w:t>CO2 Emissions Reductions based on the first year of each input measure’s net electric savings.</w:t>
            </w:r>
          </w:p>
        </w:tc>
        <w:tc>
          <w:tcPr>
            <w:tcW w:w="1345" w:type="dxa"/>
            <w:vAlign w:val="center"/>
          </w:tcPr>
          <w:p w14:paraId="2AB75FD6" w14:textId="0E765E82" w:rsidR="001E751D" w:rsidRDefault="001E751D" w:rsidP="00D3689B">
            <w:pPr>
              <w:jc w:val="center"/>
            </w:pPr>
            <w:r>
              <w:t>1</w:t>
            </w:r>
          </w:p>
        </w:tc>
      </w:tr>
      <w:tr w:rsidR="001E751D" w14:paraId="43B29666" w14:textId="57E45840" w:rsidTr="00D3689B">
        <w:tc>
          <w:tcPr>
            <w:tcW w:w="2443" w:type="dxa"/>
            <w:vAlign w:val="center"/>
          </w:tcPr>
          <w:p w14:paraId="422AAE06" w14:textId="59A26514" w:rsidR="001E751D" w:rsidRDefault="001E751D" w:rsidP="000C779C">
            <w:pPr>
              <w:pStyle w:val="CodeObject"/>
            </w:pPr>
            <w:r>
              <w:t>NetGasCO2</w:t>
            </w:r>
          </w:p>
        </w:tc>
        <w:tc>
          <w:tcPr>
            <w:tcW w:w="5562" w:type="dxa"/>
          </w:tcPr>
          <w:p w14:paraId="7A63048D" w14:textId="6C77E0A0" w:rsidR="001E751D" w:rsidRDefault="001E751D" w:rsidP="00015E0B">
            <w:r>
              <w:t>CO2 Emissions Reductions based on the first year of each input measure’s net natural gas savings.</w:t>
            </w:r>
          </w:p>
        </w:tc>
        <w:tc>
          <w:tcPr>
            <w:tcW w:w="1345" w:type="dxa"/>
            <w:vAlign w:val="center"/>
          </w:tcPr>
          <w:p w14:paraId="6E1A8256" w14:textId="6E14560C" w:rsidR="001E751D" w:rsidRDefault="001E751D" w:rsidP="00D3689B">
            <w:pPr>
              <w:jc w:val="center"/>
            </w:pPr>
            <w:r>
              <w:t>2</w:t>
            </w:r>
          </w:p>
        </w:tc>
      </w:tr>
      <w:tr w:rsidR="001E751D" w14:paraId="6C795687" w14:textId="0A071D73" w:rsidTr="00D3689B">
        <w:tc>
          <w:tcPr>
            <w:tcW w:w="2443" w:type="dxa"/>
            <w:vAlign w:val="center"/>
          </w:tcPr>
          <w:p w14:paraId="0521B1FB" w14:textId="5C29C6FF" w:rsidR="001E751D" w:rsidRDefault="001E751D" w:rsidP="000C779C">
            <w:pPr>
              <w:pStyle w:val="CodeObject"/>
            </w:pPr>
            <w:r>
              <w:t>GrossElecCO2</w:t>
            </w:r>
          </w:p>
        </w:tc>
        <w:tc>
          <w:tcPr>
            <w:tcW w:w="5562" w:type="dxa"/>
          </w:tcPr>
          <w:p w14:paraId="78B5AB4B" w14:textId="7D24F1DC" w:rsidR="001E751D" w:rsidRDefault="001E751D" w:rsidP="00015E0B">
            <w:r>
              <w:t>CO2 Emissions Reductions based on the first year of each input measure’s gross electric savings.</w:t>
            </w:r>
          </w:p>
        </w:tc>
        <w:tc>
          <w:tcPr>
            <w:tcW w:w="1345" w:type="dxa"/>
            <w:vAlign w:val="center"/>
          </w:tcPr>
          <w:p w14:paraId="4E017029" w14:textId="5A7926C4" w:rsidR="001E751D" w:rsidRDefault="001E751D" w:rsidP="00D3689B">
            <w:pPr>
              <w:jc w:val="center"/>
            </w:pPr>
            <w:r>
              <w:t>3</w:t>
            </w:r>
          </w:p>
        </w:tc>
      </w:tr>
      <w:tr w:rsidR="001E751D" w14:paraId="0EAFE9B6" w14:textId="2838B541" w:rsidTr="00D3689B">
        <w:tc>
          <w:tcPr>
            <w:tcW w:w="2443" w:type="dxa"/>
            <w:vAlign w:val="center"/>
          </w:tcPr>
          <w:p w14:paraId="4B56C265" w14:textId="073E4F25" w:rsidR="001E751D" w:rsidRDefault="001E751D" w:rsidP="000C779C">
            <w:pPr>
              <w:pStyle w:val="CodeObject"/>
            </w:pPr>
            <w:r>
              <w:t>GrossGasCO2</w:t>
            </w:r>
          </w:p>
        </w:tc>
        <w:tc>
          <w:tcPr>
            <w:tcW w:w="5562" w:type="dxa"/>
          </w:tcPr>
          <w:p w14:paraId="5A6C7ACD" w14:textId="18148609" w:rsidR="001E751D" w:rsidRDefault="001E751D" w:rsidP="00015E0B">
            <w:r>
              <w:t>CO2 Emissions Reductions based on the first year of each input measure’s gross natural gas savings.</w:t>
            </w:r>
          </w:p>
        </w:tc>
        <w:tc>
          <w:tcPr>
            <w:tcW w:w="1345" w:type="dxa"/>
            <w:vAlign w:val="center"/>
          </w:tcPr>
          <w:p w14:paraId="228E48B8" w14:textId="74D1064A" w:rsidR="001E751D" w:rsidRDefault="001E751D" w:rsidP="00D3689B">
            <w:pPr>
              <w:jc w:val="center"/>
            </w:pPr>
            <w:r>
              <w:t>4</w:t>
            </w:r>
          </w:p>
        </w:tc>
      </w:tr>
      <w:tr w:rsidR="001E751D" w14:paraId="570501B3" w14:textId="478886F9" w:rsidTr="00D3689B">
        <w:tc>
          <w:tcPr>
            <w:tcW w:w="2443" w:type="dxa"/>
            <w:vAlign w:val="center"/>
          </w:tcPr>
          <w:p w14:paraId="05F963AB" w14:textId="58408DBD" w:rsidR="001E751D" w:rsidRDefault="001E751D" w:rsidP="000C779C">
            <w:pPr>
              <w:pStyle w:val="CodeObject"/>
            </w:pPr>
            <w:r>
              <w:t>NetElecCO2Lifecycle</w:t>
            </w:r>
          </w:p>
        </w:tc>
        <w:tc>
          <w:tcPr>
            <w:tcW w:w="5562" w:type="dxa"/>
          </w:tcPr>
          <w:p w14:paraId="4B715CE1" w14:textId="0D5F9277" w:rsidR="001E751D" w:rsidRDefault="001E751D" w:rsidP="00015E0B">
            <w:r>
              <w:t>CO2 Emissions Reductions based on each input measure’s net electric savings throughout the measure’s lifecycle.</w:t>
            </w:r>
          </w:p>
        </w:tc>
        <w:tc>
          <w:tcPr>
            <w:tcW w:w="1345" w:type="dxa"/>
            <w:vAlign w:val="center"/>
          </w:tcPr>
          <w:p w14:paraId="5BAEC6E9" w14:textId="11EB43F7" w:rsidR="001E751D" w:rsidRDefault="001E751D" w:rsidP="00D3689B">
            <w:pPr>
              <w:jc w:val="center"/>
            </w:pPr>
            <w:r>
              <w:t>5</w:t>
            </w:r>
          </w:p>
        </w:tc>
      </w:tr>
      <w:tr w:rsidR="001E751D" w14:paraId="3463656D" w14:textId="5B11CB49" w:rsidTr="00D3689B">
        <w:tc>
          <w:tcPr>
            <w:tcW w:w="2443" w:type="dxa"/>
            <w:vAlign w:val="center"/>
          </w:tcPr>
          <w:p w14:paraId="51941E1A" w14:textId="13ED5619" w:rsidR="001E751D" w:rsidRDefault="001E751D" w:rsidP="000C779C">
            <w:pPr>
              <w:pStyle w:val="CodeObject"/>
            </w:pPr>
            <w:r>
              <w:t>NetGasCO2Lifecycle</w:t>
            </w:r>
          </w:p>
        </w:tc>
        <w:tc>
          <w:tcPr>
            <w:tcW w:w="5562" w:type="dxa"/>
          </w:tcPr>
          <w:p w14:paraId="3A539AB8" w14:textId="5DFE8B2C" w:rsidR="001E751D" w:rsidRDefault="001E751D" w:rsidP="00015E0B">
            <w:r>
              <w:t>CO2 Emissions Reductions based on each input measure’s net natural gas savings throughout the measure’s lifecycle.</w:t>
            </w:r>
          </w:p>
        </w:tc>
        <w:tc>
          <w:tcPr>
            <w:tcW w:w="1345" w:type="dxa"/>
            <w:vAlign w:val="center"/>
          </w:tcPr>
          <w:p w14:paraId="54B085E9" w14:textId="099B109C" w:rsidR="001E751D" w:rsidRDefault="001E751D" w:rsidP="00D3689B">
            <w:pPr>
              <w:jc w:val="center"/>
            </w:pPr>
            <w:r>
              <w:t>6</w:t>
            </w:r>
          </w:p>
        </w:tc>
      </w:tr>
      <w:tr w:rsidR="001E751D" w14:paraId="15C30AA5" w14:textId="130E260C" w:rsidTr="00D3689B">
        <w:tc>
          <w:tcPr>
            <w:tcW w:w="2443" w:type="dxa"/>
            <w:vAlign w:val="center"/>
          </w:tcPr>
          <w:p w14:paraId="761F0152" w14:textId="4C506251" w:rsidR="001E751D" w:rsidRDefault="001E751D" w:rsidP="000C779C">
            <w:pPr>
              <w:pStyle w:val="CodeObject"/>
            </w:pPr>
            <w:r>
              <w:t>GrossElecCO2Lifecycle</w:t>
            </w:r>
          </w:p>
        </w:tc>
        <w:tc>
          <w:tcPr>
            <w:tcW w:w="5562" w:type="dxa"/>
          </w:tcPr>
          <w:p w14:paraId="1E82AA11" w14:textId="2682975B" w:rsidR="001E751D" w:rsidRDefault="001E751D" w:rsidP="00015E0B">
            <w:r>
              <w:t>CO2 Emissions Reductions based on each input measure’s gross electric savings throughout the measure’s lifecycle.</w:t>
            </w:r>
          </w:p>
        </w:tc>
        <w:tc>
          <w:tcPr>
            <w:tcW w:w="1345" w:type="dxa"/>
            <w:vAlign w:val="center"/>
          </w:tcPr>
          <w:p w14:paraId="20D64B24" w14:textId="1CD8D4CA" w:rsidR="001E751D" w:rsidRDefault="001E751D" w:rsidP="00D3689B">
            <w:pPr>
              <w:jc w:val="center"/>
            </w:pPr>
            <w:r>
              <w:t>7</w:t>
            </w:r>
          </w:p>
        </w:tc>
      </w:tr>
      <w:tr w:rsidR="001E751D" w14:paraId="58B15444" w14:textId="580D6112" w:rsidTr="00D3689B">
        <w:tc>
          <w:tcPr>
            <w:tcW w:w="2443" w:type="dxa"/>
            <w:vAlign w:val="center"/>
          </w:tcPr>
          <w:p w14:paraId="767C25D1" w14:textId="1B6DE3D0" w:rsidR="001E751D" w:rsidRDefault="001E751D" w:rsidP="000C779C">
            <w:pPr>
              <w:pStyle w:val="CodeObject"/>
            </w:pPr>
            <w:r>
              <w:t>GrossGasCO2Lifecycle</w:t>
            </w:r>
          </w:p>
        </w:tc>
        <w:tc>
          <w:tcPr>
            <w:tcW w:w="5562" w:type="dxa"/>
          </w:tcPr>
          <w:p w14:paraId="13C3C6E1" w14:textId="593836C1" w:rsidR="001E751D" w:rsidRDefault="001E751D" w:rsidP="00015E0B">
            <w:r>
              <w:t>CO2 Emissions Reductions based on each input measure’s gross natural gas savings throughout the measure’s lifecycle.</w:t>
            </w:r>
          </w:p>
        </w:tc>
        <w:tc>
          <w:tcPr>
            <w:tcW w:w="1345" w:type="dxa"/>
            <w:vAlign w:val="center"/>
          </w:tcPr>
          <w:p w14:paraId="1451C3D6" w14:textId="456811FD" w:rsidR="001E751D" w:rsidRDefault="001E751D" w:rsidP="00D3689B">
            <w:pPr>
              <w:jc w:val="center"/>
            </w:pPr>
            <w:r>
              <w:t>8</w:t>
            </w:r>
          </w:p>
        </w:tc>
      </w:tr>
      <w:tr w:rsidR="001E751D" w14:paraId="61FF444A" w14:textId="1FD2A97C" w:rsidTr="00D3689B">
        <w:tc>
          <w:tcPr>
            <w:tcW w:w="2443" w:type="dxa"/>
            <w:vAlign w:val="center"/>
          </w:tcPr>
          <w:p w14:paraId="25FAAD31" w14:textId="2266247E" w:rsidR="001E751D" w:rsidRDefault="001E751D" w:rsidP="000C779C">
            <w:pPr>
              <w:pStyle w:val="CodeObject"/>
            </w:pPr>
            <w:proofErr w:type="spellStart"/>
            <w:r>
              <w:t>NetElecNOx</w:t>
            </w:r>
            <w:proofErr w:type="spellEnd"/>
          </w:p>
        </w:tc>
        <w:tc>
          <w:tcPr>
            <w:tcW w:w="5562" w:type="dxa"/>
          </w:tcPr>
          <w:p w14:paraId="1CD2E747" w14:textId="0B0B50AA" w:rsidR="001E751D" w:rsidRDefault="001E751D" w:rsidP="00015E0B">
            <w:r>
              <w:t>CO2 Emissions Reductions based on the first year of each input measure’s net electric savings.</w:t>
            </w:r>
          </w:p>
        </w:tc>
        <w:tc>
          <w:tcPr>
            <w:tcW w:w="1345" w:type="dxa"/>
            <w:vAlign w:val="center"/>
          </w:tcPr>
          <w:p w14:paraId="6FBCAB1F" w14:textId="4486F120" w:rsidR="001E751D" w:rsidRDefault="001E751D" w:rsidP="00D3689B">
            <w:pPr>
              <w:jc w:val="center"/>
            </w:pPr>
            <w:r>
              <w:t>9</w:t>
            </w:r>
          </w:p>
        </w:tc>
      </w:tr>
      <w:tr w:rsidR="001E751D" w14:paraId="417C56D4" w14:textId="33FDC37E" w:rsidTr="00D3689B">
        <w:tc>
          <w:tcPr>
            <w:tcW w:w="2443" w:type="dxa"/>
            <w:vAlign w:val="center"/>
          </w:tcPr>
          <w:p w14:paraId="0B42529A" w14:textId="5C40D732" w:rsidR="001E751D" w:rsidRDefault="001E751D" w:rsidP="000C779C">
            <w:pPr>
              <w:pStyle w:val="CodeObject"/>
            </w:pPr>
            <w:proofErr w:type="spellStart"/>
            <w:r>
              <w:t>NetGasNOx</w:t>
            </w:r>
            <w:proofErr w:type="spellEnd"/>
          </w:p>
        </w:tc>
        <w:tc>
          <w:tcPr>
            <w:tcW w:w="5562" w:type="dxa"/>
          </w:tcPr>
          <w:p w14:paraId="0A678C41" w14:textId="5CC1141D" w:rsidR="001E751D" w:rsidRDefault="001E751D" w:rsidP="00015E0B">
            <w:r>
              <w:t>CO2 Emissions Reductions based on the first year of each input measure’s net natural gas savings.</w:t>
            </w:r>
          </w:p>
        </w:tc>
        <w:tc>
          <w:tcPr>
            <w:tcW w:w="1345" w:type="dxa"/>
            <w:vAlign w:val="center"/>
          </w:tcPr>
          <w:p w14:paraId="29417CBC" w14:textId="4A256514" w:rsidR="001E751D" w:rsidRDefault="001E751D" w:rsidP="00D3689B">
            <w:pPr>
              <w:jc w:val="center"/>
            </w:pPr>
            <w:r>
              <w:t>10</w:t>
            </w:r>
          </w:p>
        </w:tc>
      </w:tr>
      <w:tr w:rsidR="001E751D" w14:paraId="2BEEEF71" w14:textId="505B0878" w:rsidTr="00D3689B">
        <w:tc>
          <w:tcPr>
            <w:tcW w:w="2443" w:type="dxa"/>
            <w:vAlign w:val="center"/>
          </w:tcPr>
          <w:p w14:paraId="6290A92E" w14:textId="0B6DD463" w:rsidR="001E751D" w:rsidRDefault="001E751D" w:rsidP="000C779C">
            <w:pPr>
              <w:pStyle w:val="CodeObject"/>
            </w:pPr>
            <w:proofErr w:type="spellStart"/>
            <w:r>
              <w:t>GrossElecNOx</w:t>
            </w:r>
            <w:proofErr w:type="spellEnd"/>
          </w:p>
        </w:tc>
        <w:tc>
          <w:tcPr>
            <w:tcW w:w="5562" w:type="dxa"/>
          </w:tcPr>
          <w:p w14:paraId="62B7456A" w14:textId="4C2245B3" w:rsidR="001E751D" w:rsidRDefault="001E751D" w:rsidP="00015E0B">
            <w:r>
              <w:t>CO2 Emissions Reductions based on the first year of each input measure’s gross electric savings.</w:t>
            </w:r>
          </w:p>
        </w:tc>
        <w:tc>
          <w:tcPr>
            <w:tcW w:w="1345" w:type="dxa"/>
            <w:vAlign w:val="center"/>
          </w:tcPr>
          <w:p w14:paraId="4F60CB12" w14:textId="7680504A" w:rsidR="001E751D" w:rsidRDefault="001E751D" w:rsidP="00D3689B">
            <w:pPr>
              <w:jc w:val="center"/>
            </w:pPr>
            <w:r>
              <w:t>11</w:t>
            </w:r>
          </w:p>
        </w:tc>
      </w:tr>
      <w:tr w:rsidR="001E751D" w14:paraId="223C5C71" w14:textId="4F5B4575" w:rsidTr="00D3689B">
        <w:tc>
          <w:tcPr>
            <w:tcW w:w="2443" w:type="dxa"/>
            <w:vAlign w:val="center"/>
          </w:tcPr>
          <w:p w14:paraId="5C4252A5" w14:textId="4185E24C" w:rsidR="001E751D" w:rsidRDefault="001E751D" w:rsidP="000C779C">
            <w:pPr>
              <w:pStyle w:val="CodeObject"/>
            </w:pPr>
            <w:proofErr w:type="spellStart"/>
            <w:r>
              <w:t>GrossGasNOX</w:t>
            </w:r>
            <w:proofErr w:type="spellEnd"/>
          </w:p>
        </w:tc>
        <w:tc>
          <w:tcPr>
            <w:tcW w:w="5562" w:type="dxa"/>
          </w:tcPr>
          <w:p w14:paraId="77696B0A" w14:textId="6EFA24F3" w:rsidR="001E751D" w:rsidRDefault="001E751D" w:rsidP="00015E0B">
            <w:r>
              <w:t>CO2 Emissions Reductions based on the first year of each input measure’s gross natural gas savings.</w:t>
            </w:r>
          </w:p>
        </w:tc>
        <w:tc>
          <w:tcPr>
            <w:tcW w:w="1345" w:type="dxa"/>
            <w:vAlign w:val="center"/>
          </w:tcPr>
          <w:p w14:paraId="7B848420" w14:textId="7BC44BD7" w:rsidR="001E751D" w:rsidRDefault="001E751D" w:rsidP="00D3689B">
            <w:pPr>
              <w:jc w:val="center"/>
            </w:pPr>
            <w:r>
              <w:t>12</w:t>
            </w:r>
          </w:p>
        </w:tc>
      </w:tr>
      <w:tr w:rsidR="001E751D" w14:paraId="46743525" w14:textId="25CDABAC" w:rsidTr="00D3689B">
        <w:tc>
          <w:tcPr>
            <w:tcW w:w="2443" w:type="dxa"/>
            <w:vAlign w:val="center"/>
          </w:tcPr>
          <w:p w14:paraId="73D109B0" w14:textId="7089AA15" w:rsidR="001E751D" w:rsidRDefault="001E751D" w:rsidP="000C779C">
            <w:pPr>
              <w:pStyle w:val="CodeObject"/>
            </w:pPr>
            <w:proofErr w:type="spellStart"/>
            <w:r>
              <w:t>NetElecNOxLifecycle</w:t>
            </w:r>
            <w:proofErr w:type="spellEnd"/>
          </w:p>
        </w:tc>
        <w:tc>
          <w:tcPr>
            <w:tcW w:w="5562" w:type="dxa"/>
          </w:tcPr>
          <w:p w14:paraId="356D8AD7" w14:textId="59D8C9DB" w:rsidR="001E751D" w:rsidRDefault="001E751D" w:rsidP="00015E0B">
            <w:r>
              <w:t>CO2 Emissions Reductions based on each input measure’s net electric savings throughout the measure’s lifecycle.</w:t>
            </w:r>
          </w:p>
        </w:tc>
        <w:tc>
          <w:tcPr>
            <w:tcW w:w="1345" w:type="dxa"/>
            <w:vAlign w:val="center"/>
          </w:tcPr>
          <w:p w14:paraId="5E3FBCA0" w14:textId="3CE11434" w:rsidR="001E751D" w:rsidRDefault="001E751D" w:rsidP="00D3689B">
            <w:pPr>
              <w:jc w:val="center"/>
            </w:pPr>
            <w:r>
              <w:t>13</w:t>
            </w:r>
          </w:p>
        </w:tc>
      </w:tr>
      <w:tr w:rsidR="001E751D" w14:paraId="0F2DB444" w14:textId="4E34297B" w:rsidTr="00D3689B">
        <w:tc>
          <w:tcPr>
            <w:tcW w:w="2443" w:type="dxa"/>
            <w:vAlign w:val="center"/>
          </w:tcPr>
          <w:p w14:paraId="5C38853C" w14:textId="3B11E4C9" w:rsidR="001E751D" w:rsidRDefault="001E751D" w:rsidP="000C779C">
            <w:pPr>
              <w:pStyle w:val="CodeObject"/>
            </w:pPr>
            <w:proofErr w:type="spellStart"/>
            <w:r>
              <w:t>NetGasNOxLifecycle</w:t>
            </w:r>
            <w:proofErr w:type="spellEnd"/>
          </w:p>
        </w:tc>
        <w:tc>
          <w:tcPr>
            <w:tcW w:w="5562" w:type="dxa"/>
          </w:tcPr>
          <w:p w14:paraId="7F5C336C" w14:textId="52C815D0" w:rsidR="001E751D" w:rsidRDefault="001E751D" w:rsidP="00015E0B">
            <w:r>
              <w:t>CO2 Emissions Reductions based on each input measure’s net natural gas savings throughout the measure’s lifecycle.</w:t>
            </w:r>
          </w:p>
        </w:tc>
        <w:tc>
          <w:tcPr>
            <w:tcW w:w="1345" w:type="dxa"/>
            <w:vAlign w:val="center"/>
          </w:tcPr>
          <w:p w14:paraId="422827FA" w14:textId="2C1A64F3" w:rsidR="001E751D" w:rsidRDefault="001E751D" w:rsidP="00D3689B">
            <w:pPr>
              <w:jc w:val="center"/>
            </w:pPr>
            <w:r>
              <w:t>14</w:t>
            </w:r>
          </w:p>
        </w:tc>
      </w:tr>
      <w:tr w:rsidR="001E751D" w14:paraId="742E80B3" w14:textId="199288ED" w:rsidTr="00D3689B">
        <w:tc>
          <w:tcPr>
            <w:tcW w:w="2443" w:type="dxa"/>
            <w:vAlign w:val="center"/>
          </w:tcPr>
          <w:p w14:paraId="75C5CA28" w14:textId="3CD43886" w:rsidR="001E751D" w:rsidRDefault="001E751D" w:rsidP="000C779C">
            <w:pPr>
              <w:pStyle w:val="CodeObject"/>
            </w:pPr>
            <w:proofErr w:type="spellStart"/>
            <w:r>
              <w:t>GrossElecNOxLifecycle</w:t>
            </w:r>
            <w:proofErr w:type="spellEnd"/>
          </w:p>
        </w:tc>
        <w:tc>
          <w:tcPr>
            <w:tcW w:w="5562" w:type="dxa"/>
          </w:tcPr>
          <w:p w14:paraId="3FE94CA7" w14:textId="6CC4AAA0" w:rsidR="001E751D" w:rsidRDefault="001E751D" w:rsidP="00015E0B">
            <w:r>
              <w:t>CO2 Emissions Reductions based on the first year of each input measure’s net electric savings.</w:t>
            </w:r>
          </w:p>
        </w:tc>
        <w:tc>
          <w:tcPr>
            <w:tcW w:w="1345" w:type="dxa"/>
            <w:vAlign w:val="center"/>
          </w:tcPr>
          <w:p w14:paraId="259B9D2D" w14:textId="0384C09F" w:rsidR="001E751D" w:rsidRDefault="001E751D" w:rsidP="00D3689B">
            <w:pPr>
              <w:jc w:val="center"/>
            </w:pPr>
            <w:r>
              <w:t>15</w:t>
            </w:r>
          </w:p>
        </w:tc>
      </w:tr>
      <w:tr w:rsidR="001E751D" w14:paraId="3D6AED73" w14:textId="5DE9A036" w:rsidTr="00D3689B">
        <w:tc>
          <w:tcPr>
            <w:tcW w:w="2443" w:type="dxa"/>
            <w:vAlign w:val="center"/>
          </w:tcPr>
          <w:p w14:paraId="6B177962" w14:textId="354E6830" w:rsidR="001E751D" w:rsidRDefault="001E751D" w:rsidP="000C779C">
            <w:pPr>
              <w:pStyle w:val="CodeObject"/>
            </w:pPr>
            <w:proofErr w:type="spellStart"/>
            <w:r>
              <w:t>GrossGasNOxLifecycle</w:t>
            </w:r>
            <w:proofErr w:type="spellEnd"/>
          </w:p>
        </w:tc>
        <w:tc>
          <w:tcPr>
            <w:tcW w:w="5562" w:type="dxa"/>
          </w:tcPr>
          <w:p w14:paraId="7E988D1F" w14:textId="65AC730B" w:rsidR="001E751D" w:rsidRDefault="001E751D" w:rsidP="00015E0B">
            <w:r>
              <w:t>CO2 Emissions Reductions based on the first year of each input measure’s net natural gas savings.</w:t>
            </w:r>
          </w:p>
        </w:tc>
        <w:tc>
          <w:tcPr>
            <w:tcW w:w="1345" w:type="dxa"/>
            <w:vAlign w:val="center"/>
          </w:tcPr>
          <w:p w14:paraId="66B421CA" w14:textId="672ABEBC" w:rsidR="001E751D" w:rsidRDefault="001E751D" w:rsidP="00D3689B">
            <w:pPr>
              <w:jc w:val="center"/>
            </w:pPr>
            <w:r>
              <w:t>16</w:t>
            </w:r>
          </w:p>
        </w:tc>
      </w:tr>
      <w:tr w:rsidR="001E751D" w14:paraId="0BD9ECC2" w14:textId="27812AFC" w:rsidTr="00D3689B">
        <w:tc>
          <w:tcPr>
            <w:tcW w:w="2443" w:type="dxa"/>
            <w:vAlign w:val="center"/>
          </w:tcPr>
          <w:p w14:paraId="74D56903" w14:textId="33C2511E" w:rsidR="001E751D" w:rsidRDefault="001E751D" w:rsidP="000C779C">
            <w:pPr>
              <w:pStyle w:val="CodeObject"/>
            </w:pPr>
            <w:r>
              <w:lastRenderedPageBreak/>
              <w:t>NetPM10</w:t>
            </w:r>
          </w:p>
        </w:tc>
        <w:tc>
          <w:tcPr>
            <w:tcW w:w="5562" w:type="dxa"/>
          </w:tcPr>
          <w:p w14:paraId="3A2A826A" w14:textId="4FD2B4AF" w:rsidR="001E751D" w:rsidRDefault="001E751D" w:rsidP="00015E0B">
            <w:r>
              <w:t>CO2 Emissions Reductions based on the first year of each input measure’s net electric savings.</w:t>
            </w:r>
          </w:p>
        </w:tc>
        <w:tc>
          <w:tcPr>
            <w:tcW w:w="1345" w:type="dxa"/>
            <w:vAlign w:val="center"/>
          </w:tcPr>
          <w:p w14:paraId="215ACEE7" w14:textId="60E799F4" w:rsidR="001E751D" w:rsidRDefault="001E751D" w:rsidP="00D3689B">
            <w:pPr>
              <w:jc w:val="center"/>
            </w:pPr>
            <w:r>
              <w:t>17</w:t>
            </w:r>
          </w:p>
        </w:tc>
      </w:tr>
      <w:tr w:rsidR="001E751D" w14:paraId="469E29E8" w14:textId="33C04717" w:rsidTr="00D3689B">
        <w:tc>
          <w:tcPr>
            <w:tcW w:w="2443" w:type="dxa"/>
            <w:vAlign w:val="center"/>
          </w:tcPr>
          <w:p w14:paraId="0D433F54" w14:textId="60F1A019" w:rsidR="001E751D" w:rsidRDefault="001E751D" w:rsidP="000C779C">
            <w:pPr>
              <w:pStyle w:val="CodeObject"/>
            </w:pPr>
            <w:r>
              <w:t>GrossPM10</w:t>
            </w:r>
          </w:p>
        </w:tc>
        <w:tc>
          <w:tcPr>
            <w:tcW w:w="5562" w:type="dxa"/>
          </w:tcPr>
          <w:p w14:paraId="67E13AEB" w14:textId="616A8174" w:rsidR="001E751D" w:rsidRDefault="001E751D" w:rsidP="00015E0B">
            <w:r>
              <w:t>CO2 Emissions Reductions based on the first year of each input measure’s gross electric savings.</w:t>
            </w:r>
          </w:p>
        </w:tc>
        <w:tc>
          <w:tcPr>
            <w:tcW w:w="1345" w:type="dxa"/>
            <w:vAlign w:val="center"/>
          </w:tcPr>
          <w:p w14:paraId="727408A8" w14:textId="0FDC26D6" w:rsidR="001E751D" w:rsidRDefault="001E751D" w:rsidP="00D3689B">
            <w:pPr>
              <w:jc w:val="center"/>
            </w:pPr>
            <w:r>
              <w:t>18</w:t>
            </w:r>
          </w:p>
        </w:tc>
      </w:tr>
      <w:tr w:rsidR="001E751D" w14:paraId="5AC63A65" w14:textId="687D03EC" w:rsidTr="00D3689B">
        <w:tc>
          <w:tcPr>
            <w:tcW w:w="2443" w:type="dxa"/>
            <w:vAlign w:val="center"/>
          </w:tcPr>
          <w:p w14:paraId="5315C979" w14:textId="72F1AF1B" w:rsidR="001E751D" w:rsidRDefault="001E751D" w:rsidP="000C779C">
            <w:pPr>
              <w:pStyle w:val="CodeObject"/>
            </w:pPr>
            <w:r>
              <w:t>NetPM10Lifecycle</w:t>
            </w:r>
          </w:p>
        </w:tc>
        <w:tc>
          <w:tcPr>
            <w:tcW w:w="5562" w:type="dxa"/>
          </w:tcPr>
          <w:p w14:paraId="05DF18C7" w14:textId="4DF51DD9" w:rsidR="001E751D" w:rsidRDefault="001E751D" w:rsidP="00015E0B">
            <w:r>
              <w:t>CO2 Emissions Reductions based on each input measure’s net electric savings throughout the measure’s lifecycle.</w:t>
            </w:r>
          </w:p>
        </w:tc>
        <w:tc>
          <w:tcPr>
            <w:tcW w:w="1345" w:type="dxa"/>
            <w:vAlign w:val="center"/>
          </w:tcPr>
          <w:p w14:paraId="1F0C6E58" w14:textId="73DAEFE5" w:rsidR="001E751D" w:rsidRDefault="001E751D" w:rsidP="00D3689B">
            <w:pPr>
              <w:jc w:val="center"/>
            </w:pPr>
            <w:r>
              <w:t>19</w:t>
            </w:r>
          </w:p>
        </w:tc>
      </w:tr>
      <w:tr w:rsidR="001E751D" w14:paraId="7DD6A7E6" w14:textId="3AF1F83E" w:rsidTr="00D3689B">
        <w:tc>
          <w:tcPr>
            <w:tcW w:w="2443" w:type="dxa"/>
            <w:vAlign w:val="center"/>
          </w:tcPr>
          <w:p w14:paraId="671E73DA" w14:textId="1687512D" w:rsidR="001E751D" w:rsidRDefault="001E751D" w:rsidP="000C779C">
            <w:pPr>
              <w:pStyle w:val="CodeObject"/>
            </w:pPr>
            <w:r>
              <w:t>GrossPM10Lifecycle</w:t>
            </w:r>
          </w:p>
        </w:tc>
        <w:tc>
          <w:tcPr>
            <w:tcW w:w="5562" w:type="dxa"/>
          </w:tcPr>
          <w:p w14:paraId="164F5E05" w14:textId="4F86FE73" w:rsidR="001E751D" w:rsidRDefault="001E751D" w:rsidP="00015E0B">
            <w:r>
              <w:t>CO2 Emissions Reductions based on each input measure’s gross electric savings throughout the measure’s lifecycle.</w:t>
            </w:r>
          </w:p>
        </w:tc>
        <w:tc>
          <w:tcPr>
            <w:tcW w:w="1345" w:type="dxa"/>
            <w:vAlign w:val="center"/>
          </w:tcPr>
          <w:p w14:paraId="6FCD26EE" w14:textId="69C81E2A" w:rsidR="001E751D" w:rsidRDefault="001E751D" w:rsidP="00D3689B">
            <w:pPr>
              <w:jc w:val="center"/>
            </w:pPr>
            <w:r>
              <w:t>20</w:t>
            </w:r>
          </w:p>
        </w:tc>
      </w:tr>
    </w:tbl>
    <w:p w14:paraId="1C973999" w14:textId="412B37E1" w:rsidR="00B45E9B" w:rsidRDefault="00B45E9B" w:rsidP="00B45E9B"/>
    <w:p w14:paraId="320B8D8D" w14:textId="3637DE98" w:rsidR="00B53780" w:rsidRDefault="00B53780" w:rsidP="00B45E9B">
      <w:r>
        <w:t xml:space="preserve">These columns provide combinations four selectors: </w:t>
      </w:r>
      <w:r w:rsidR="00552F8C">
        <w:t xml:space="preserve">Savings Type </w:t>
      </w:r>
      <w:r>
        <w:t xml:space="preserve">{Net | Gross}; </w:t>
      </w:r>
      <w:r w:rsidR="00552F8C">
        <w:t xml:space="preserve">Fuel Source </w:t>
      </w:r>
      <w:r>
        <w:t xml:space="preserve">{Elec | Gas}; </w:t>
      </w:r>
      <w:r w:rsidR="00552F8C">
        <w:t xml:space="preserve">Timeframe </w:t>
      </w:r>
      <w:r>
        <w:t xml:space="preserve">{First Year | Lifecycle}; and </w:t>
      </w:r>
      <w:r w:rsidR="00552F8C">
        <w:t xml:space="preserve">Criterion Pollutant </w:t>
      </w:r>
      <w:r>
        <w:t>{CO</w:t>
      </w:r>
      <w:r w:rsidRPr="0098102A">
        <w:rPr>
          <w:vertAlign w:val="subscript"/>
        </w:rPr>
        <w:t>2</w:t>
      </w:r>
      <w:r>
        <w:t xml:space="preserve"> | NO</w:t>
      </w:r>
      <w:r w:rsidRPr="0098102A">
        <w:rPr>
          <w:vertAlign w:val="subscript"/>
        </w:rPr>
        <w:t>x</w:t>
      </w:r>
      <w:r>
        <w:t xml:space="preserve"> | PM10}, excepting that PM10 is only calculated based on electric savings.</w:t>
      </w:r>
      <w:r w:rsidR="001E751D">
        <w:t xml:space="preserve"> The following table shows how the </w:t>
      </w:r>
      <w:proofErr w:type="spellStart"/>
      <w:r w:rsidR="001E751D" w:rsidRPr="001E751D">
        <w:rPr>
          <w:rStyle w:val="CodeObjectChar"/>
        </w:rPr>
        <w:t>OutputEmissions</w:t>
      </w:r>
      <w:proofErr w:type="spellEnd"/>
      <w:r w:rsidR="001E751D">
        <w:t xml:space="preserve"> columns are organized by selector, and </w:t>
      </w:r>
      <w:r w:rsidR="00B1022C">
        <w:t xml:space="preserve">again </w:t>
      </w:r>
      <w:r w:rsidR="001E751D">
        <w:t>identifies the corresponding equations, presented later in this document.</w:t>
      </w:r>
    </w:p>
    <w:tbl>
      <w:tblPr>
        <w:tblStyle w:val="TableGrid"/>
        <w:tblW w:w="0" w:type="auto"/>
        <w:tblCellMar>
          <w:top w:w="144" w:type="dxa"/>
          <w:left w:w="144" w:type="dxa"/>
          <w:bottom w:w="144" w:type="dxa"/>
          <w:right w:w="144" w:type="dxa"/>
        </w:tblCellMar>
        <w:tblLook w:val="04A0" w:firstRow="1" w:lastRow="0" w:firstColumn="1" w:lastColumn="0" w:noHBand="0" w:noVBand="1"/>
      </w:tblPr>
      <w:tblGrid>
        <w:gridCol w:w="360"/>
        <w:gridCol w:w="720"/>
        <w:gridCol w:w="3960"/>
        <w:gridCol w:w="3960"/>
      </w:tblGrid>
      <w:tr w:rsidR="00C4522E" w14:paraId="086DBD74" w14:textId="77777777" w:rsidTr="00D3689B">
        <w:tc>
          <w:tcPr>
            <w:tcW w:w="360" w:type="dxa"/>
            <w:tcBorders>
              <w:top w:val="nil"/>
              <w:left w:val="nil"/>
              <w:bottom w:val="nil"/>
              <w:right w:val="nil"/>
            </w:tcBorders>
          </w:tcPr>
          <w:p w14:paraId="6728130D" w14:textId="77777777" w:rsidR="00C4522E" w:rsidRDefault="00C4522E" w:rsidP="00C4522E"/>
        </w:tc>
        <w:tc>
          <w:tcPr>
            <w:tcW w:w="720" w:type="dxa"/>
            <w:tcBorders>
              <w:top w:val="nil"/>
              <w:left w:val="nil"/>
              <w:bottom w:val="nil"/>
              <w:right w:val="nil"/>
            </w:tcBorders>
          </w:tcPr>
          <w:p w14:paraId="076FBF67" w14:textId="77777777" w:rsidR="00C4522E" w:rsidRDefault="00C4522E" w:rsidP="00C4522E"/>
        </w:tc>
        <w:tc>
          <w:tcPr>
            <w:tcW w:w="7920" w:type="dxa"/>
            <w:gridSpan w:val="2"/>
            <w:tcBorders>
              <w:top w:val="nil"/>
              <w:left w:val="nil"/>
              <w:bottom w:val="single" w:sz="4" w:space="0" w:color="auto"/>
              <w:right w:val="nil"/>
            </w:tcBorders>
            <w:tcMar>
              <w:top w:w="0" w:type="dxa"/>
              <w:left w:w="29" w:type="dxa"/>
              <w:bottom w:w="0" w:type="dxa"/>
              <w:right w:w="29" w:type="dxa"/>
            </w:tcMar>
            <w:vAlign w:val="bottom"/>
          </w:tcPr>
          <w:p w14:paraId="7BFF33A8" w14:textId="7FCE9EB3" w:rsidR="00C4522E" w:rsidRPr="00CF1062" w:rsidRDefault="00C4522E" w:rsidP="00C4522E">
            <w:pPr>
              <w:jc w:val="center"/>
              <w:rPr>
                <w:b/>
                <w:bCs/>
              </w:rPr>
            </w:pPr>
            <w:r w:rsidRPr="00CF1062">
              <w:rPr>
                <w:b/>
                <w:bCs/>
              </w:rPr>
              <w:t>Fuel Source</w:t>
            </w:r>
          </w:p>
        </w:tc>
      </w:tr>
      <w:tr w:rsidR="0098102A" w14:paraId="66C42CB8" w14:textId="77777777" w:rsidTr="00D3689B">
        <w:tc>
          <w:tcPr>
            <w:tcW w:w="360" w:type="dxa"/>
            <w:tcBorders>
              <w:top w:val="nil"/>
              <w:left w:val="nil"/>
              <w:bottom w:val="nil"/>
              <w:right w:val="nil"/>
            </w:tcBorders>
          </w:tcPr>
          <w:p w14:paraId="2EAF5DB4" w14:textId="77777777" w:rsidR="0098102A" w:rsidRDefault="0098102A" w:rsidP="00C4522E"/>
        </w:tc>
        <w:tc>
          <w:tcPr>
            <w:tcW w:w="720" w:type="dxa"/>
            <w:tcBorders>
              <w:top w:val="nil"/>
              <w:left w:val="nil"/>
              <w:bottom w:val="nil"/>
              <w:right w:val="nil"/>
            </w:tcBorders>
          </w:tcPr>
          <w:p w14:paraId="7BC28EE6" w14:textId="3D8B93BC" w:rsidR="0098102A" w:rsidRDefault="0098102A" w:rsidP="00C4522E"/>
        </w:tc>
        <w:tc>
          <w:tcPr>
            <w:tcW w:w="3960" w:type="dxa"/>
            <w:tcBorders>
              <w:left w:val="nil"/>
              <w:right w:val="nil"/>
            </w:tcBorders>
            <w:tcMar>
              <w:top w:w="0" w:type="dxa"/>
              <w:left w:w="29" w:type="dxa"/>
              <w:bottom w:w="0" w:type="dxa"/>
              <w:right w:w="29" w:type="dxa"/>
            </w:tcMar>
            <w:vAlign w:val="bottom"/>
          </w:tcPr>
          <w:p w14:paraId="71F10955" w14:textId="3FA662C3" w:rsidR="0098102A" w:rsidRPr="00883EBB" w:rsidRDefault="0098102A" w:rsidP="00C4522E">
            <w:pPr>
              <w:jc w:val="center"/>
            </w:pPr>
            <w:r w:rsidRPr="00883EBB">
              <w:t>Electric</w:t>
            </w:r>
          </w:p>
        </w:tc>
        <w:tc>
          <w:tcPr>
            <w:tcW w:w="3960" w:type="dxa"/>
            <w:tcBorders>
              <w:left w:val="nil"/>
              <w:right w:val="nil"/>
            </w:tcBorders>
            <w:tcMar>
              <w:top w:w="0" w:type="dxa"/>
              <w:left w:w="29" w:type="dxa"/>
              <w:bottom w:w="0" w:type="dxa"/>
              <w:right w:w="29" w:type="dxa"/>
            </w:tcMar>
            <w:vAlign w:val="bottom"/>
          </w:tcPr>
          <w:p w14:paraId="470004C7" w14:textId="73E8348C" w:rsidR="0098102A" w:rsidRPr="00883EBB" w:rsidRDefault="0098102A" w:rsidP="00C4522E">
            <w:pPr>
              <w:jc w:val="center"/>
            </w:pPr>
            <w:r w:rsidRPr="00883EBB">
              <w:t>Natural Gas</w:t>
            </w:r>
          </w:p>
        </w:tc>
      </w:tr>
      <w:tr w:rsidR="00C4522E" w14:paraId="0E2D8E73" w14:textId="77777777" w:rsidTr="00D3689B">
        <w:trPr>
          <w:trHeight w:val="2160"/>
        </w:trPr>
        <w:tc>
          <w:tcPr>
            <w:tcW w:w="360" w:type="dxa"/>
            <w:vMerge w:val="restart"/>
            <w:tcBorders>
              <w:top w:val="nil"/>
              <w:left w:val="nil"/>
              <w:bottom w:val="nil"/>
              <w:right w:val="single" w:sz="4" w:space="0" w:color="auto"/>
            </w:tcBorders>
            <w:tcMar>
              <w:top w:w="29" w:type="dxa"/>
              <w:left w:w="29" w:type="dxa"/>
              <w:bottom w:w="29" w:type="dxa"/>
              <w:right w:w="29" w:type="dxa"/>
            </w:tcMar>
            <w:textDirection w:val="btLr"/>
            <w:vAlign w:val="bottom"/>
          </w:tcPr>
          <w:p w14:paraId="6097DEE0" w14:textId="3E03B4D8" w:rsidR="00C4522E" w:rsidRPr="00883EBB" w:rsidRDefault="00C4522E" w:rsidP="00C4522E">
            <w:pPr>
              <w:jc w:val="center"/>
              <w:rPr>
                <w:b/>
                <w:bCs/>
              </w:rPr>
            </w:pPr>
            <w:r w:rsidRPr="00883EBB">
              <w:rPr>
                <w:b/>
                <w:bCs/>
              </w:rPr>
              <w:t>Criterion Pollutant</w:t>
            </w:r>
          </w:p>
        </w:tc>
        <w:tc>
          <w:tcPr>
            <w:tcW w:w="720" w:type="dxa"/>
            <w:tcBorders>
              <w:top w:val="nil"/>
              <w:left w:val="single" w:sz="4" w:space="0" w:color="auto"/>
              <w:bottom w:val="nil"/>
            </w:tcBorders>
            <w:tcMar>
              <w:top w:w="29" w:type="dxa"/>
              <w:left w:w="29" w:type="dxa"/>
              <w:bottom w:w="29" w:type="dxa"/>
              <w:right w:w="29" w:type="dxa"/>
            </w:tcMar>
            <w:vAlign w:val="center"/>
          </w:tcPr>
          <w:p w14:paraId="0EF4744D" w14:textId="18AA8408" w:rsidR="00C4522E" w:rsidRDefault="00C4522E" w:rsidP="00D3689B">
            <w:pPr>
              <w:jc w:val="center"/>
            </w:pPr>
            <w:r>
              <w:t>CO</w:t>
            </w:r>
            <w:r w:rsidRPr="0098102A">
              <w:rPr>
                <w:vertAlign w:val="subscript"/>
              </w:rPr>
              <w:t>2</w:t>
            </w:r>
          </w:p>
        </w:tc>
        <w:tc>
          <w:tcPr>
            <w:tcW w:w="3960" w:type="dxa"/>
            <w:vAlign w:val="center"/>
          </w:tcPr>
          <w:tbl>
            <w:tblPr>
              <w:tblStyle w:val="TableGrid"/>
              <w:tblW w:w="0" w:type="auto"/>
              <w:tblLook w:val="04A0" w:firstRow="1" w:lastRow="0" w:firstColumn="1" w:lastColumn="0" w:noHBand="0" w:noVBand="1"/>
            </w:tblPr>
            <w:tblGrid>
              <w:gridCol w:w="498"/>
              <w:gridCol w:w="1107"/>
              <w:gridCol w:w="900"/>
              <w:gridCol w:w="900"/>
            </w:tblGrid>
            <w:tr w:rsidR="00C4522E" w14:paraId="1A2404F7" w14:textId="77777777" w:rsidTr="00D3689B">
              <w:tc>
                <w:tcPr>
                  <w:tcW w:w="498" w:type="dxa"/>
                  <w:tcBorders>
                    <w:top w:val="nil"/>
                    <w:left w:val="nil"/>
                    <w:bottom w:val="nil"/>
                    <w:right w:val="nil"/>
                  </w:tcBorders>
                </w:tcPr>
                <w:p w14:paraId="240CD510" w14:textId="77777777" w:rsidR="00C4522E" w:rsidRDefault="00C4522E" w:rsidP="00C4522E">
                  <w:pPr>
                    <w:jc w:val="center"/>
                  </w:pPr>
                </w:p>
              </w:tc>
              <w:tc>
                <w:tcPr>
                  <w:tcW w:w="1107" w:type="dxa"/>
                  <w:tcBorders>
                    <w:top w:val="nil"/>
                    <w:left w:val="nil"/>
                    <w:bottom w:val="nil"/>
                    <w:right w:val="nil"/>
                  </w:tcBorders>
                </w:tcPr>
                <w:p w14:paraId="1B56884D" w14:textId="77777777" w:rsidR="00C4522E" w:rsidRDefault="00C4522E" w:rsidP="00C4522E">
                  <w:pPr>
                    <w:jc w:val="center"/>
                  </w:pPr>
                </w:p>
              </w:tc>
              <w:tc>
                <w:tcPr>
                  <w:tcW w:w="1800" w:type="dxa"/>
                  <w:gridSpan w:val="2"/>
                  <w:tcBorders>
                    <w:top w:val="nil"/>
                    <w:left w:val="nil"/>
                    <w:bottom w:val="single" w:sz="4" w:space="0" w:color="auto"/>
                    <w:right w:val="nil"/>
                  </w:tcBorders>
                  <w:vAlign w:val="center"/>
                </w:tcPr>
                <w:p w14:paraId="61A88C87" w14:textId="22D3E2B0" w:rsidR="00C4522E" w:rsidRPr="00CF1062" w:rsidRDefault="00C4522E" w:rsidP="00C4522E">
                  <w:pPr>
                    <w:jc w:val="center"/>
                    <w:rPr>
                      <w:b/>
                      <w:bCs/>
                    </w:rPr>
                  </w:pPr>
                  <w:r w:rsidRPr="00CF1062">
                    <w:rPr>
                      <w:b/>
                      <w:bCs/>
                    </w:rPr>
                    <w:t>Savings Type</w:t>
                  </w:r>
                </w:p>
              </w:tc>
            </w:tr>
            <w:tr w:rsidR="00C4522E" w14:paraId="4A7B42EC" w14:textId="77777777" w:rsidTr="00D3689B">
              <w:tc>
                <w:tcPr>
                  <w:tcW w:w="498" w:type="dxa"/>
                  <w:tcBorders>
                    <w:top w:val="nil"/>
                    <w:left w:val="nil"/>
                    <w:bottom w:val="nil"/>
                    <w:right w:val="nil"/>
                  </w:tcBorders>
                </w:tcPr>
                <w:p w14:paraId="72DF3D1C" w14:textId="77777777" w:rsidR="00C4522E" w:rsidRDefault="00C4522E" w:rsidP="00C4522E">
                  <w:pPr>
                    <w:jc w:val="center"/>
                  </w:pPr>
                </w:p>
              </w:tc>
              <w:tc>
                <w:tcPr>
                  <w:tcW w:w="1107" w:type="dxa"/>
                  <w:tcBorders>
                    <w:top w:val="nil"/>
                    <w:left w:val="nil"/>
                    <w:bottom w:val="nil"/>
                    <w:right w:val="nil"/>
                  </w:tcBorders>
                </w:tcPr>
                <w:p w14:paraId="79386304" w14:textId="77777777" w:rsidR="00C4522E" w:rsidRDefault="00C4522E" w:rsidP="00C4522E">
                  <w:pPr>
                    <w:jc w:val="center"/>
                  </w:pPr>
                </w:p>
              </w:tc>
              <w:tc>
                <w:tcPr>
                  <w:tcW w:w="900" w:type="dxa"/>
                  <w:tcBorders>
                    <w:left w:val="nil"/>
                    <w:bottom w:val="nil"/>
                    <w:right w:val="nil"/>
                  </w:tcBorders>
                  <w:vAlign w:val="bottom"/>
                </w:tcPr>
                <w:p w14:paraId="033B766F" w14:textId="7D06181E" w:rsidR="00C4522E" w:rsidRPr="00883EBB" w:rsidRDefault="00C4522E" w:rsidP="00C4522E">
                  <w:pPr>
                    <w:jc w:val="center"/>
                  </w:pPr>
                  <w:r w:rsidRPr="00883EBB">
                    <w:t>Net</w:t>
                  </w:r>
                </w:p>
              </w:tc>
              <w:tc>
                <w:tcPr>
                  <w:tcW w:w="900" w:type="dxa"/>
                  <w:tcBorders>
                    <w:left w:val="nil"/>
                    <w:bottom w:val="nil"/>
                    <w:right w:val="nil"/>
                  </w:tcBorders>
                  <w:vAlign w:val="bottom"/>
                </w:tcPr>
                <w:p w14:paraId="1B3B3C0B" w14:textId="0EE8B4AB" w:rsidR="00C4522E" w:rsidRPr="00883EBB" w:rsidRDefault="00C4522E" w:rsidP="00C4522E">
                  <w:pPr>
                    <w:jc w:val="center"/>
                  </w:pPr>
                  <w:r w:rsidRPr="00883EBB">
                    <w:t>Gross</w:t>
                  </w:r>
                </w:p>
              </w:tc>
            </w:tr>
            <w:tr w:rsidR="00C4522E" w14:paraId="7845E86D" w14:textId="77777777" w:rsidTr="00D3689B">
              <w:tc>
                <w:tcPr>
                  <w:tcW w:w="498" w:type="dxa"/>
                  <w:vMerge w:val="restart"/>
                  <w:tcBorders>
                    <w:top w:val="nil"/>
                    <w:left w:val="nil"/>
                    <w:bottom w:val="nil"/>
                  </w:tcBorders>
                  <w:textDirection w:val="btLr"/>
                  <w:vAlign w:val="bottom"/>
                </w:tcPr>
                <w:p w14:paraId="75C328CE" w14:textId="5467BCA5" w:rsidR="00C4522E" w:rsidRPr="00883EBB" w:rsidRDefault="00C4522E" w:rsidP="00C4522E">
                  <w:pPr>
                    <w:jc w:val="center"/>
                    <w:rPr>
                      <w:b/>
                      <w:bCs/>
                    </w:rPr>
                  </w:pPr>
                  <w:r w:rsidRPr="00883EBB">
                    <w:rPr>
                      <w:b/>
                      <w:bCs/>
                    </w:rPr>
                    <w:t>Timeframe</w:t>
                  </w:r>
                </w:p>
              </w:tc>
              <w:tc>
                <w:tcPr>
                  <w:tcW w:w="1107" w:type="dxa"/>
                  <w:tcBorders>
                    <w:top w:val="nil"/>
                    <w:bottom w:val="nil"/>
                    <w:right w:val="nil"/>
                  </w:tcBorders>
                  <w:vAlign w:val="center"/>
                </w:tcPr>
                <w:p w14:paraId="5B015534" w14:textId="69DC5516" w:rsidR="00C4522E" w:rsidRDefault="00C4522E" w:rsidP="00C4522E">
                  <w:pPr>
                    <w:jc w:val="center"/>
                  </w:pPr>
                  <w:r>
                    <w:t>First Year</w:t>
                  </w:r>
                </w:p>
              </w:tc>
              <w:tc>
                <w:tcPr>
                  <w:tcW w:w="900" w:type="dxa"/>
                  <w:tcBorders>
                    <w:top w:val="nil"/>
                    <w:left w:val="nil"/>
                    <w:bottom w:val="nil"/>
                    <w:right w:val="nil"/>
                  </w:tcBorders>
                  <w:vAlign w:val="center"/>
                </w:tcPr>
                <w:p w14:paraId="5D2E9B28" w14:textId="140C0B01" w:rsidR="00C4522E" w:rsidRPr="00CF1062" w:rsidRDefault="00552F8C" w:rsidP="00C4522E">
                  <w:pPr>
                    <w:jc w:val="center"/>
                    <w:rPr>
                      <w:sz w:val="48"/>
                      <w:szCs w:val="48"/>
                    </w:rPr>
                  </w:pPr>
                  <w:hyperlink w:anchor="_Net_First_Year" w:history="1">
                    <w:r w:rsidRPr="00CF1062">
                      <w:rPr>
                        <w:rStyle w:val="Hyperlink"/>
                        <w:sz w:val="48"/>
                        <w:szCs w:val="48"/>
                        <w:u w:val="none"/>
                      </w:rPr>
                      <w:t>1</w:t>
                    </w:r>
                  </w:hyperlink>
                </w:p>
              </w:tc>
              <w:tc>
                <w:tcPr>
                  <w:tcW w:w="900" w:type="dxa"/>
                  <w:tcBorders>
                    <w:top w:val="nil"/>
                    <w:left w:val="nil"/>
                    <w:bottom w:val="nil"/>
                    <w:right w:val="nil"/>
                  </w:tcBorders>
                  <w:vAlign w:val="center"/>
                </w:tcPr>
                <w:p w14:paraId="6003439E" w14:textId="3BAA1B9F" w:rsidR="00C4522E" w:rsidRPr="00CF1062" w:rsidRDefault="00552F8C" w:rsidP="00C4522E">
                  <w:pPr>
                    <w:jc w:val="center"/>
                    <w:rPr>
                      <w:sz w:val="48"/>
                      <w:szCs w:val="48"/>
                    </w:rPr>
                  </w:pPr>
                  <w:hyperlink w:anchor="_Gross_First_Year" w:history="1">
                    <w:r w:rsidRPr="00CF1062">
                      <w:rPr>
                        <w:rStyle w:val="Hyperlink"/>
                        <w:sz w:val="48"/>
                        <w:szCs w:val="48"/>
                        <w:u w:val="none"/>
                      </w:rPr>
                      <w:t>3</w:t>
                    </w:r>
                  </w:hyperlink>
                </w:p>
              </w:tc>
            </w:tr>
            <w:tr w:rsidR="00C4522E" w14:paraId="0CA76AE7" w14:textId="77777777" w:rsidTr="00D3689B">
              <w:tc>
                <w:tcPr>
                  <w:tcW w:w="498" w:type="dxa"/>
                  <w:vMerge/>
                  <w:tcBorders>
                    <w:top w:val="nil"/>
                    <w:left w:val="nil"/>
                    <w:bottom w:val="nil"/>
                  </w:tcBorders>
                </w:tcPr>
                <w:p w14:paraId="2CF28A3F" w14:textId="77777777" w:rsidR="00C4522E" w:rsidRDefault="00C4522E" w:rsidP="00C4522E">
                  <w:pPr>
                    <w:jc w:val="center"/>
                  </w:pPr>
                </w:p>
              </w:tc>
              <w:tc>
                <w:tcPr>
                  <w:tcW w:w="1107" w:type="dxa"/>
                  <w:tcBorders>
                    <w:top w:val="nil"/>
                    <w:bottom w:val="nil"/>
                    <w:right w:val="nil"/>
                  </w:tcBorders>
                  <w:vAlign w:val="center"/>
                </w:tcPr>
                <w:p w14:paraId="6FAE550C" w14:textId="4100206C" w:rsidR="00C4522E" w:rsidRDefault="00C4522E" w:rsidP="00C4522E">
                  <w:pPr>
                    <w:jc w:val="center"/>
                  </w:pPr>
                  <w:r>
                    <w:t>Lifecycle</w:t>
                  </w:r>
                </w:p>
              </w:tc>
              <w:tc>
                <w:tcPr>
                  <w:tcW w:w="900" w:type="dxa"/>
                  <w:tcBorders>
                    <w:top w:val="nil"/>
                    <w:left w:val="nil"/>
                    <w:bottom w:val="nil"/>
                    <w:right w:val="nil"/>
                  </w:tcBorders>
                  <w:vAlign w:val="center"/>
                </w:tcPr>
                <w:p w14:paraId="0E01961D" w14:textId="7CF464B1" w:rsidR="00C4522E" w:rsidRPr="00CF1062" w:rsidRDefault="00CF1062" w:rsidP="00C4522E">
                  <w:pPr>
                    <w:jc w:val="center"/>
                    <w:rPr>
                      <w:sz w:val="48"/>
                      <w:szCs w:val="48"/>
                    </w:rPr>
                  </w:pPr>
                  <w:hyperlink w:anchor="_Net_Lifecycle_Electric" w:history="1">
                    <w:r w:rsidR="00552F8C" w:rsidRPr="00CF1062">
                      <w:rPr>
                        <w:rStyle w:val="Hyperlink"/>
                        <w:sz w:val="48"/>
                        <w:szCs w:val="48"/>
                        <w:u w:val="none"/>
                      </w:rPr>
                      <w:t>5</w:t>
                    </w:r>
                  </w:hyperlink>
                </w:p>
              </w:tc>
              <w:tc>
                <w:tcPr>
                  <w:tcW w:w="900" w:type="dxa"/>
                  <w:tcBorders>
                    <w:top w:val="nil"/>
                    <w:left w:val="nil"/>
                    <w:bottom w:val="nil"/>
                    <w:right w:val="nil"/>
                  </w:tcBorders>
                  <w:vAlign w:val="center"/>
                </w:tcPr>
                <w:p w14:paraId="6DE8879C" w14:textId="7E4C652A" w:rsidR="00C4522E" w:rsidRPr="00CF1062" w:rsidRDefault="00CF1062" w:rsidP="00C4522E">
                  <w:pPr>
                    <w:jc w:val="center"/>
                    <w:rPr>
                      <w:sz w:val="48"/>
                      <w:szCs w:val="48"/>
                    </w:rPr>
                  </w:pPr>
                  <w:hyperlink w:anchor="_Gross_Lifecycle_Electric" w:history="1">
                    <w:r w:rsidR="00552F8C" w:rsidRPr="00CF1062">
                      <w:rPr>
                        <w:rStyle w:val="Hyperlink"/>
                        <w:sz w:val="48"/>
                        <w:szCs w:val="48"/>
                        <w:u w:val="none"/>
                      </w:rPr>
                      <w:t>7</w:t>
                    </w:r>
                  </w:hyperlink>
                </w:p>
              </w:tc>
            </w:tr>
          </w:tbl>
          <w:p w14:paraId="531E5F33" w14:textId="77777777" w:rsidR="00C4522E" w:rsidRDefault="00C4522E" w:rsidP="00C4522E">
            <w:pPr>
              <w:jc w:val="center"/>
            </w:pPr>
          </w:p>
        </w:tc>
        <w:tc>
          <w:tcPr>
            <w:tcW w:w="3960" w:type="dxa"/>
            <w:vAlign w:val="center"/>
          </w:tcPr>
          <w:tbl>
            <w:tblPr>
              <w:tblStyle w:val="TableGrid"/>
              <w:tblW w:w="0" w:type="auto"/>
              <w:tblLook w:val="04A0" w:firstRow="1" w:lastRow="0" w:firstColumn="1" w:lastColumn="0" w:noHBand="0" w:noVBand="1"/>
            </w:tblPr>
            <w:tblGrid>
              <w:gridCol w:w="498"/>
              <w:gridCol w:w="1107"/>
              <w:gridCol w:w="900"/>
              <w:gridCol w:w="900"/>
            </w:tblGrid>
            <w:tr w:rsidR="00C4522E" w14:paraId="7D531962" w14:textId="77777777" w:rsidTr="00D3689B">
              <w:tc>
                <w:tcPr>
                  <w:tcW w:w="498" w:type="dxa"/>
                  <w:tcBorders>
                    <w:top w:val="nil"/>
                    <w:left w:val="nil"/>
                    <w:bottom w:val="nil"/>
                    <w:right w:val="nil"/>
                  </w:tcBorders>
                </w:tcPr>
                <w:p w14:paraId="425F9546" w14:textId="77777777" w:rsidR="00C4522E" w:rsidRDefault="00C4522E" w:rsidP="00C4522E">
                  <w:pPr>
                    <w:jc w:val="center"/>
                  </w:pPr>
                </w:p>
              </w:tc>
              <w:tc>
                <w:tcPr>
                  <w:tcW w:w="1107" w:type="dxa"/>
                  <w:tcBorders>
                    <w:top w:val="nil"/>
                    <w:left w:val="nil"/>
                    <w:bottom w:val="nil"/>
                    <w:right w:val="nil"/>
                  </w:tcBorders>
                </w:tcPr>
                <w:p w14:paraId="67EE866E" w14:textId="77777777" w:rsidR="00C4522E" w:rsidRDefault="00C4522E" w:rsidP="00C4522E">
                  <w:pPr>
                    <w:jc w:val="center"/>
                  </w:pPr>
                </w:p>
              </w:tc>
              <w:tc>
                <w:tcPr>
                  <w:tcW w:w="1800" w:type="dxa"/>
                  <w:gridSpan w:val="2"/>
                  <w:tcBorders>
                    <w:top w:val="nil"/>
                    <w:left w:val="nil"/>
                    <w:bottom w:val="single" w:sz="4" w:space="0" w:color="auto"/>
                    <w:right w:val="nil"/>
                  </w:tcBorders>
                  <w:vAlign w:val="bottom"/>
                </w:tcPr>
                <w:p w14:paraId="44A8084C" w14:textId="77777777" w:rsidR="00C4522E" w:rsidRPr="00883EBB" w:rsidRDefault="00C4522E" w:rsidP="00C4522E">
                  <w:pPr>
                    <w:jc w:val="center"/>
                    <w:rPr>
                      <w:b/>
                      <w:bCs/>
                    </w:rPr>
                  </w:pPr>
                  <w:r w:rsidRPr="00883EBB">
                    <w:rPr>
                      <w:b/>
                      <w:bCs/>
                    </w:rPr>
                    <w:t>Savings Type</w:t>
                  </w:r>
                </w:p>
              </w:tc>
            </w:tr>
            <w:tr w:rsidR="00C4522E" w14:paraId="03459A93" w14:textId="77777777" w:rsidTr="00D3689B">
              <w:tc>
                <w:tcPr>
                  <w:tcW w:w="498" w:type="dxa"/>
                  <w:tcBorders>
                    <w:top w:val="nil"/>
                    <w:left w:val="nil"/>
                    <w:bottom w:val="nil"/>
                    <w:right w:val="nil"/>
                  </w:tcBorders>
                </w:tcPr>
                <w:p w14:paraId="7801B344" w14:textId="77777777" w:rsidR="00C4522E" w:rsidRDefault="00C4522E" w:rsidP="00C4522E">
                  <w:pPr>
                    <w:jc w:val="center"/>
                  </w:pPr>
                </w:p>
              </w:tc>
              <w:tc>
                <w:tcPr>
                  <w:tcW w:w="1107" w:type="dxa"/>
                  <w:tcBorders>
                    <w:top w:val="nil"/>
                    <w:left w:val="nil"/>
                    <w:bottom w:val="nil"/>
                    <w:right w:val="nil"/>
                  </w:tcBorders>
                </w:tcPr>
                <w:p w14:paraId="744742D8" w14:textId="77777777" w:rsidR="00C4522E" w:rsidRDefault="00C4522E" w:rsidP="00C4522E">
                  <w:pPr>
                    <w:jc w:val="center"/>
                  </w:pPr>
                </w:p>
              </w:tc>
              <w:tc>
                <w:tcPr>
                  <w:tcW w:w="900" w:type="dxa"/>
                  <w:tcBorders>
                    <w:left w:val="nil"/>
                    <w:bottom w:val="nil"/>
                    <w:right w:val="nil"/>
                  </w:tcBorders>
                  <w:vAlign w:val="bottom"/>
                </w:tcPr>
                <w:p w14:paraId="6CDC3E25" w14:textId="77777777" w:rsidR="00C4522E" w:rsidRDefault="00C4522E" w:rsidP="00C4522E">
                  <w:pPr>
                    <w:jc w:val="center"/>
                  </w:pPr>
                  <w:r>
                    <w:t>Net</w:t>
                  </w:r>
                </w:p>
              </w:tc>
              <w:tc>
                <w:tcPr>
                  <w:tcW w:w="900" w:type="dxa"/>
                  <w:tcBorders>
                    <w:left w:val="nil"/>
                    <w:bottom w:val="nil"/>
                    <w:right w:val="nil"/>
                  </w:tcBorders>
                  <w:vAlign w:val="bottom"/>
                </w:tcPr>
                <w:p w14:paraId="5848FE03" w14:textId="77777777" w:rsidR="00C4522E" w:rsidRDefault="00C4522E" w:rsidP="00C4522E">
                  <w:pPr>
                    <w:jc w:val="center"/>
                  </w:pPr>
                  <w:r>
                    <w:t>Gross</w:t>
                  </w:r>
                </w:p>
              </w:tc>
            </w:tr>
            <w:tr w:rsidR="00C4522E" w14:paraId="5FA2481A" w14:textId="77777777" w:rsidTr="00D3689B">
              <w:tc>
                <w:tcPr>
                  <w:tcW w:w="498" w:type="dxa"/>
                  <w:vMerge w:val="restart"/>
                  <w:tcBorders>
                    <w:top w:val="nil"/>
                    <w:left w:val="nil"/>
                    <w:bottom w:val="nil"/>
                  </w:tcBorders>
                  <w:textDirection w:val="btLr"/>
                  <w:vAlign w:val="bottom"/>
                </w:tcPr>
                <w:p w14:paraId="2047B8F2" w14:textId="77777777" w:rsidR="00C4522E" w:rsidRDefault="00C4522E" w:rsidP="00C4522E">
                  <w:pPr>
                    <w:jc w:val="center"/>
                  </w:pPr>
                  <w:r>
                    <w:t>Timeframe</w:t>
                  </w:r>
                </w:p>
              </w:tc>
              <w:tc>
                <w:tcPr>
                  <w:tcW w:w="1107" w:type="dxa"/>
                  <w:tcBorders>
                    <w:top w:val="nil"/>
                    <w:bottom w:val="nil"/>
                    <w:right w:val="nil"/>
                  </w:tcBorders>
                  <w:vAlign w:val="center"/>
                </w:tcPr>
                <w:p w14:paraId="7A8ED096" w14:textId="77777777" w:rsidR="00C4522E" w:rsidRDefault="00C4522E" w:rsidP="00C4522E">
                  <w:pPr>
                    <w:jc w:val="center"/>
                  </w:pPr>
                  <w:r>
                    <w:t>First Year</w:t>
                  </w:r>
                </w:p>
              </w:tc>
              <w:tc>
                <w:tcPr>
                  <w:tcW w:w="900" w:type="dxa"/>
                  <w:tcBorders>
                    <w:top w:val="nil"/>
                    <w:left w:val="nil"/>
                    <w:bottom w:val="nil"/>
                    <w:right w:val="nil"/>
                  </w:tcBorders>
                  <w:vAlign w:val="center"/>
                </w:tcPr>
                <w:p w14:paraId="53E515EF" w14:textId="4B050C68" w:rsidR="00C4522E" w:rsidRPr="00CF1062" w:rsidRDefault="00552F8C" w:rsidP="00C4522E">
                  <w:pPr>
                    <w:jc w:val="center"/>
                    <w:rPr>
                      <w:sz w:val="48"/>
                      <w:szCs w:val="48"/>
                    </w:rPr>
                  </w:pPr>
                  <w:hyperlink w:anchor="_Net_First_Year_1" w:history="1">
                    <w:r w:rsidRPr="00CF1062">
                      <w:rPr>
                        <w:rStyle w:val="Hyperlink"/>
                        <w:sz w:val="48"/>
                        <w:szCs w:val="48"/>
                        <w:u w:val="none"/>
                      </w:rPr>
                      <w:t>2</w:t>
                    </w:r>
                  </w:hyperlink>
                </w:p>
              </w:tc>
              <w:tc>
                <w:tcPr>
                  <w:tcW w:w="900" w:type="dxa"/>
                  <w:tcBorders>
                    <w:top w:val="nil"/>
                    <w:left w:val="nil"/>
                    <w:bottom w:val="nil"/>
                    <w:right w:val="nil"/>
                  </w:tcBorders>
                  <w:vAlign w:val="center"/>
                </w:tcPr>
                <w:p w14:paraId="16874D04" w14:textId="729BAAF1" w:rsidR="00C4522E" w:rsidRPr="00CF1062" w:rsidRDefault="00552F8C" w:rsidP="00C4522E">
                  <w:pPr>
                    <w:jc w:val="center"/>
                    <w:rPr>
                      <w:sz w:val="48"/>
                      <w:szCs w:val="48"/>
                    </w:rPr>
                  </w:pPr>
                  <w:hyperlink w:anchor="_Gross_First_Year_1" w:history="1">
                    <w:r w:rsidRPr="00CF1062">
                      <w:rPr>
                        <w:rStyle w:val="Hyperlink"/>
                        <w:sz w:val="48"/>
                        <w:szCs w:val="48"/>
                        <w:u w:val="none"/>
                      </w:rPr>
                      <w:t>4</w:t>
                    </w:r>
                  </w:hyperlink>
                </w:p>
              </w:tc>
            </w:tr>
            <w:tr w:rsidR="00C4522E" w14:paraId="17D7E269" w14:textId="77777777" w:rsidTr="00D3689B">
              <w:tc>
                <w:tcPr>
                  <w:tcW w:w="498" w:type="dxa"/>
                  <w:vMerge/>
                  <w:tcBorders>
                    <w:top w:val="nil"/>
                    <w:left w:val="nil"/>
                    <w:bottom w:val="nil"/>
                  </w:tcBorders>
                </w:tcPr>
                <w:p w14:paraId="6FB4E961" w14:textId="77777777" w:rsidR="00C4522E" w:rsidRDefault="00C4522E" w:rsidP="00C4522E">
                  <w:pPr>
                    <w:jc w:val="center"/>
                  </w:pPr>
                </w:p>
              </w:tc>
              <w:tc>
                <w:tcPr>
                  <w:tcW w:w="1107" w:type="dxa"/>
                  <w:tcBorders>
                    <w:top w:val="nil"/>
                    <w:bottom w:val="nil"/>
                    <w:right w:val="nil"/>
                  </w:tcBorders>
                  <w:vAlign w:val="center"/>
                </w:tcPr>
                <w:p w14:paraId="0A6A2993" w14:textId="77777777" w:rsidR="00C4522E" w:rsidRDefault="00C4522E" w:rsidP="00C4522E">
                  <w:pPr>
                    <w:jc w:val="center"/>
                  </w:pPr>
                  <w:r>
                    <w:t>Lifecycle</w:t>
                  </w:r>
                </w:p>
              </w:tc>
              <w:tc>
                <w:tcPr>
                  <w:tcW w:w="900" w:type="dxa"/>
                  <w:tcBorders>
                    <w:top w:val="nil"/>
                    <w:left w:val="nil"/>
                    <w:bottom w:val="nil"/>
                    <w:right w:val="nil"/>
                  </w:tcBorders>
                  <w:vAlign w:val="center"/>
                </w:tcPr>
                <w:p w14:paraId="25C99F48" w14:textId="512D6730" w:rsidR="00C4522E" w:rsidRPr="00CF1062" w:rsidRDefault="00CF1062" w:rsidP="00C4522E">
                  <w:pPr>
                    <w:jc w:val="center"/>
                    <w:rPr>
                      <w:sz w:val="48"/>
                      <w:szCs w:val="48"/>
                    </w:rPr>
                  </w:pPr>
                  <w:hyperlink w:anchor="_Net_Lifecycle_Natural" w:history="1">
                    <w:r w:rsidR="00552F8C" w:rsidRPr="00CF1062">
                      <w:rPr>
                        <w:rStyle w:val="Hyperlink"/>
                        <w:sz w:val="48"/>
                        <w:szCs w:val="48"/>
                        <w:u w:val="none"/>
                      </w:rPr>
                      <w:t>6</w:t>
                    </w:r>
                  </w:hyperlink>
                </w:p>
              </w:tc>
              <w:tc>
                <w:tcPr>
                  <w:tcW w:w="900" w:type="dxa"/>
                  <w:tcBorders>
                    <w:top w:val="nil"/>
                    <w:left w:val="nil"/>
                    <w:bottom w:val="nil"/>
                    <w:right w:val="nil"/>
                  </w:tcBorders>
                  <w:vAlign w:val="center"/>
                </w:tcPr>
                <w:p w14:paraId="42F04D72" w14:textId="5CCE5D5B" w:rsidR="00C4522E" w:rsidRPr="00CF1062" w:rsidRDefault="00CF1062" w:rsidP="00C4522E">
                  <w:pPr>
                    <w:jc w:val="center"/>
                    <w:rPr>
                      <w:sz w:val="48"/>
                      <w:szCs w:val="48"/>
                    </w:rPr>
                  </w:pPr>
                  <w:hyperlink w:anchor="_Gross_Lifecycle_Natural" w:history="1">
                    <w:r w:rsidR="00552F8C" w:rsidRPr="00CF1062">
                      <w:rPr>
                        <w:rStyle w:val="Hyperlink"/>
                        <w:sz w:val="48"/>
                        <w:szCs w:val="48"/>
                        <w:u w:val="none"/>
                      </w:rPr>
                      <w:t>8</w:t>
                    </w:r>
                  </w:hyperlink>
                </w:p>
              </w:tc>
            </w:tr>
          </w:tbl>
          <w:p w14:paraId="4F370E54" w14:textId="77777777" w:rsidR="00C4522E" w:rsidRDefault="00C4522E" w:rsidP="00C4522E">
            <w:pPr>
              <w:jc w:val="center"/>
            </w:pPr>
          </w:p>
        </w:tc>
      </w:tr>
      <w:tr w:rsidR="00C4522E" w14:paraId="514877D7" w14:textId="77777777" w:rsidTr="00D3689B">
        <w:trPr>
          <w:trHeight w:val="2160"/>
        </w:trPr>
        <w:tc>
          <w:tcPr>
            <w:tcW w:w="360" w:type="dxa"/>
            <w:vMerge/>
            <w:tcBorders>
              <w:top w:val="nil"/>
              <w:left w:val="nil"/>
              <w:bottom w:val="nil"/>
              <w:right w:val="single" w:sz="4" w:space="0" w:color="auto"/>
            </w:tcBorders>
            <w:tcMar>
              <w:top w:w="29" w:type="dxa"/>
              <w:left w:w="29" w:type="dxa"/>
              <w:bottom w:w="29" w:type="dxa"/>
              <w:right w:w="29" w:type="dxa"/>
            </w:tcMar>
          </w:tcPr>
          <w:p w14:paraId="7AE82F41" w14:textId="77777777" w:rsidR="00C4522E" w:rsidRDefault="00C4522E" w:rsidP="00C4522E"/>
        </w:tc>
        <w:tc>
          <w:tcPr>
            <w:tcW w:w="720" w:type="dxa"/>
            <w:tcBorders>
              <w:top w:val="nil"/>
              <w:left w:val="single" w:sz="4" w:space="0" w:color="auto"/>
              <w:bottom w:val="nil"/>
            </w:tcBorders>
            <w:tcMar>
              <w:top w:w="29" w:type="dxa"/>
              <w:left w:w="29" w:type="dxa"/>
              <w:bottom w:w="29" w:type="dxa"/>
              <w:right w:w="29" w:type="dxa"/>
            </w:tcMar>
            <w:vAlign w:val="center"/>
          </w:tcPr>
          <w:p w14:paraId="04BE94C4" w14:textId="620D8298" w:rsidR="00C4522E" w:rsidRDefault="00C4522E" w:rsidP="00D3689B">
            <w:pPr>
              <w:jc w:val="center"/>
            </w:pPr>
            <w:r>
              <w:t>NO</w:t>
            </w:r>
            <w:r w:rsidRPr="0098102A">
              <w:rPr>
                <w:vertAlign w:val="subscript"/>
              </w:rPr>
              <w:t>x</w:t>
            </w:r>
          </w:p>
        </w:tc>
        <w:tc>
          <w:tcPr>
            <w:tcW w:w="3960" w:type="dxa"/>
            <w:vAlign w:val="center"/>
          </w:tcPr>
          <w:tbl>
            <w:tblPr>
              <w:tblStyle w:val="TableGrid"/>
              <w:tblW w:w="0" w:type="auto"/>
              <w:tblLook w:val="04A0" w:firstRow="1" w:lastRow="0" w:firstColumn="1" w:lastColumn="0" w:noHBand="0" w:noVBand="1"/>
            </w:tblPr>
            <w:tblGrid>
              <w:gridCol w:w="498"/>
              <w:gridCol w:w="1107"/>
              <w:gridCol w:w="900"/>
              <w:gridCol w:w="900"/>
            </w:tblGrid>
            <w:tr w:rsidR="00C4522E" w:rsidRPr="002931A9" w14:paraId="462874BE" w14:textId="77777777" w:rsidTr="00D3689B">
              <w:tc>
                <w:tcPr>
                  <w:tcW w:w="498" w:type="dxa"/>
                  <w:tcBorders>
                    <w:top w:val="nil"/>
                    <w:left w:val="nil"/>
                    <w:bottom w:val="nil"/>
                    <w:right w:val="nil"/>
                  </w:tcBorders>
                </w:tcPr>
                <w:p w14:paraId="7E2883E8" w14:textId="77777777" w:rsidR="00C4522E" w:rsidRPr="002931A9" w:rsidRDefault="00C4522E" w:rsidP="00C4522E">
                  <w:pPr>
                    <w:jc w:val="center"/>
                  </w:pPr>
                </w:p>
              </w:tc>
              <w:tc>
                <w:tcPr>
                  <w:tcW w:w="1107" w:type="dxa"/>
                  <w:tcBorders>
                    <w:top w:val="nil"/>
                    <w:left w:val="nil"/>
                    <w:bottom w:val="nil"/>
                    <w:right w:val="nil"/>
                  </w:tcBorders>
                </w:tcPr>
                <w:p w14:paraId="73595BC8" w14:textId="77777777" w:rsidR="00C4522E" w:rsidRPr="002931A9" w:rsidRDefault="00C4522E" w:rsidP="00C4522E">
                  <w:pPr>
                    <w:jc w:val="center"/>
                  </w:pPr>
                </w:p>
              </w:tc>
              <w:tc>
                <w:tcPr>
                  <w:tcW w:w="1800" w:type="dxa"/>
                  <w:gridSpan w:val="2"/>
                  <w:tcBorders>
                    <w:top w:val="nil"/>
                    <w:left w:val="nil"/>
                    <w:bottom w:val="single" w:sz="4" w:space="0" w:color="auto"/>
                    <w:right w:val="nil"/>
                  </w:tcBorders>
                  <w:vAlign w:val="bottom"/>
                </w:tcPr>
                <w:p w14:paraId="4622F547" w14:textId="77777777" w:rsidR="00C4522E" w:rsidRPr="00883EBB" w:rsidRDefault="00C4522E" w:rsidP="00C4522E">
                  <w:pPr>
                    <w:jc w:val="center"/>
                    <w:rPr>
                      <w:b/>
                      <w:bCs/>
                    </w:rPr>
                  </w:pPr>
                  <w:r w:rsidRPr="00883EBB">
                    <w:rPr>
                      <w:b/>
                      <w:bCs/>
                    </w:rPr>
                    <w:t>Savings Type</w:t>
                  </w:r>
                </w:p>
              </w:tc>
            </w:tr>
            <w:tr w:rsidR="00C4522E" w:rsidRPr="002931A9" w14:paraId="6D39A954" w14:textId="77777777" w:rsidTr="00D3689B">
              <w:tc>
                <w:tcPr>
                  <w:tcW w:w="498" w:type="dxa"/>
                  <w:tcBorders>
                    <w:top w:val="nil"/>
                    <w:left w:val="nil"/>
                    <w:bottom w:val="nil"/>
                    <w:right w:val="nil"/>
                  </w:tcBorders>
                </w:tcPr>
                <w:p w14:paraId="19136F99" w14:textId="77777777" w:rsidR="00C4522E" w:rsidRPr="002931A9" w:rsidRDefault="00C4522E" w:rsidP="00C4522E">
                  <w:pPr>
                    <w:jc w:val="center"/>
                  </w:pPr>
                </w:p>
              </w:tc>
              <w:tc>
                <w:tcPr>
                  <w:tcW w:w="1107" w:type="dxa"/>
                  <w:tcBorders>
                    <w:top w:val="nil"/>
                    <w:left w:val="nil"/>
                    <w:bottom w:val="nil"/>
                    <w:right w:val="nil"/>
                  </w:tcBorders>
                </w:tcPr>
                <w:p w14:paraId="19ACFA81" w14:textId="77777777" w:rsidR="00C4522E" w:rsidRPr="002931A9" w:rsidRDefault="00C4522E" w:rsidP="00C4522E">
                  <w:pPr>
                    <w:jc w:val="center"/>
                  </w:pPr>
                </w:p>
              </w:tc>
              <w:tc>
                <w:tcPr>
                  <w:tcW w:w="900" w:type="dxa"/>
                  <w:tcBorders>
                    <w:left w:val="nil"/>
                    <w:bottom w:val="nil"/>
                    <w:right w:val="nil"/>
                  </w:tcBorders>
                  <w:vAlign w:val="bottom"/>
                </w:tcPr>
                <w:p w14:paraId="1C12EA00" w14:textId="77777777" w:rsidR="00C4522E" w:rsidRPr="002931A9" w:rsidRDefault="00C4522E" w:rsidP="00C4522E">
                  <w:pPr>
                    <w:jc w:val="center"/>
                  </w:pPr>
                  <w:r w:rsidRPr="002931A9">
                    <w:t>Net</w:t>
                  </w:r>
                </w:p>
              </w:tc>
              <w:tc>
                <w:tcPr>
                  <w:tcW w:w="900" w:type="dxa"/>
                  <w:tcBorders>
                    <w:left w:val="nil"/>
                    <w:bottom w:val="nil"/>
                    <w:right w:val="nil"/>
                  </w:tcBorders>
                  <w:vAlign w:val="bottom"/>
                </w:tcPr>
                <w:p w14:paraId="1CA7D240" w14:textId="77777777" w:rsidR="00C4522E" w:rsidRPr="002931A9" w:rsidRDefault="00C4522E" w:rsidP="00C4522E">
                  <w:pPr>
                    <w:jc w:val="center"/>
                  </w:pPr>
                  <w:r w:rsidRPr="002931A9">
                    <w:t>Gross</w:t>
                  </w:r>
                </w:p>
              </w:tc>
            </w:tr>
            <w:tr w:rsidR="00C4522E" w:rsidRPr="002931A9" w14:paraId="5E756CAC" w14:textId="77777777" w:rsidTr="00D3689B">
              <w:tc>
                <w:tcPr>
                  <w:tcW w:w="498" w:type="dxa"/>
                  <w:vMerge w:val="restart"/>
                  <w:tcBorders>
                    <w:top w:val="nil"/>
                    <w:left w:val="nil"/>
                    <w:bottom w:val="nil"/>
                  </w:tcBorders>
                  <w:textDirection w:val="btLr"/>
                  <w:vAlign w:val="bottom"/>
                </w:tcPr>
                <w:p w14:paraId="5821F1AD" w14:textId="77777777" w:rsidR="00C4522E" w:rsidRPr="00883EBB" w:rsidRDefault="00C4522E" w:rsidP="00C4522E">
                  <w:pPr>
                    <w:jc w:val="center"/>
                    <w:rPr>
                      <w:b/>
                      <w:bCs/>
                    </w:rPr>
                  </w:pPr>
                  <w:r w:rsidRPr="00883EBB">
                    <w:rPr>
                      <w:b/>
                      <w:bCs/>
                    </w:rPr>
                    <w:t>Timeframe</w:t>
                  </w:r>
                </w:p>
              </w:tc>
              <w:tc>
                <w:tcPr>
                  <w:tcW w:w="1107" w:type="dxa"/>
                  <w:tcBorders>
                    <w:top w:val="nil"/>
                    <w:bottom w:val="nil"/>
                    <w:right w:val="nil"/>
                  </w:tcBorders>
                  <w:vAlign w:val="center"/>
                </w:tcPr>
                <w:p w14:paraId="294164EC" w14:textId="77777777" w:rsidR="00C4522E" w:rsidRPr="002931A9" w:rsidRDefault="00C4522E" w:rsidP="00C4522E">
                  <w:pPr>
                    <w:jc w:val="center"/>
                  </w:pPr>
                  <w:r w:rsidRPr="002931A9">
                    <w:t>First Year</w:t>
                  </w:r>
                </w:p>
              </w:tc>
              <w:tc>
                <w:tcPr>
                  <w:tcW w:w="900" w:type="dxa"/>
                  <w:tcBorders>
                    <w:top w:val="nil"/>
                    <w:left w:val="nil"/>
                    <w:bottom w:val="nil"/>
                    <w:right w:val="nil"/>
                  </w:tcBorders>
                  <w:vAlign w:val="center"/>
                </w:tcPr>
                <w:p w14:paraId="4CC97ADD" w14:textId="4D8844E2" w:rsidR="00C4522E" w:rsidRPr="00CF1062" w:rsidRDefault="00CF1062" w:rsidP="00C4522E">
                  <w:pPr>
                    <w:jc w:val="center"/>
                    <w:rPr>
                      <w:sz w:val="48"/>
                      <w:szCs w:val="48"/>
                    </w:rPr>
                  </w:pPr>
                  <w:hyperlink w:anchor="_Net_First_Year_3" w:history="1">
                    <w:r w:rsidRPr="00CF1062">
                      <w:rPr>
                        <w:rStyle w:val="Hyperlink"/>
                        <w:sz w:val="48"/>
                        <w:szCs w:val="48"/>
                        <w:u w:val="none"/>
                      </w:rPr>
                      <w:t>9</w:t>
                    </w:r>
                  </w:hyperlink>
                </w:p>
              </w:tc>
              <w:tc>
                <w:tcPr>
                  <w:tcW w:w="900" w:type="dxa"/>
                  <w:tcBorders>
                    <w:top w:val="nil"/>
                    <w:left w:val="nil"/>
                    <w:bottom w:val="nil"/>
                    <w:right w:val="nil"/>
                  </w:tcBorders>
                  <w:vAlign w:val="center"/>
                </w:tcPr>
                <w:p w14:paraId="687B54E9" w14:textId="3B6EA360" w:rsidR="00C4522E" w:rsidRPr="00CF1062" w:rsidRDefault="00CF1062" w:rsidP="00C4522E">
                  <w:pPr>
                    <w:jc w:val="center"/>
                    <w:rPr>
                      <w:sz w:val="48"/>
                      <w:szCs w:val="48"/>
                    </w:rPr>
                  </w:pPr>
                  <w:hyperlink w:anchor="_Gross_First_Year_2" w:history="1">
                    <w:r w:rsidR="00552F8C" w:rsidRPr="00CF1062">
                      <w:rPr>
                        <w:rStyle w:val="Hyperlink"/>
                        <w:sz w:val="48"/>
                        <w:szCs w:val="48"/>
                        <w:u w:val="none"/>
                      </w:rPr>
                      <w:t>11</w:t>
                    </w:r>
                  </w:hyperlink>
                </w:p>
              </w:tc>
            </w:tr>
            <w:tr w:rsidR="00C4522E" w:rsidRPr="002931A9" w14:paraId="4A635B9D" w14:textId="77777777" w:rsidTr="00D3689B">
              <w:tc>
                <w:tcPr>
                  <w:tcW w:w="498" w:type="dxa"/>
                  <w:vMerge/>
                  <w:tcBorders>
                    <w:top w:val="nil"/>
                    <w:left w:val="nil"/>
                    <w:bottom w:val="nil"/>
                  </w:tcBorders>
                </w:tcPr>
                <w:p w14:paraId="59D6F041" w14:textId="77777777" w:rsidR="00C4522E" w:rsidRPr="002931A9" w:rsidRDefault="00C4522E" w:rsidP="00C4522E">
                  <w:pPr>
                    <w:jc w:val="center"/>
                  </w:pPr>
                </w:p>
              </w:tc>
              <w:tc>
                <w:tcPr>
                  <w:tcW w:w="1107" w:type="dxa"/>
                  <w:tcBorders>
                    <w:top w:val="nil"/>
                    <w:bottom w:val="nil"/>
                    <w:right w:val="nil"/>
                  </w:tcBorders>
                  <w:vAlign w:val="center"/>
                </w:tcPr>
                <w:p w14:paraId="25CBCB6D" w14:textId="77777777" w:rsidR="00C4522E" w:rsidRPr="002931A9" w:rsidRDefault="00C4522E" w:rsidP="00C4522E">
                  <w:pPr>
                    <w:jc w:val="center"/>
                  </w:pPr>
                  <w:r w:rsidRPr="002931A9">
                    <w:t>Lifecycle</w:t>
                  </w:r>
                </w:p>
              </w:tc>
              <w:tc>
                <w:tcPr>
                  <w:tcW w:w="900" w:type="dxa"/>
                  <w:tcBorders>
                    <w:top w:val="nil"/>
                    <w:left w:val="nil"/>
                    <w:bottom w:val="nil"/>
                    <w:right w:val="nil"/>
                  </w:tcBorders>
                  <w:vAlign w:val="center"/>
                </w:tcPr>
                <w:p w14:paraId="1647D7F6" w14:textId="25674349" w:rsidR="00C4522E" w:rsidRPr="00CF1062" w:rsidRDefault="00CF1062" w:rsidP="00C4522E">
                  <w:pPr>
                    <w:jc w:val="center"/>
                    <w:rPr>
                      <w:sz w:val="48"/>
                      <w:szCs w:val="48"/>
                    </w:rPr>
                  </w:pPr>
                  <w:hyperlink w:anchor="_Net_Lifecycle_Electric_1" w:history="1">
                    <w:r w:rsidR="00552F8C" w:rsidRPr="00CF1062">
                      <w:rPr>
                        <w:rStyle w:val="Hyperlink"/>
                        <w:sz w:val="48"/>
                        <w:szCs w:val="48"/>
                        <w:u w:val="none"/>
                      </w:rPr>
                      <w:t>13</w:t>
                    </w:r>
                  </w:hyperlink>
                </w:p>
              </w:tc>
              <w:tc>
                <w:tcPr>
                  <w:tcW w:w="900" w:type="dxa"/>
                  <w:tcBorders>
                    <w:top w:val="nil"/>
                    <w:left w:val="nil"/>
                    <w:bottom w:val="nil"/>
                    <w:right w:val="nil"/>
                  </w:tcBorders>
                  <w:vAlign w:val="center"/>
                </w:tcPr>
                <w:p w14:paraId="5D34B728" w14:textId="541E756E" w:rsidR="00C4522E" w:rsidRPr="00CF1062" w:rsidRDefault="00CF1062" w:rsidP="00C4522E">
                  <w:pPr>
                    <w:jc w:val="center"/>
                    <w:rPr>
                      <w:sz w:val="48"/>
                      <w:szCs w:val="48"/>
                    </w:rPr>
                  </w:pPr>
                  <w:hyperlink w:anchor="_Gross_Lifecycle_Electric_1" w:history="1">
                    <w:r w:rsidR="00552F8C" w:rsidRPr="00CF1062">
                      <w:rPr>
                        <w:rStyle w:val="Hyperlink"/>
                        <w:sz w:val="48"/>
                        <w:szCs w:val="48"/>
                        <w:u w:val="none"/>
                      </w:rPr>
                      <w:t>15</w:t>
                    </w:r>
                  </w:hyperlink>
                </w:p>
              </w:tc>
            </w:tr>
          </w:tbl>
          <w:p w14:paraId="1E5DE584" w14:textId="77777777" w:rsidR="00C4522E" w:rsidRDefault="00C4522E" w:rsidP="00C4522E">
            <w:pPr>
              <w:jc w:val="center"/>
            </w:pPr>
          </w:p>
        </w:tc>
        <w:tc>
          <w:tcPr>
            <w:tcW w:w="3960" w:type="dxa"/>
            <w:vAlign w:val="center"/>
          </w:tcPr>
          <w:tbl>
            <w:tblPr>
              <w:tblStyle w:val="TableGrid"/>
              <w:tblW w:w="0" w:type="auto"/>
              <w:tblLook w:val="04A0" w:firstRow="1" w:lastRow="0" w:firstColumn="1" w:lastColumn="0" w:noHBand="0" w:noVBand="1"/>
            </w:tblPr>
            <w:tblGrid>
              <w:gridCol w:w="498"/>
              <w:gridCol w:w="1107"/>
              <w:gridCol w:w="900"/>
              <w:gridCol w:w="900"/>
            </w:tblGrid>
            <w:tr w:rsidR="00C4522E" w:rsidRPr="002931A9" w14:paraId="2B956B8D" w14:textId="77777777" w:rsidTr="00D3689B">
              <w:tc>
                <w:tcPr>
                  <w:tcW w:w="498" w:type="dxa"/>
                  <w:tcBorders>
                    <w:top w:val="nil"/>
                    <w:left w:val="nil"/>
                    <w:bottom w:val="nil"/>
                    <w:right w:val="nil"/>
                  </w:tcBorders>
                </w:tcPr>
                <w:p w14:paraId="2E4F38FE" w14:textId="77777777" w:rsidR="00C4522E" w:rsidRPr="002931A9" w:rsidRDefault="00C4522E" w:rsidP="00C4522E">
                  <w:pPr>
                    <w:jc w:val="center"/>
                  </w:pPr>
                </w:p>
              </w:tc>
              <w:tc>
                <w:tcPr>
                  <w:tcW w:w="1107" w:type="dxa"/>
                  <w:tcBorders>
                    <w:top w:val="nil"/>
                    <w:left w:val="nil"/>
                    <w:bottom w:val="nil"/>
                    <w:right w:val="nil"/>
                  </w:tcBorders>
                </w:tcPr>
                <w:p w14:paraId="304A21F8" w14:textId="77777777" w:rsidR="00C4522E" w:rsidRPr="002931A9" w:rsidRDefault="00C4522E" w:rsidP="00C4522E">
                  <w:pPr>
                    <w:jc w:val="center"/>
                  </w:pPr>
                </w:p>
              </w:tc>
              <w:tc>
                <w:tcPr>
                  <w:tcW w:w="1800" w:type="dxa"/>
                  <w:gridSpan w:val="2"/>
                  <w:tcBorders>
                    <w:top w:val="nil"/>
                    <w:left w:val="nil"/>
                    <w:bottom w:val="single" w:sz="4" w:space="0" w:color="auto"/>
                    <w:right w:val="nil"/>
                  </w:tcBorders>
                  <w:vAlign w:val="bottom"/>
                </w:tcPr>
                <w:p w14:paraId="2705FBB1" w14:textId="77777777" w:rsidR="00C4522E" w:rsidRPr="00883EBB" w:rsidRDefault="00C4522E" w:rsidP="00C4522E">
                  <w:pPr>
                    <w:jc w:val="center"/>
                    <w:rPr>
                      <w:b/>
                      <w:bCs/>
                    </w:rPr>
                  </w:pPr>
                  <w:r w:rsidRPr="00883EBB">
                    <w:rPr>
                      <w:b/>
                      <w:bCs/>
                    </w:rPr>
                    <w:t>Savings Type</w:t>
                  </w:r>
                </w:p>
              </w:tc>
            </w:tr>
            <w:tr w:rsidR="00C4522E" w:rsidRPr="002931A9" w14:paraId="24A9C4C7" w14:textId="77777777" w:rsidTr="00D3689B">
              <w:tc>
                <w:tcPr>
                  <w:tcW w:w="498" w:type="dxa"/>
                  <w:tcBorders>
                    <w:top w:val="nil"/>
                    <w:left w:val="nil"/>
                    <w:bottom w:val="nil"/>
                    <w:right w:val="nil"/>
                  </w:tcBorders>
                </w:tcPr>
                <w:p w14:paraId="1E4BC72F" w14:textId="77777777" w:rsidR="00C4522E" w:rsidRPr="002931A9" w:rsidRDefault="00C4522E" w:rsidP="00C4522E">
                  <w:pPr>
                    <w:jc w:val="center"/>
                  </w:pPr>
                </w:p>
              </w:tc>
              <w:tc>
                <w:tcPr>
                  <w:tcW w:w="1107" w:type="dxa"/>
                  <w:tcBorders>
                    <w:top w:val="nil"/>
                    <w:left w:val="nil"/>
                    <w:bottom w:val="nil"/>
                    <w:right w:val="nil"/>
                  </w:tcBorders>
                </w:tcPr>
                <w:p w14:paraId="5C250A13" w14:textId="77777777" w:rsidR="00C4522E" w:rsidRPr="002931A9" w:rsidRDefault="00C4522E" w:rsidP="00C4522E">
                  <w:pPr>
                    <w:jc w:val="center"/>
                  </w:pPr>
                </w:p>
              </w:tc>
              <w:tc>
                <w:tcPr>
                  <w:tcW w:w="900" w:type="dxa"/>
                  <w:tcBorders>
                    <w:left w:val="nil"/>
                    <w:bottom w:val="nil"/>
                    <w:right w:val="nil"/>
                  </w:tcBorders>
                  <w:vAlign w:val="bottom"/>
                </w:tcPr>
                <w:p w14:paraId="140056FE" w14:textId="77777777" w:rsidR="00C4522E" w:rsidRPr="002931A9" w:rsidRDefault="00C4522E" w:rsidP="00C4522E">
                  <w:pPr>
                    <w:jc w:val="center"/>
                  </w:pPr>
                  <w:r w:rsidRPr="002931A9">
                    <w:t>Net</w:t>
                  </w:r>
                </w:p>
              </w:tc>
              <w:tc>
                <w:tcPr>
                  <w:tcW w:w="900" w:type="dxa"/>
                  <w:tcBorders>
                    <w:left w:val="nil"/>
                    <w:bottom w:val="nil"/>
                    <w:right w:val="nil"/>
                  </w:tcBorders>
                  <w:vAlign w:val="bottom"/>
                </w:tcPr>
                <w:p w14:paraId="6C160AD0" w14:textId="77777777" w:rsidR="00C4522E" w:rsidRPr="002931A9" w:rsidRDefault="00C4522E" w:rsidP="00C4522E">
                  <w:pPr>
                    <w:jc w:val="center"/>
                  </w:pPr>
                  <w:r w:rsidRPr="002931A9">
                    <w:t>Gross</w:t>
                  </w:r>
                </w:p>
              </w:tc>
            </w:tr>
            <w:tr w:rsidR="00C4522E" w:rsidRPr="002931A9" w14:paraId="3794DE0E" w14:textId="77777777" w:rsidTr="00D3689B">
              <w:tc>
                <w:tcPr>
                  <w:tcW w:w="498" w:type="dxa"/>
                  <w:vMerge w:val="restart"/>
                  <w:tcBorders>
                    <w:top w:val="nil"/>
                    <w:left w:val="nil"/>
                    <w:bottom w:val="nil"/>
                  </w:tcBorders>
                  <w:textDirection w:val="btLr"/>
                  <w:vAlign w:val="bottom"/>
                </w:tcPr>
                <w:p w14:paraId="1FEEB979" w14:textId="77777777" w:rsidR="00C4522E" w:rsidRPr="002931A9" w:rsidRDefault="00C4522E" w:rsidP="00C4522E">
                  <w:pPr>
                    <w:jc w:val="center"/>
                  </w:pPr>
                  <w:r w:rsidRPr="002931A9">
                    <w:t>Timeframe</w:t>
                  </w:r>
                </w:p>
              </w:tc>
              <w:tc>
                <w:tcPr>
                  <w:tcW w:w="1107" w:type="dxa"/>
                  <w:tcBorders>
                    <w:top w:val="nil"/>
                    <w:bottom w:val="nil"/>
                    <w:right w:val="nil"/>
                  </w:tcBorders>
                  <w:vAlign w:val="center"/>
                </w:tcPr>
                <w:p w14:paraId="244E0CC2" w14:textId="77777777" w:rsidR="00C4522E" w:rsidRPr="002931A9" w:rsidRDefault="00C4522E" w:rsidP="00C4522E">
                  <w:pPr>
                    <w:jc w:val="center"/>
                  </w:pPr>
                  <w:r w:rsidRPr="002931A9">
                    <w:t>First Year</w:t>
                  </w:r>
                </w:p>
              </w:tc>
              <w:tc>
                <w:tcPr>
                  <w:tcW w:w="900" w:type="dxa"/>
                  <w:tcBorders>
                    <w:top w:val="nil"/>
                    <w:left w:val="nil"/>
                    <w:bottom w:val="nil"/>
                    <w:right w:val="nil"/>
                  </w:tcBorders>
                  <w:vAlign w:val="center"/>
                </w:tcPr>
                <w:p w14:paraId="614C31FC" w14:textId="46578702" w:rsidR="00C4522E" w:rsidRPr="00CF1062" w:rsidRDefault="00CF1062" w:rsidP="00C4522E">
                  <w:pPr>
                    <w:jc w:val="center"/>
                    <w:rPr>
                      <w:sz w:val="48"/>
                      <w:szCs w:val="48"/>
                    </w:rPr>
                  </w:pPr>
                  <w:hyperlink w:anchor="_Net_First_Year_4" w:history="1">
                    <w:r w:rsidR="00552F8C" w:rsidRPr="00CF1062">
                      <w:rPr>
                        <w:rStyle w:val="Hyperlink"/>
                        <w:sz w:val="48"/>
                        <w:szCs w:val="48"/>
                        <w:u w:val="none"/>
                      </w:rPr>
                      <w:t>10</w:t>
                    </w:r>
                  </w:hyperlink>
                </w:p>
              </w:tc>
              <w:tc>
                <w:tcPr>
                  <w:tcW w:w="900" w:type="dxa"/>
                  <w:tcBorders>
                    <w:top w:val="nil"/>
                    <w:left w:val="nil"/>
                    <w:bottom w:val="nil"/>
                    <w:right w:val="nil"/>
                  </w:tcBorders>
                  <w:vAlign w:val="center"/>
                </w:tcPr>
                <w:p w14:paraId="432683A3" w14:textId="4CCCF0F3" w:rsidR="00C4522E" w:rsidRPr="00CF1062" w:rsidRDefault="00CF1062" w:rsidP="00C4522E">
                  <w:pPr>
                    <w:jc w:val="center"/>
                    <w:rPr>
                      <w:sz w:val="48"/>
                      <w:szCs w:val="48"/>
                    </w:rPr>
                  </w:pPr>
                  <w:hyperlink w:anchor="_Gross_First_Year_3" w:history="1">
                    <w:r w:rsidR="00552F8C" w:rsidRPr="00CF1062">
                      <w:rPr>
                        <w:rStyle w:val="Hyperlink"/>
                        <w:sz w:val="48"/>
                        <w:szCs w:val="48"/>
                        <w:u w:val="none"/>
                      </w:rPr>
                      <w:t>12</w:t>
                    </w:r>
                  </w:hyperlink>
                </w:p>
              </w:tc>
            </w:tr>
            <w:tr w:rsidR="00C4522E" w:rsidRPr="002931A9" w14:paraId="20C3CFF8" w14:textId="77777777" w:rsidTr="00D3689B">
              <w:tc>
                <w:tcPr>
                  <w:tcW w:w="498" w:type="dxa"/>
                  <w:vMerge/>
                  <w:tcBorders>
                    <w:top w:val="nil"/>
                    <w:left w:val="nil"/>
                    <w:bottom w:val="nil"/>
                  </w:tcBorders>
                </w:tcPr>
                <w:p w14:paraId="651790C1" w14:textId="77777777" w:rsidR="00C4522E" w:rsidRPr="002931A9" w:rsidRDefault="00C4522E" w:rsidP="00C4522E">
                  <w:pPr>
                    <w:jc w:val="center"/>
                  </w:pPr>
                </w:p>
              </w:tc>
              <w:tc>
                <w:tcPr>
                  <w:tcW w:w="1107" w:type="dxa"/>
                  <w:tcBorders>
                    <w:top w:val="nil"/>
                    <w:bottom w:val="nil"/>
                    <w:right w:val="nil"/>
                  </w:tcBorders>
                  <w:vAlign w:val="center"/>
                </w:tcPr>
                <w:p w14:paraId="54193BDD" w14:textId="77777777" w:rsidR="00C4522E" w:rsidRPr="002931A9" w:rsidRDefault="00C4522E" w:rsidP="00C4522E">
                  <w:pPr>
                    <w:jc w:val="center"/>
                  </w:pPr>
                  <w:r w:rsidRPr="002931A9">
                    <w:t>Lifecycle</w:t>
                  </w:r>
                </w:p>
              </w:tc>
              <w:tc>
                <w:tcPr>
                  <w:tcW w:w="900" w:type="dxa"/>
                  <w:tcBorders>
                    <w:top w:val="nil"/>
                    <w:left w:val="nil"/>
                    <w:bottom w:val="nil"/>
                    <w:right w:val="nil"/>
                  </w:tcBorders>
                  <w:vAlign w:val="center"/>
                </w:tcPr>
                <w:p w14:paraId="671A81DF" w14:textId="78BAE3C1" w:rsidR="00C4522E" w:rsidRPr="00CF1062" w:rsidRDefault="00CF1062" w:rsidP="00C4522E">
                  <w:pPr>
                    <w:jc w:val="center"/>
                    <w:rPr>
                      <w:sz w:val="48"/>
                      <w:szCs w:val="48"/>
                    </w:rPr>
                  </w:pPr>
                  <w:hyperlink w:anchor="_Net_Lifecycle_Natural_1" w:history="1">
                    <w:r w:rsidR="00552F8C" w:rsidRPr="00CF1062">
                      <w:rPr>
                        <w:rStyle w:val="Hyperlink"/>
                        <w:sz w:val="48"/>
                        <w:szCs w:val="48"/>
                        <w:u w:val="none"/>
                      </w:rPr>
                      <w:t>14</w:t>
                    </w:r>
                  </w:hyperlink>
                </w:p>
              </w:tc>
              <w:tc>
                <w:tcPr>
                  <w:tcW w:w="900" w:type="dxa"/>
                  <w:tcBorders>
                    <w:top w:val="nil"/>
                    <w:left w:val="nil"/>
                    <w:bottom w:val="nil"/>
                    <w:right w:val="nil"/>
                  </w:tcBorders>
                  <w:vAlign w:val="center"/>
                </w:tcPr>
                <w:p w14:paraId="7EF53A20" w14:textId="1F787CAD" w:rsidR="00C4522E" w:rsidRPr="00CF1062" w:rsidRDefault="00CF1062" w:rsidP="00C4522E">
                  <w:pPr>
                    <w:jc w:val="center"/>
                    <w:rPr>
                      <w:sz w:val="48"/>
                      <w:szCs w:val="48"/>
                    </w:rPr>
                  </w:pPr>
                  <w:hyperlink w:anchor="_Gross_Lifecycle_Natural_1" w:history="1">
                    <w:r w:rsidR="00552F8C" w:rsidRPr="00CF1062">
                      <w:rPr>
                        <w:rStyle w:val="Hyperlink"/>
                        <w:sz w:val="48"/>
                        <w:szCs w:val="48"/>
                        <w:u w:val="none"/>
                      </w:rPr>
                      <w:t>16</w:t>
                    </w:r>
                  </w:hyperlink>
                </w:p>
              </w:tc>
            </w:tr>
          </w:tbl>
          <w:p w14:paraId="133AC948" w14:textId="77777777" w:rsidR="00C4522E" w:rsidRDefault="00C4522E" w:rsidP="00C4522E">
            <w:pPr>
              <w:jc w:val="center"/>
            </w:pPr>
          </w:p>
        </w:tc>
      </w:tr>
      <w:tr w:rsidR="00C4522E" w14:paraId="0B818973" w14:textId="77777777" w:rsidTr="00D3689B">
        <w:trPr>
          <w:trHeight w:val="2160"/>
        </w:trPr>
        <w:tc>
          <w:tcPr>
            <w:tcW w:w="360" w:type="dxa"/>
            <w:vMerge/>
            <w:tcBorders>
              <w:top w:val="nil"/>
              <w:left w:val="nil"/>
              <w:bottom w:val="nil"/>
              <w:right w:val="single" w:sz="4" w:space="0" w:color="auto"/>
            </w:tcBorders>
            <w:tcMar>
              <w:top w:w="29" w:type="dxa"/>
              <w:left w:w="29" w:type="dxa"/>
              <w:bottom w:w="29" w:type="dxa"/>
              <w:right w:w="29" w:type="dxa"/>
            </w:tcMar>
          </w:tcPr>
          <w:p w14:paraId="501D80D8" w14:textId="77777777" w:rsidR="00C4522E" w:rsidRDefault="00C4522E" w:rsidP="00C4522E"/>
        </w:tc>
        <w:tc>
          <w:tcPr>
            <w:tcW w:w="720" w:type="dxa"/>
            <w:tcBorders>
              <w:top w:val="nil"/>
              <w:left w:val="single" w:sz="4" w:space="0" w:color="auto"/>
              <w:bottom w:val="nil"/>
            </w:tcBorders>
            <w:tcMar>
              <w:top w:w="29" w:type="dxa"/>
              <w:left w:w="29" w:type="dxa"/>
              <w:bottom w:w="29" w:type="dxa"/>
              <w:right w:w="29" w:type="dxa"/>
            </w:tcMar>
            <w:vAlign w:val="center"/>
          </w:tcPr>
          <w:p w14:paraId="76360863" w14:textId="5387E1C9" w:rsidR="00C4522E" w:rsidRDefault="00C4522E" w:rsidP="00D3689B">
            <w:pPr>
              <w:jc w:val="center"/>
            </w:pPr>
            <w:r>
              <w:t>PM10</w:t>
            </w:r>
          </w:p>
        </w:tc>
        <w:tc>
          <w:tcPr>
            <w:tcW w:w="3960" w:type="dxa"/>
            <w:vAlign w:val="center"/>
          </w:tcPr>
          <w:tbl>
            <w:tblPr>
              <w:tblStyle w:val="TableGrid"/>
              <w:tblW w:w="0" w:type="auto"/>
              <w:tblLook w:val="04A0" w:firstRow="1" w:lastRow="0" w:firstColumn="1" w:lastColumn="0" w:noHBand="0" w:noVBand="1"/>
            </w:tblPr>
            <w:tblGrid>
              <w:gridCol w:w="498"/>
              <w:gridCol w:w="1107"/>
              <w:gridCol w:w="900"/>
              <w:gridCol w:w="900"/>
            </w:tblGrid>
            <w:tr w:rsidR="00C4522E" w:rsidRPr="002931A9" w14:paraId="2E7322D9" w14:textId="77777777" w:rsidTr="00D3689B">
              <w:tc>
                <w:tcPr>
                  <w:tcW w:w="498" w:type="dxa"/>
                  <w:tcBorders>
                    <w:top w:val="nil"/>
                    <w:left w:val="nil"/>
                    <w:bottom w:val="nil"/>
                    <w:right w:val="nil"/>
                  </w:tcBorders>
                </w:tcPr>
                <w:p w14:paraId="60BE66F5" w14:textId="77777777" w:rsidR="00C4522E" w:rsidRPr="002931A9" w:rsidRDefault="00C4522E" w:rsidP="00C4522E">
                  <w:pPr>
                    <w:jc w:val="center"/>
                  </w:pPr>
                </w:p>
              </w:tc>
              <w:tc>
                <w:tcPr>
                  <w:tcW w:w="1107" w:type="dxa"/>
                  <w:tcBorders>
                    <w:top w:val="nil"/>
                    <w:left w:val="nil"/>
                    <w:bottom w:val="nil"/>
                    <w:right w:val="nil"/>
                  </w:tcBorders>
                </w:tcPr>
                <w:p w14:paraId="0380A571" w14:textId="77777777" w:rsidR="00C4522E" w:rsidRPr="002931A9" w:rsidRDefault="00C4522E" w:rsidP="00C4522E">
                  <w:pPr>
                    <w:jc w:val="center"/>
                  </w:pPr>
                </w:p>
              </w:tc>
              <w:tc>
                <w:tcPr>
                  <w:tcW w:w="1800" w:type="dxa"/>
                  <w:gridSpan w:val="2"/>
                  <w:tcBorders>
                    <w:top w:val="nil"/>
                    <w:left w:val="nil"/>
                    <w:bottom w:val="single" w:sz="4" w:space="0" w:color="auto"/>
                    <w:right w:val="nil"/>
                  </w:tcBorders>
                  <w:vAlign w:val="bottom"/>
                </w:tcPr>
                <w:p w14:paraId="79578AC2" w14:textId="77777777" w:rsidR="00C4522E" w:rsidRPr="00883EBB" w:rsidRDefault="00C4522E" w:rsidP="00C4522E">
                  <w:pPr>
                    <w:jc w:val="center"/>
                    <w:rPr>
                      <w:b/>
                      <w:bCs/>
                    </w:rPr>
                  </w:pPr>
                  <w:bookmarkStart w:id="0" w:name="_GoBack"/>
                  <w:r w:rsidRPr="00883EBB">
                    <w:rPr>
                      <w:b/>
                      <w:bCs/>
                    </w:rPr>
                    <w:t>Savings Type</w:t>
                  </w:r>
                  <w:bookmarkEnd w:id="0"/>
                </w:p>
              </w:tc>
            </w:tr>
            <w:tr w:rsidR="00C4522E" w:rsidRPr="002931A9" w14:paraId="2C8625BA" w14:textId="77777777" w:rsidTr="00D3689B">
              <w:tc>
                <w:tcPr>
                  <w:tcW w:w="498" w:type="dxa"/>
                  <w:tcBorders>
                    <w:top w:val="nil"/>
                    <w:left w:val="nil"/>
                    <w:bottom w:val="nil"/>
                    <w:right w:val="nil"/>
                  </w:tcBorders>
                </w:tcPr>
                <w:p w14:paraId="120CA7BE" w14:textId="77777777" w:rsidR="00C4522E" w:rsidRPr="002931A9" w:rsidRDefault="00C4522E" w:rsidP="00C4522E">
                  <w:pPr>
                    <w:jc w:val="center"/>
                  </w:pPr>
                </w:p>
              </w:tc>
              <w:tc>
                <w:tcPr>
                  <w:tcW w:w="1107" w:type="dxa"/>
                  <w:tcBorders>
                    <w:top w:val="nil"/>
                    <w:left w:val="nil"/>
                    <w:bottom w:val="nil"/>
                    <w:right w:val="nil"/>
                  </w:tcBorders>
                </w:tcPr>
                <w:p w14:paraId="0A8BCD63" w14:textId="77777777" w:rsidR="00C4522E" w:rsidRPr="002931A9" w:rsidRDefault="00C4522E" w:rsidP="00C4522E">
                  <w:pPr>
                    <w:jc w:val="center"/>
                  </w:pPr>
                </w:p>
              </w:tc>
              <w:tc>
                <w:tcPr>
                  <w:tcW w:w="900" w:type="dxa"/>
                  <w:tcBorders>
                    <w:left w:val="nil"/>
                    <w:bottom w:val="nil"/>
                    <w:right w:val="nil"/>
                  </w:tcBorders>
                  <w:vAlign w:val="bottom"/>
                </w:tcPr>
                <w:p w14:paraId="30530CA2" w14:textId="77777777" w:rsidR="00C4522E" w:rsidRPr="002931A9" w:rsidRDefault="00C4522E" w:rsidP="00C4522E">
                  <w:pPr>
                    <w:jc w:val="center"/>
                  </w:pPr>
                  <w:r w:rsidRPr="002931A9">
                    <w:t>Net</w:t>
                  </w:r>
                </w:p>
              </w:tc>
              <w:tc>
                <w:tcPr>
                  <w:tcW w:w="900" w:type="dxa"/>
                  <w:tcBorders>
                    <w:left w:val="nil"/>
                    <w:bottom w:val="nil"/>
                    <w:right w:val="nil"/>
                  </w:tcBorders>
                  <w:vAlign w:val="bottom"/>
                </w:tcPr>
                <w:p w14:paraId="7D186922" w14:textId="77777777" w:rsidR="00C4522E" w:rsidRPr="002931A9" w:rsidRDefault="00C4522E" w:rsidP="00C4522E">
                  <w:pPr>
                    <w:jc w:val="center"/>
                  </w:pPr>
                  <w:r w:rsidRPr="002931A9">
                    <w:t>Gross</w:t>
                  </w:r>
                </w:p>
              </w:tc>
            </w:tr>
            <w:tr w:rsidR="00C4522E" w:rsidRPr="002931A9" w14:paraId="26F4F497" w14:textId="77777777" w:rsidTr="00D3689B">
              <w:tc>
                <w:tcPr>
                  <w:tcW w:w="498" w:type="dxa"/>
                  <w:vMerge w:val="restart"/>
                  <w:tcBorders>
                    <w:top w:val="nil"/>
                    <w:left w:val="nil"/>
                    <w:bottom w:val="nil"/>
                  </w:tcBorders>
                  <w:textDirection w:val="btLr"/>
                  <w:vAlign w:val="bottom"/>
                </w:tcPr>
                <w:p w14:paraId="31622B76" w14:textId="77777777" w:rsidR="00C4522E" w:rsidRPr="00883EBB" w:rsidRDefault="00C4522E" w:rsidP="00C4522E">
                  <w:pPr>
                    <w:jc w:val="center"/>
                    <w:rPr>
                      <w:b/>
                      <w:bCs/>
                    </w:rPr>
                  </w:pPr>
                  <w:r w:rsidRPr="00883EBB">
                    <w:rPr>
                      <w:b/>
                      <w:bCs/>
                    </w:rPr>
                    <w:t>Timeframe</w:t>
                  </w:r>
                </w:p>
              </w:tc>
              <w:tc>
                <w:tcPr>
                  <w:tcW w:w="1107" w:type="dxa"/>
                  <w:tcBorders>
                    <w:top w:val="nil"/>
                    <w:bottom w:val="nil"/>
                    <w:right w:val="nil"/>
                  </w:tcBorders>
                  <w:vAlign w:val="center"/>
                </w:tcPr>
                <w:p w14:paraId="1E2A0E02" w14:textId="77777777" w:rsidR="00C4522E" w:rsidRPr="002931A9" w:rsidRDefault="00C4522E" w:rsidP="00C4522E">
                  <w:pPr>
                    <w:jc w:val="center"/>
                  </w:pPr>
                  <w:r w:rsidRPr="002931A9">
                    <w:t>First Year</w:t>
                  </w:r>
                </w:p>
              </w:tc>
              <w:tc>
                <w:tcPr>
                  <w:tcW w:w="900" w:type="dxa"/>
                  <w:tcBorders>
                    <w:top w:val="nil"/>
                    <w:left w:val="nil"/>
                    <w:bottom w:val="nil"/>
                    <w:right w:val="nil"/>
                  </w:tcBorders>
                  <w:vAlign w:val="center"/>
                </w:tcPr>
                <w:p w14:paraId="4E6828C9" w14:textId="2E4F1FD5" w:rsidR="00C4522E" w:rsidRPr="00CF1062" w:rsidRDefault="00CF1062" w:rsidP="00C4522E">
                  <w:pPr>
                    <w:jc w:val="center"/>
                    <w:rPr>
                      <w:sz w:val="48"/>
                      <w:szCs w:val="48"/>
                    </w:rPr>
                  </w:pPr>
                  <w:hyperlink w:anchor="_Net_First_Year_2" w:history="1">
                    <w:r w:rsidR="00552F8C" w:rsidRPr="00CF1062">
                      <w:rPr>
                        <w:rStyle w:val="Hyperlink"/>
                        <w:sz w:val="48"/>
                        <w:szCs w:val="48"/>
                        <w:u w:val="none"/>
                      </w:rPr>
                      <w:t>17</w:t>
                    </w:r>
                  </w:hyperlink>
                </w:p>
              </w:tc>
              <w:tc>
                <w:tcPr>
                  <w:tcW w:w="900" w:type="dxa"/>
                  <w:tcBorders>
                    <w:top w:val="nil"/>
                    <w:left w:val="nil"/>
                    <w:bottom w:val="nil"/>
                    <w:right w:val="nil"/>
                  </w:tcBorders>
                  <w:vAlign w:val="center"/>
                </w:tcPr>
                <w:p w14:paraId="0CF17A7E" w14:textId="34F50434" w:rsidR="00C4522E" w:rsidRPr="00CF1062" w:rsidRDefault="00CF1062" w:rsidP="00C4522E">
                  <w:pPr>
                    <w:jc w:val="center"/>
                    <w:rPr>
                      <w:sz w:val="48"/>
                      <w:szCs w:val="48"/>
                    </w:rPr>
                  </w:pPr>
                  <w:hyperlink w:anchor="_Gross_First_Year_4" w:history="1">
                    <w:r w:rsidR="00552F8C" w:rsidRPr="00CF1062">
                      <w:rPr>
                        <w:rStyle w:val="Hyperlink"/>
                        <w:sz w:val="48"/>
                        <w:szCs w:val="48"/>
                        <w:u w:val="none"/>
                      </w:rPr>
                      <w:t>18</w:t>
                    </w:r>
                  </w:hyperlink>
                </w:p>
              </w:tc>
            </w:tr>
            <w:tr w:rsidR="00C4522E" w:rsidRPr="002931A9" w14:paraId="0C83909B" w14:textId="77777777" w:rsidTr="00D3689B">
              <w:tc>
                <w:tcPr>
                  <w:tcW w:w="498" w:type="dxa"/>
                  <w:vMerge/>
                  <w:tcBorders>
                    <w:top w:val="nil"/>
                    <w:left w:val="nil"/>
                    <w:bottom w:val="nil"/>
                  </w:tcBorders>
                </w:tcPr>
                <w:p w14:paraId="1E57FCE7" w14:textId="77777777" w:rsidR="00C4522E" w:rsidRPr="002931A9" w:rsidRDefault="00C4522E" w:rsidP="00C4522E">
                  <w:pPr>
                    <w:jc w:val="center"/>
                  </w:pPr>
                </w:p>
              </w:tc>
              <w:tc>
                <w:tcPr>
                  <w:tcW w:w="1107" w:type="dxa"/>
                  <w:tcBorders>
                    <w:top w:val="nil"/>
                    <w:bottom w:val="nil"/>
                    <w:right w:val="nil"/>
                  </w:tcBorders>
                  <w:vAlign w:val="center"/>
                </w:tcPr>
                <w:p w14:paraId="308DFEAA" w14:textId="77777777" w:rsidR="00C4522E" w:rsidRPr="002931A9" w:rsidRDefault="00C4522E" w:rsidP="00C4522E">
                  <w:pPr>
                    <w:jc w:val="center"/>
                  </w:pPr>
                  <w:r w:rsidRPr="002931A9">
                    <w:t>Lifecycle</w:t>
                  </w:r>
                </w:p>
              </w:tc>
              <w:tc>
                <w:tcPr>
                  <w:tcW w:w="900" w:type="dxa"/>
                  <w:tcBorders>
                    <w:top w:val="nil"/>
                    <w:left w:val="nil"/>
                    <w:bottom w:val="nil"/>
                    <w:right w:val="nil"/>
                  </w:tcBorders>
                  <w:vAlign w:val="center"/>
                </w:tcPr>
                <w:p w14:paraId="526F83F1" w14:textId="34607EFB" w:rsidR="00C4522E" w:rsidRPr="00CF1062" w:rsidRDefault="00CF1062" w:rsidP="00C4522E">
                  <w:pPr>
                    <w:jc w:val="center"/>
                    <w:rPr>
                      <w:sz w:val="48"/>
                      <w:szCs w:val="48"/>
                    </w:rPr>
                  </w:pPr>
                  <w:hyperlink w:anchor="_Net_Lifecycle_Electric_2" w:history="1">
                    <w:r w:rsidR="00552F8C" w:rsidRPr="00CF1062">
                      <w:rPr>
                        <w:rStyle w:val="Hyperlink"/>
                        <w:sz w:val="48"/>
                        <w:szCs w:val="48"/>
                        <w:u w:val="none"/>
                      </w:rPr>
                      <w:t>19</w:t>
                    </w:r>
                  </w:hyperlink>
                </w:p>
              </w:tc>
              <w:tc>
                <w:tcPr>
                  <w:tcW w:w="900" w:type="dxa"/>
                  <w:tcBorders>
                    <w:top w:val="nil"/>
                    <w:left w:val="nil"/>
                    <w:bottom w:val="nil"/>
                    <w:right w:val="nil"/>
                  </w:tcBorders>
                  <w:vAlign w:val="center"/>
                </w:tcPr>
                <w:p w14:paraId="1B2599A2" w14:textId="6760375A" w:rsidR="00C4522E" w:rsidRPr="00CF1062" w:rsidRDefault="00CF1062" w:rsidP="00C4522E">
                  <w:pPr>
                    <w:jc w:val="center"/>
                    <w:rPr>
                      <w:sz w:val="48"/>
                      <w:szCs w:val="48"/>
                    </w:rPr>
                  </w:pPr>
                  <w:hyperlink w:anchor="_Gross_Lifecycle_Electric_2" w:history="1">
                    <w:r w:rsidR="00552F8C" w:rsidRPr="00CF1062">
                      <w:rPr>
                        <w:rStyle w:val="Hyperlink"/>
                        <w:sz w:val="48"/>
                        <w:szCs w:val="48"/>
                        <w:u w:val="none"/>
                      </w:rPr>
                      <w:t>20</w:t>
                    </w:r>
                  </w:hyperlink>
                </w:p>
              </w:tc>
            </w:tr>
          </w:tbl>
          <w:p w14:paraId="11ECC510" w14:textId="77777777" w:rsidR="00C4522E" w:rsidRDefault="00C4522E" w:rsidP="00C4522E">
            <w:pPr>
              <w:jc w:val="center"/>
            </w:pPr>
          </w:p>
        </w:tc>
        <w:tc>
          <w:tcPr>
            <w:tcW w:w="3960" w:type="dxa"/>
            <w:vAlign w:val="center"/>
          </w:tcPr>
          <w:p w14:paraId="4350BD78" w14:textId="18E8D26F" w:rsidR="00C4522E" w:rsidRDefault="00C06E74" w:rsidP="00C4522E">
            <w:pPr>
              <w:jc w:val="center"/>
            </w:pPr>
            <w:r w:rsidRPr="00C4522E">
              <w:rPr>
                <w:sz w:val="48"/>
                <w:szCs w:val="48"/>
              </w:rPr>
              <w:t>N/A</w:t>
            </w:r>
          </w:p>
        </w:tc>
      </w:tr>
    </w:tbl>
    <w:p w14:paraId="14CC6BCA" w14:textId="6629ED04" w:rsidR="0098102A" w:rsidRDefault="0098102A" w:rsidP="00B45E9B"/>
    <w:p w14:paraId="4F03AF0C" w14:textId="77777777" w:rsidR="00E06644" w:rsidRDefault="007F77BB" w:rsidP="00B45E9B">
      <w:r>
        <w:t xml:space="preserve">The methodology for calculating emissions </w:t>
      </w:r>
      <w:r w:rsidR="00C52376">
        <w:t xml:space="preserve">is an extension of the methodology presented in the original CET developed by CPUC Energy Division’s contractor Energy and Environmental Economics, Inc. (E3). At the time of the original CET’s publication, emissions reductions were less central to the state’s energy policies, and the level of detail invested in their calculation was accordingly attenuated: emissions rates were reported as one value applicable for a given measure’s entire lifecycle. In more recent years, emissions rate forecasts for CO2 have become more detailed, with varying emissions rates each quarter </w:t>
      </w:r>
      <w:r w:rsidR="00E06644">
        <w:t>which can be applied to a measure depending on its installation date and lifetime. Thus, the equations for CO2 emissions are the sum of the products of quarterly emissions rates and annual savings rates applicable to the quarter.</w:t>
      </w:r>
    </w:p>
    <w:p w14:paraId="7176B2A7" w14:textId="39C4417E" w:rsidR="007F77BB" w:rsidRDefault="00E06644" w:rsidP="00B45E9B">
      <w:r>
        <w:t>ED staff confirmed with a representative from E3 familiar with the emissions rates data that the CO2 emissions rates are normalized for annual electric savings rates, whereas emissions rates for NOx and PM10 are reported in a manner akin to the original CET: they are not normalized and must be handled differently from CO</w:t>
      </w:r>
      <w:r w:rsidRPr="00E06644">
        <w:rPr>
          <w:vertAlign w:val="subscript"/>
        </w:rPr>
        <w:t>2</w:t>
      </w:r>
      <w:r>
        <w:t>. However, the E3EmissionsSourcevw query returns a table structured such that the emissions rates for all three criterion pollutants are reported for every quarter. The equations therefore apply a similar approach to matching each quarter’s savings rates and NOx and PM10 savings rates, but convert the annual savings rates to quarterly savings rates (by simply dividing by four) in order to maintain consistency with the source data.</w:t>
      </w:r>
      <w:r w:rsidR="00E8247C">
        <w:br/>
      </w:r>
    </w:p>
    <w:p w14:paraId="4C5D34D6" w14:textId="0C2B6EDC" w:rsidR="00E8247C" w:rsidRDefault="00E8247C" w:rsidP="00EF60B0">
      <w:pPr>
        <w:pStyle w:val="Heading1"/>
      </w:pPr>
      <w:r>
        <w:t xml:space="preserve">Emissions Reductions </w:t>
      </w:r>
      <w:r w:rsidR="00EF60B0">
        <w:t>Formulas</w:t>
      </w:r>
    </w:p>
    <w:p w14:paraId="1AD45BA7" w14:textId="5CCFDBEB" w:rsidR="00E8247C" w:rsidRDefault="00C6005F" w:rsidP="00EF60B0">
      <w:pPr>
        <w:pStyle w:val="Heading2"/>
      </w:pPr>
      <w:r>
        <w:t>CO2</w:t>
      </w:r>
    </w:p>
    <w:p w14:paraId="2D34A768" w14:textId="04050C8E" w:rsidR="00C6005F" w:rsidRDefault="00C6005F" w:rsidP="00B45E9B">
      <w:r>
        <w:t xml:space="preserve">The </w:t>
      </w:r>
      <w:proofErr w:type="spellStart"/>
      <w:r w:rsidRPr="00C6005F">
        <w:rPr>
          <w:rStyle w:val="CodeObjectChar"/>
        </w:rPr>
        <w:t>CalcEmissions</w:t>
      </w:r>
      <w:proofErr w:type="spellEnd"/>
      <w:r>
        <w:t xml:space="preserve"> procedure calculates Carbon Dioxide emissions reductions in units of Tons of CO</w:t>
      </w:r>
      <w:r w:rsidRPr="00C6005F">
        <w:rPr>
          <w:vertAlign w:val="subscript"/>
        </w:rPr>
        <w:t>2</w:t>
      </w:r>
      <w:r>
        <w:t>.</w:t>
      </w:r>
      <w:r w:rsidR="00712818">
        <w:t xml:space="preserve"> Emissions reductions are calculated based on user input electric and natural gas energy savings</w:t>
      </w:r>
      <w:r w:rsidR="00BA3D10">
        <w:t>, stored CO</w:t>
      </w:r>
      <w:r w:rsidR="00BA3D10" w:rsidRPr="00BA3D10">
        <w:rPr>
          <w:vertAlign w:val="subscript"/>
        </w:rPr>
        <w:t>2</w:t>
      </w:r>
      <w:r w:rsidR="00BA3D10">
        <w:t xml:space="preserve"> emissions rates for electric and natural gas energy usage</w:t>
      </w:r>
      <w:r w:rsidR="00712818">
        <w:t xml:space="preserve">, </w:t>
      </w:r>
      <w:r w:rsidR="00BA3D10">
        <w:t xml:space="preserve">and several </w:t>
      </w:r>
      <w:r w:rsidR="00712818">
        <w:t>energy efficiency measure parameters</w:t>
      </w:r>
      <w:r w:rsidR="00BA3D10">
        <w:t>:</w:t>
      </w:r>
      <w:r w:rsidR="00712818">
        <w:t xml:space="preserve"> Realization Rate, Installation Rate, Net-to-Gross Ratio and Market Effect Benefits, and Remaining and Expected Useful Life. Net and gross annual </w:t>
      </w:r>
      <w:r w:rsidR="00BA3D10">
        <w:t xml:space="preserve">electric </w:t>
      </w:r>
      <w:r w:rsidR="00136349">
        <w:t xml:space="preserve">energy </w:t>
      </w:r>
      <w:r w:rsidR="00712818">
        <w:t>savings rate values are evaluated for each quarter throughout the measure’s lifecycle—for single baseline measures, the savings rate is constant throughout; for dual baseline measures (i.e., Accelerated Replacement)</w:t>
      </w:r>
      <w:r w:rsidR="00136349">
        <w:t>,</w:t>
      </w:r>
      <w:r w:rsidR="00D625DA">
        <w:t xml:space="preserve"> the calculations apply the appropriate annual savings rate based on the measure’s Remaining Useful Life. In cases where the Remaining or Expected Useful Life is not divisible evenly into quarters, the applicable quarter’s </w:t>
      </w:r>
      <w:r w:rsidR="00136349">
        <w:t xml:space="preserve">annual electric energy </w:t>
      </w:r>
      <w:r w:rsidR="00D625DA">
        <w:t>savings rate is interpolated based on the fraction of the quarter within the first or second baseline, or after.</w:t>
      </w:r>
      <w:r w:rsidR="00136349">
        <w:t xml:space="preserve"> In contrast to the electric calculations, CO</w:t>
      </w:r>
      <w:r w:rsidR="00136349" w:rsidRPr="00136349">
        <w:rPr>
          <w:vertAlign w:val="subscript"/>
        </w:rPr>
        <w:t>2</w:t>
      </w:r>
      <w:r w:rsidR="00136349">
        <w:t xml:space="preserve"> emissions reductions due to natural gas energy savings are calculated based on a single emission rate for a given input </w:t>
      </w:r>
      <w:r w:rsidR="00136349">
        <w:lastRenderedPageBreak/>
        <w:t>measure, applicable for the measure’s lifecycle.</w:t>
      </w:r>
      <w:r w:rsidR="00596A26">
        <w:t xml:space="preserve"> The CO</w:t>
      </w:r>
      <w:r w:rsidR="00596A26" w:rsidRPr="00596A26">
        <w:rPr>
          <w:vertAlign w:val="subscript"/>
        </w:rPr>
        <w:t>2</w:t>
      </w:r>
      <w:r w:rsidR="00596A26">
        <w:t xml:space="preserve"> emissions </w:t>
      </w:r>
      <w:r w:rsidR="00532D11">
        <w:t xml:space="preserve">rate for a </w:t>
      </w:r>
      <w:proofErr w:type="spellStart"/>
      <w:r w:rsidR="00532D11">
        <w:t>measuer</w:t>
      </w:r>
      <w:proofErr w:type="spellEnd"/>
      <w:r w:rsidR="00532D11">
        <w:t xml:space="preserve"> </w:t>
      </w:r>
      <w:r w:rsidR="00596A26">
        <w:t xml:space="preserve">is simply multiplied by the total net or gross natural gas energy savings in </w:t>
      </w:r>
      <w:proofErr w:type="spellStart"/>
      <w:r w:rsidR="00596A26">
        <w:t>Therms</w:t>
      </w:r>
      <w:proofErr w:type="spellEnd"/>
      <w:r w:rsidR="00596A26">
        <w:t xml:space="preserve"> for the first year or the measure’s lifecycle.</w:t>
      </w:r>
    </w:p>
    <w:p w14:paraId="358AA665" w14:textId="14491B1D" w:rsidR="00D625DA" w:rsidRDefault="00D625DA" w:rsidP="00B45E9B">
      <w:r>
        <w:t xml:space="preserve">The emissions rates provided through the saved query </w:t>
      </w:r>
      <w:r w:rsidRPr="00EF3A57">
        <w:rPr>
          <w:rStyle w:val="CodeObjectChar"/>
        </w:rPr>
        <w:t>E3EmissionsSourcevw</w:t>
      </w:r>
      <w:r>
        <w:t xml:space="preserve"> are based on hourly electric grid carbon intensity forecasts developed by E3 combined with hourly end-use </w:t>
      </w:r>
      <w:r w:rsidR="00BD2D6B">
        <w:t xml:space="preserve">load </w:t>
      </w:r>
      <w:r>
        <w:t>shapes.</w:t>
      </w:r>
      <w:r w:rsidR="00BD2D6B">
        <w:t xml:space="preserve"> The hourly emissions rates are forecast for every hour through 2049, while there is only one design year (i.e., 8760 values) for </w:t>
      </w:r>
      <w:r w:rsidR="00EF3A57">
        <w:t xml:space="preserve">each </w:t>
      </w:r>
      <w:r w:rsidR="00BD2D6B">
        <w:t>end-use load shape. The hourly end-use load shapes are normalized for annual energy usage, meaning the sum of all 8760 values is exactly one. Each hourly carbon emissions intensity, bearing units of Tons CO</w:t>
      </w:r>
      <w:r w:rsidR="00BD2D6B" w:rsidRPr="00EF3A57">
        <w:rPr>
          <w:vertAlign w:val="subscript"/>
        </w:rPr>
        <w:t>2</w:t>
      </w:r>
      <w:r w:rsidR="00BD2D6B">
        <w:t xml:space="preserve"> per kWh, when multiplied by the corresponding End Use Load Shape value, in kWh per annual kWh, results in a value with units of Tons CO</w:t>
      </w:r>
      <w:r w:rsidR="00BD2D6B" w:rsidRPr="00EF3A57">
        <w:rPr>
          <w:vertAlign w:val="subscript"/>
        </w:rPr>
        <w:t>2</w:t>
      </w:r>
      <w:r w:rsidR="00BD2D6B">
        <w:t xml:space="preserve"> per annual kWh. These values are then summed throughout each quarter for use in the CET.</w:t>
      </w:r>
    </w:p>
    <w:p w14:paraId="637EF57C" w14:textId="77777777" w:rsidR="009A35C6" w:rsidRDefault="000618B6" w:rsidP="00B45E9B">
      <w:pPr>
        <w:sectPr w:rsidR="009A35C6">
          <w:pgSz w:w="12240" w:h="15840"/>
          <w:pgMar w:top="1440" w:right="1440" w:bottom="1440" w:left="1440" w:header="720" w:footer="720" w:gutter="0"/>
          <w:cols w:space="720"/>
          <w:docGrid w:linePitch="360"/>
        </w:sectPr>
      </w:pPr>
      <w:r>
        <w:t>The equations for each emissions reduction calculation are presented below.</w:t>
      </w:r>
      <w:r w:rsidR="000B5693">
        <w:t xml:space="preserve"> Each equation is </w:t>
      </w:r>
      <w:r w:rsidR="00C032A8">
        <w:t>applied</w:t>
      </w:r>
      <w:r w:rsidR="000B5693">
        <w:t xml:space="preserve"> to a single </w:t>
      </w:r>
      <w:r w:rsidR="00C032A8">
        <w:t>row in the</w:t>
      </w:r>
      <w:r w:rsidR="000B5693">
        <w:t xml:space="preserve"> </w:t>
      </w:r>
      <w:proofErr w:type="spellStart"/>
      <w:r w:rsidR="000B5693" w:rsidRPr="000B5693">
        <w:rPr>
          <w:rStyle w:val="CodeObjectChar"/>
        </w:rPr>
        <w:t>InputMeasure</w:t>
      </w:r>
      <w:proofErr w:type="spellEnd"/>
      <w:r w:rsidR="000B5693">
        <w:t xml:space="preserve"> table</w:t>
      </w:r>
      <w:r w:rsidR="00C032A8">
        <w:t xml:space="preserve">. This table contains a unique identifier in the field </w:t>
      </w:r>
      <w:r w:rsidR="00C032A8" w:rsidRPr="00C032A8">
        <w:rPr>
          <w:rStyle w:val="CodeObjectChar"/>
        </w:rPr>
        <w:t>CET_ID</w:t>
      </w:r>
      <w:r w:rsidR="00C032A8">
        <w:t xml:space="preserve">, copied to the </w:t>
      </w:r>
      <w:proofErr w:type="spellStart"/>
      <w:r w:rsidR="00C032A8" w:rsidRPr="00C032A8">
        <w:rPr>
          <w:rStyle w:val="CodeObjectChar"/>
        </w:rPr>
        <w:t>OutputTable</w:t>
      </w:r>
      <w:proofErr w:type="spellEnd"/>
      <w:r w:rsidR="00C032A8">
        <w:t>. The CET uses the unique identifier to match various procedure results in the final CET outputs.</w:t>
      </w:r>
    </w:p>
    <w:p w14:paraId="52224833" w14:textId="28409D13" w:rsidR="000618B6" w:rsidRDefault="006464B9" w:rsidP="0038277F">
      <w:pPr>
        <w:pStyle w:val="Heading3"/>
      </w:pPr>
      <w:bookmarkStart w:id="1" w:name="_Net_First_Year"/>
      <w:bookmarkEnd w:id="1"/>
      <w:r>
        <w:lastRenderedPageBreak/>
        <w:t xml:space="preserve">Net </w:t>
      </w:r>
      <w:r w:rsidR="000618B6">
        <w:t>First Year Electric CO</w:t>
      </w:r>
      <w:r w:rsidR="000618B6" w:rsidRPr="000618B6">
        <w:rPr>
          <w:vertAlign w:val="subscript"/>
        </w:rPr>
        <w:t>2</w:t>
      </w:r>
      <w:r w:rsidR="00AB1EC7">
        <w:t xml:space="preserve"> Emissions Reduction (</w:t>
      </w:r>
      <w:r w:rsidR="00AB1EC7" w:rsidRPr="00AB1EC7">
        <w:rPr>
          <w:rStyle w:val="CodeObjectChar"/>
        </w:rPr>
        <w:t>NetElecCO2</w:t>
      </w:r>
      <w:r w:rsidR="00AB1EC7">
        <w:t>):</w:t>
      </w:r>
    </w:p>
    <w:p w14:paraId="2CC045DF" w14:textId="79167F7B" w:rsidR="000618B6" w:rsidRPr="00EF60B0" w:rsidRDefault="009A4DF2" w:rsidP="00EF60B0">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q</m:t>
                      </m:r>
                    </m:sub>
                  </m:sSub>
                </m:e>
              </m:d>
            </m:e>
          </m:nary>
        </m:oMath>
      </m:oMathPara>
    </w:p>
    <w:p w14:paraId="38AF232E" w14:textId="0D1A560D" w:rsidR="00EF60B0" w:rsidRDefault="00EF60B0" w:rsidP="00EF60B0">
      <w:pPr>
        <w:pStyle w:val="Caption"/>
      </w:pPr>
      <w:bookmarkStart w:id="2" w:name="_Ref37692307"/>
      <w:r>
        <w:t xml:space="preserve">Equation </w:t>
      </w:r>
      <w:fldSimple w:instr=" SEQ Equation \* ARABIC ">
        <w:r w:rsidR="00552F8C">
          <w:rPr>
            <w:noProof/>
          </w:rPr>
          <w:t>1</w:t>
        </w:r>
      </w:fldSimple>
      <w:bookmarkEnd w:id="2"/>
    </w:p>
    <w:p w14:paraId="7EE17EF3" w14:textId="6DBB1C3E" w:rsidR="000618B6" w:rsidRDefault="000618B6" w:rsidP="00B45E9B">
      <w:pPr>
        <w:rPr>
          <w:rFonts w:eastAsiaTheme="minorEastAsia"/>
        </w:rPr>
      </w:pPr>
      <w:r>
        <w:rPr>
          <w:rFonts w:eastAsiaTheme="minorEastAsia"/>
        </w:rPr>
        <w:t>Where</w:t>
      </w:r>
    </w:p>
    <w:p w14:paraId="3E376B69" w14:textId="762A320C" w:rsidR="000618B6" w:rsidRDefault="009A4DF2" w:rsidP="000C779C">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0618B6">
        <w:rPr>
          <w:rFonts w:eastAsiaTheme="minorEastAsia"/>
        </w:rPr>
        <w:t xml:space="preserve"> is the </w:t>
      </w:r>
      <w:r w:rsidR="00AB1EC7">
        <w:rPr>
          <w:rFonts w:eastAsiaTheme="minorEastAsia"/>
        </w:rPr>
        <w:t xml:space="preserve">net </w:t>
      </w:r>
      <w:r w:rsidR="000618B6">
        <w:rPr>
          <w:rFonts w:eastAsiaTheme="minorEastAsia"/>
        </w:rPr>
        <w:t>CO</w:t>
      </w:r>
      <w:r w:rsidR="000618B6" w:rsidRPr="00AB1EC7">
        <w:rPr>
          <w:rFonts w:eastAsiaTheme="minorEastAsia"/>
          <w:vertAlign w:val="subscript"/>
        </w:rPr>
        <w:t>2</w:t>
      </w:r>
      <w:r w:rsidR="000618B6">
        <w:rPr>
          <w:rFonts w:eastAsiaTheme="minorEastAsia"/>
        </w:rPr>
        <w:t xml:space="preserve"> emissions reductions</w:t>
      </w:r>
      <w:r w:rsidR="00AB1EC7">
        <w:rPr>
          <w:rFonts w:eastAsiaTheme="minorEastAsia"/>
        </w:rPr>
        <w:t xml:space="preserve"> in tons of CO</w:t>
      </w:r>
      <w:r w:rsidR="00AB1EC7" w:rsidRPr="008D7614">
        <w:rPr>
          <w:rFonts w:eastAsiaTheme="minorEastAsia"/>
          <w:vertAlign w:val="subscript"/>
        </w:rPr>
        <w:t>2</w:t>
      </w:r>
      <w:r w:rsidR="00AB1EC7">
        <w:rPr>
          <w:rFonts w:eastAsiaTheme="minorEastAsia"/>
        </w:rPr>
        <w:t xml:space="preserve"> due to electric</w:t>
      </w:r>
      <w:r w:rsidR="00295C1E">
        <w:rPr>
          <w:rFonts w:eastAsiaTheme="minorEastAsia"/>
        </w:rPr>
        <w:t xml:space="preserve"> energy</w:t>
      </w:r>
      <w:r w:rsidR="00AB1EC7">
        <w:rPr>
          <w:rFonts w:eastAsiaTheme="minorEastAsia"/>
        </w:rPr>
        <w:t xml:space="preserve"> saving</w:t>
      </w:r>
      <w:r w:rsidR="008D7614">
        <w:rPr>
          <w:rFonts w:eastAsiaTheme="minorEastAsia"/>
        </w:rPr>
        <w:t>s</w:t>
      </w:r>
      <w:r w:rsidR="00005937">
        <w:rPr>
          <w:rFonts w:eastAsiaTheme="minorEastAsia"/>
        </w:rPr>
        <w:t xml:space="preserve"> in the first year after </w:t>
      </w:r>
      <w:proofErr w:type="gramStart"/>
      <w:r w:rsidR="00005937">
        <w:rPr>
          <w:rFonts w:eastAsiaTheme="minorEastAsia"/>
        </w:rPr>
        <w:t>installation</w:t>
      </w:r>
      <w:r w:rsidR="008D7614">
        <w:rPr>
          <w:rFonts w:eastAsiaTheme="minorEastAsia"/>
        </w:rPr>
        <w:t>.</w:t>
      </w:r>
      <w:proofErr w:type="gramEnd"/>
      <w:r w:rsidR="00BD3B41">
        <w:rPr>
          <w:rFonts w:eastAsiaTheme="minorEastAsia"/>
        </w:rPr>
        <w:t xml:space="preserve"> The </w:t>
      </w:r>
      <w:proofErr w:type="spellStart"/>
      <w:r w:rsidR="00BD3B41" w:rsidRPr="00BD3B41">
        <w:rPr>
          <w:rStyle w:val="CodeObjectChar"/>
        </w:rPr>
        <w:t>CalcEmissions</w:t>
      </w:r>
      <w:proofErr w:type="spellEnd"/>
      <w:r w:rsidR="00BD3B41">
        <w:rPr>
          <w:rFonts w:eastAsiaTheme="minorEastAsia"/>
        </w:rPr>
        <w:t xml:space="preserve"> procedure stores the calculated value to the </w:t>
      </w:r>
      <w:r w:rsidR="00BD3B41" w:rsidRPr="00BD3B41">
        <w:rPr>
          <w:rStyle w:val="CodeObjectChar"/>
        </w:rPr>
        <w:t>Net</w:t>
      </w:r>
      <w:r w:rsidR="00BD3B41">
        <w:rPr>
          <w:rStyle w:val="CodeObjectChar"/>
        </w:rPr>
        <w:t>Elec</w:t>
      </w:r>
      <w:r w:rsidR="00BD3B41" w:rsidRPr="00BD3B41">
        <w:rPr>
          <w:rStyle w:val="CodeObjectChar"/>
        </w:rPr>
        <w:t>CO2</w:t>
      </w:r>
      <w:r w:rsidR="00BD3B41">
        <w:rPr>
          <w:rFonts w:eastAsiaTheme="minorEastAsia"/>
        </w:rPr>
        <w:t xml:space="preserve"> field in the table </w:t>
      </w:r>
      <w:proofErr w:type="spellStart"/>
      <w:r w:rsidR="00BD3B41" w:rsidRPr="00BD3B41">
        <w:rPr>
          <w:rStyle w:val="CodeObjectChar"/>
        </w:rPr>
        <w:t>OutputEmissions</w:t>
      </w:r>
      <w:proofErr w:type="spellEnd"/>
      <w:r w:rsidR="00BD3B41">
        <w:rPr>
          <w:rFonts w:eastAsiaTheme="minorEastAsia"/>
        </w:rPr>
        <w:t>.</w:t>
      </w:r>
    </w:p>
    <w:p w14:paraId="3450F561" w14:textId="2CD653FF" w:rsidR="00694970" w:rsidRDefault="00AB1EC7" w:rsidP="000C779C">
      <w:pPr>
        <w:ind w:left="720"/>
        <w:rPr>
          <w:rFonts w:eastAsiaTheme="minorEastAsia"/>
        </w:rPr>
      </w:pPr>
      <m:oMath>
        <m:r>
          <w:rPr>
            <w:rFonts w:ascii="Cambria Math" w:hAnsi="Cambria Math"/>
          </w:rPr>
          <m:t>q</m:t>
        </m:r>
      </m:oMath>
      <w:r>
        <w:rPr>
          <w:rFonts w:eastAsiaTheme="minorEastAsia"/>
        </w:rPr>
        <w:t xml:space="preserve"> is the </w:t>
      </w:r>
      <w:r w:rsidR="008D7614">
        <w:rPr>
          <w:rFonts w:eastAsiaTheme="minorEastAsia"/>
        </w:rPr>
        <w:t xml:space="preserve">calendar quarter-year in which emissions reductions are calculated, starting with </w:t>
      </w:r>
      <m:oMath>
        <m:r>
          <w:rPr>
            <w:rFonts w:ascii="Cambria Math" w:hAnsi="Cambria Math"/>
          </w:rPr>
          <m:t>q=1</m:t>
        </m:r>
      </m:oMath>
      <w:r w:rsidR="008D7614">
        <w:rPr>
          <w:rFonts w:eastAsiaTheme="minorEastAsia"/>
        </w:rPr>
        <w:t xml:space="preserve"> being the quarter in which the measure is </w:t>
      </w:r>
      <w:proofErr w:type="gramStart"/>
      <w:r w:rsidR="008D7614">
        <w:rPr>
          <w:rFonts w:eastAsiaTheme="minorEastAsia"/>
        </w:rPr>
        <w:t>implemented.</w:t>
      </w:r>
      <w:proofErr w:type="gramEnd"/>
      <w:r w:rsidR="00A55F04">
        <w:rPr>
          <w:rFonts w:eastAsiaTheme="minorEastAsia"/>
        </w:rPr>
        <w:t xml:space="preserve"> The</w:t>
      </w:r>
      <w:r w:rsidR="008F2877">
        <w:rPr>
          <w:rFonts w:eastAsiaTheme="minorEastAsia"/>
        </w:rPr>
        <w:t xml:space="preserve"> </w:t>
      </w:r>
      <w:proofErr w:type="spellStart"/>
      <w:r w:rsidR="008F2877">
        <w:rPr>
          <w:rFonts w:eastAsiaTheme="minorEastAsia"/>
        </w:rPr>
        <w:t>CalcEmissions</w:t>
      </w:r>
      <w:proofErr w:type="spellEnd"/>
      <w:r w:rsidR="008F2877">
        <w:rPr>
          <w:rFonts w:eastAsiaTheme="minorEastAsia"/>
        </w:rPr>
        <w:t xml:space="preserve"> </w:t>
      </w:r>
      <w:r w:rsidR="00A55F04">
        <w:rPr>
          <w:rFonts w:eastAsiaTheme="minorEastAsia"/>
        </w:rPr>
        <w:t xml:space="preserve">procedure </w:t>
      </w:r>
      <w:r w:rsidR="008F2877">
        <w:rPr>
          <w:rFonts w:eastAsiaTheme="minorEastAsia"/>
        </w:rPr>
        <w:t xml:space="preserve">iterates through values of the </w:t>
      </w:r>
      <w:proofErr w:type="spellStart"/>
      <w:r w:rsidR="008F2877" w:rsidRPr="008F2877">
        <w:rPr>
          <w:rStyle w:val="CodeObjectChar"/>
        </w:rPr>
        <w:t>Qac</w:t>
      </w:r>
      <w:proofErr w:type="spellEnd"/>
      <w:r w:rsidR="008F2877">
        <w:rPr>
          <w:rFonts w:eastAsiaTheme="minorEastAsia"/>
        </w:rPr>
        <w:t xml:space="preserve"> field in the output of the stored query </w:t>
      </w:r>
      <w:r w:rsidR="008F2877" w:rsidRPr="00694970">
        <w:rPr>
          <w:rStyle w:val="CodeObjectChar"/>
        </w:rPr>
        <w:t>E3EmissionsSourcevw</w:t>
      </w:r>
      <w:r w:rsidR="00694970">
        <w:rPr>
          <w:rFonts w:eastAsiaTheme="minorEastAsia"/>
        </w:rPr>
        <w:t>,</w:t>
      </w:r>
      <w:r w:rsidR="008F2877">
        <w:rPr>
          <w:rFonts w:eastAsiaTheme="minorEastAsia"/>
        </w:rPr>
        <w:t xml:space="preserve"> which </w:t>
      </w:r>
      <w:r w:rsidR="00694970">
        <w:rPr>
          <w:rFonts w:eastAsiaTheme="minorEastAsia"/>
        </w:rPr>
        <w:t xml:space="preserve">can be converted to </w:t>
      </w:r>
      <m:oMath>
        <m:r>
          <w:rPr>
            <w:rFonts w:ascii="Cambria Math" w:hAnsi="Cambria Math"/>
          </w:rPr>
          <m:t>q</m:t>
        </m:r>
      </m:oMath>
      <w:r w:rsidR="00694970">
        <w:rPr>
          <w:rFonts w:eastAsiaTheme="minorEastAsia"/>
        </w:rPr>
        <w:t xml:space="preserve"> indices</w:t>
      </w:r>
      <w:r w:rsidR="002B4BCB">
        <w:rPr>
          <w:rFonts w:eastAsiaTheme="minorEastAsia"/>
        </w:rPr>
        <w:t xml:space="preserve"> b</w:t>
      </w:r>
      <w:r w:rsidR="002B4BCB">
        <w:t xml:space="preserve">ased on </w:t>
      </w:r>
      <w:proofErr w:type="spellStart"/>
      <w:r w:rsidR="002B4BCB" w:rsidRPr="00694970">
        <w:rPr>
          <w:rStyle w:val="CodeObjectChar"/>
        </w:rPr>
        <w:t>InputMeasure</w:t>
      </w:r>
      <w:r w:rsidR="002B4BCB">
        <w:rPr>
          <w:rStyle w:val="CodeObjectChar"/>
        </w:rPr>
        <w:t>vw</w:t>
      </w:r>
      <w:r w:rsidR="002B4BCB" w:rsidRPr="00694970">
        <w:rPr>
          <w:rStyle w:val="CodeObjectChar"/>
        </w:rPr>
        <w:t>.Qm</w:t>
      </w:r>
      <w:proofErr w:type="spellEnd"/>
      <w:r w:rsidR="002B4BCB">
        <w:t xml:space="preserve"> identifies the quarter in which the measure is installed in the same indexing schema as </w:t>
      </w:r>
      <w:proofErr w:type="spellStart"/>
      <w:r w:rsidR="002B4BCB" w:rsidRPr="00694970">
        <w:rPr>
          <w:rStyle w:val="CodeObjectChar"/>
        </w:rPr>
        <w:t>Qac</w:t>
      </w:r>
      <w:proofErr w:type="spellEnd"/>
      <w:r w:rsidR="00694970">
        <w:rPr>
          <w:rFonts w:eastAsiaTheme="minorEastAsia"/>
        </w:rPr>
        <w:t>:</w:t>
      </w:r>
    </w:p>
    <w:p w14:paraId="63F6491A" w14:textId="349DDC74" w:rsidR="00694970" w:rsidRDefault="00694970" w:rsidP="000C779C">
      <w:pPr>
        <w:ind w:left="720"/>
        <w:rPr>
          <w:rFonts w:eastAsiaTheme="minorEastAsia"/>
        </w:rPr>
      </w:pPr>
      <m:oMathPara>
        <m:oMath>
          <m:r>
            <w:rPr>
              <w:rFonts w:ascii="Cambria Math" w:hAnsi="Cambria Math"/>
            </w:rPr>
            <m:t>q=</m:t>
          </m:r>
          <m:r>
            <m:rPr>
              <m:sty m:val="p"/>
            </m:rPr>
            <w:rPr>
              <w:rStyle w:val="CodeObjectChar"/>
              <w:rFonts w:ascii="Cambria Math" w:hAnsi="Cambria Math"/>
            </w:rPr>
            <m:t>E3EmissionsSourcevw .Qac – InputMeasurevw.Qm</m:t>
          </m:r>
        </m:oMath>
      </m:oMathPara>
    </w:p>
    <w:p w14:paraId="5B7DBDCB" w14:textId="1599D164" w:rsidR="00AB1EC7" w:rsidRDefault="00942CE1" w:rsidP="000C779C">
      <w:pPr>
        <w:ind w:left="720"/>
        <w:rPr>
          <w:rFonts w:eastAsiaTheme="minorEastAsia"/>
        </w:rPr>
      </w:pPr>
      <m:oMath>
        <m:r>
          <w:rPr>
            <w:rFonts w:ascii="Cambria Math" w:hAnsi="Cambria Math"/>
          </w:rPr>
          <m:t>IN</m:t>
        </m:r>
      </m:oMath>
      <w:r w:rsidR="008D7614">
        <w:rPr>
          <w:rFonts w:eastAsiaTheme="minorEastAsia"/>
        </w:rPr>
        <w:t xml:space="preserve"> </w:t>
      </w:r>
      <w:r w:rsidR="00C032A8">
        <w:rPr>
          <w:rFonts w:eastAsiaTheme="minorEastAsia"/>
        </w:rPr>
        <w:t xml:space="preserve">is the number of measures </w:t>
      </w:r>
      <w:proofErr w:type="gramStart"/>
      <w:r w:rsidR="00C032A8">
        <w:rPr>
          <w:rFonts w:eastAsiaTheme="minorEastAsia"/>
        </w:rPr>
        <w:t>implemented.</w:t>
      </w:r>
      <w:proofErr w:type="gramEnd"/>
      <w:r w:rsidR="00BD3B41">
        <w:rPr>
          <w:rFonts w:eastAsiaTheme="minorEastAsia"/>
        </w:rPr>
        <w:t xml:space="preserve"> The</w:t>
      </w:r>
      <w:r w:rsidR="00694970">
        <w:rPr>
          <w:rFonts w:eastAsiaTheme="minorEastAsia"/>
        </w:rPr>
        <w:t xml:space="preserve"> </w:t>
      </w:r>
      <w:proofErr w:type="spellStart"/>
      <w:r w:rsidR="00694970" w:rsidRPr="00694970">
        <w:rPr>
          <w:rStyle w:val="CodeObjectChar"/>
        </w:rPr>
        <w:t>CalcEmissions</w:t>
      </w:r>
      <w:proofErr w:type="spellEnd"/>
      <w:r w:rsidR="00694970">
        <w:rPr>
          <w:rFonts w:eastAsiaTheme="minorEastAsia"/>
        </w:rPr>
        <w:t xml:space="preserve"> </w:t>
      </w:r>
      <w:r w:rsidR="00BD3B41">
        <w:rPr>
          <w:rFonts w:eastAsiaTheme="minorEastAsia"/>
        </w:rPr>
        <w:t xml:space="preserve">procedure </w:t>
      </w:r>
      <w:r w:rsidR="00694970">
        <w:rPr>
          <w:rFonts w:eastAsiaTheme="minorEastAsia"/>
        </w:rPr>
        <w:t xml:space="preserve">uses the </w:t>
      </w:r>
      <w:r w:rsidR="00694970" w:rsidRPr="005E38C0">
        <w:rPr>
          <w:rStyle w:val="CodeObjectChar"/>
        </w:rPr>
        <w:t>Qty</w:t>
      </w:r>
      <w:r w:rsidR="00694970">
        <w:rPr>
          <w:rFonts w:eastAsiaTheme="minorEastAsia"/>
        </w:rPr>
        <w:t xml:space="preserve"> field of the </w:t>
      </w:r>
      <w:proofErr w:type="spellStart"/>
      <w:r w:rsidR="00694970" w:rsidRPr="00694970">
        <w:rPr>
          <w:rStyle w:val="CodeObjectChar"/>
        </w:rPr>
        <w:t>InputMeasurevw</w:t>
      </w:r>
      <w:proofErr w:type="spellEnd"/>
      <w:r w:rsidR="00694970">
        <w:rPr>
          <w:rFonts w:eastAsiaTheme="minorEastAsia"/>
        </w:rPr>
        <w:t xml:space="preserve"> for this </w:t>
      </w:r>
      <w:r w:rsidR="005E38C0">
        <w:rPr>
          <w:rFonts w:eastAsiaTheme="minorEastAsia"/>
        </w:rPr>
        <w:t>factor</w:t>
      </w:r>
      <w:r w:rsidR="00694970">
        <w:rPr>
          <w:rFonts w:eastAsiaTheme="minorEastAsia"/>
        </w:rPr>
        <w:t>.</w:t>
      </w:r>
      <w:r w:rsidR="00C032A8">
        <w:rPr>
          <w:rFonts w:eastAsiaTheme="minorEastAsia"/>
        </w:rPr>
        <w:t xml:space="preserve"> </w:t>
      </w:r>
      <w:r w:rsidR="008D7614">
        <w:rPr>
          <w:rFonts w:eastAsiaTheme="minorEastAsia"/>
        </w:rPr>
        <w:t xml:space="preserve">Values are usually integers, </w:t>
      </w:r>
      <w:r w:rsidR="000B5693">
        <w:rPr>
          <w:rFonts w:eastAsiaTheme="minorEastAsia"/>
        </w:rPr>
        <w:t>ranging from</w:t>
      </w:r>
      <w:r w:rsidR="008D7614">
        <w:rPr>
          <w:rFonts w:eastAsiaTheme="minorEastAsia"/>
        </w:rPr>
        <w:t xml:space="preserve"> one and up to many thousands.</w:t>
      </w:r>
    </w:p>
    <w:p w14:paraId="00C70071" w14:textId="71285D02" w:rsidR="008D7614" w:rsidRDefault="009A4DF2" w:rsidP="000C779C">
      <w:pPr>
        <w:ind w:left="720"/>
        <w:rPr>
          <w:rFonts w:eastAsiaTheme="minorEastAsia"/>
        </w:rPr>
      </w:pP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sidR="008D7614">
        <w:rPr>
          <w:rFonts w:eastAsiaTheme="minorEastAsia"/>
        </w:rPr>
        <w:t xml:space="preserve"> is the Net-to-Gross ratio for the energy efficiency measure</w:t>
      </w:r>
      <w:r w:rsidR="00942CE1">
        <w:rPr>
          <w:rFonts w:eastAsiaTheme="minorEastAsia"/>
        </w:rPr>
        <w:t xml:space="preserve"> applicable to electric energy consumption savings</w:t>
      </w:r>
      <w:r w:rsidR="008D7614">
        <w:rPr>
          <w:rFonts w:eastAsiaTheme="minorEastAsia"/>
        </w:rPr>
        <w:t>, typically determined through evaluation.</w:t>
      </w:r>
      <w:r w:rsidR="00BD3B41">
        <w:rPr>
          <w:rFonts w:eastAsiaTheme="minorEastAsia"/>
        </w:rPr>
        <w:t xml:space="preserve"> The</w:t>
      </w:r>
      <w:r w:rsidR="005E38C0" w:rsidRPr="00BD3B41">
        <w:t xml:space="preserve"> </w:t>
      </w:r>
      <w:proofErr w:type="spellStart"/>
      <w:r w:rsidR="005E38C0" w:rsidRPr="00694970">
        <w:rPr>
          <w:rStyle w:val="CodeObjectChar"/>
        </w:rPr>
        <w:t>CalcEmissions</w:t>
      </w:r>
      <w:proofErr w:type="spellEnd"/>
      <w:r w:rsidR="005E38C0">
        <w:rPr>
          <w:rFonts w:eastAsiaTheme="minorEastAsia"/>
        </w:rPr>
        <w:t xml:space="preserve"> </w:t>
      </w:r>
      <w:r w:rsidR="00BD3B41">
        <w:rPr>
          <w:rFonts w:eastAsiaTheme="minorEastAsia"/>
        </w:rPr>
        <w:t xml:space="preserve">procedure </w:t>
      </w:r>
      <w:r w:rsidR="005E38C0">
        <w:rPr>
          <w:rFonts w:eastAsiaTheme="minorEastAsia"/>
        </w:rPr>
        <w:t xml:space="preserve">uses the </w:t>
      </w:r>
      <w:proofErr w:type="spellStart"/>
      <w:r w:rsidR="005E38C0" w:rsidRPr="005E38C0">
        <w:rPr>
          <w:rStyle w:val="CodeObjectChar"/>
        </w:rPr>
        <w:t>NTGRkWh</w:t>
      </w:r>
      <w:proofErr w:type="spellEnd"/>
      <w:r w:rsidR="005E38C0">
        <w:rPr>
          <w:rFonts w:eastAsiaTheme="minorEastAsia"/>
        </w:rPr>
        <w:t xml:space="preserve"> field of the </w:t>
      </w:r>
      <w:proofErr w:type="spellStart"/>
      <w:r w:rsidR="005E38C0" w:rsidRPr="00694970">
        <w:rPr>
          <w:rStyle w:val="CodeObjectChar"/>
        </w:rPr>
        <w:t>InputMeasurevw</w:t>
      </w:r>
      <w:proofErr w:type="spellEnd"/>
      <w:r w:rsidR="005E38C0">
        <w:rPr>
          <w:rFonts w:eastAsiaTheme="minorEastAsia"/>
        </w:rPr>
        <w:t xml:space="preserve"> for this factor.</w:t>
      </w:r>
      <w:r w:rsidR="008D7614">
        <w:rPr>
          <w:rFonts w:eastAsiaTheme="minorEastAsia"/>
        </w:rPr>
        <w:t xml:space="preserve"> Values are typically between 0.5 and 1.0.</w:t>
      </w:r>
    </w:p>
    <w:p w14:paraId="5FF6A06D" w14:textId="2E9983A7" w:rsidR="008D7614" w:rsidRDefault="009A4DF2" w:rsidP="000C779C">
      <w:pPr>
        <w:ind w:left="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ME</m:t>
            </m:r>
          </m:sub>
        </m:sSub>
      </m:oMath>
      <w:r w:rsidR="008D7614">
        <w:rPr>
          <w:rFonts w:eastAsiaTheme="minorEastAsia"/>
        </w:rPr>
        <w:t xml:space="preserve"> is the Market Effects Benefits, typically set by </w:t>
      </w:r>
      <w:proofErr w:type="gramStart"/>
      <w:r w:rsidR="008D7614">
        <w:rPr>
          <w:rFonts w:eastAsiaTheme="minorEastAsia"/>
        </w:rPr>
        <w:t>policy.</w:t>
      </w:r>
      <w:proofErr w:type="gramEnd"/>
      <w:r w:rsidR="00A55F04">
        <w:rPr>
          <w:rFonts w:eastAsiaTheme="minorEastAsia"/>
        </w:rPr>
        <w:t xml:space="preserve"> The</w:t>
      </w:r>
      <w:r w:rsidR="00135EAA">
        <w:rPr>
          <w:rFonts w:eastAsiaTheme="minorEastAsia"/>
        </w:rPr>
        <w:t xml:space="preserve"> </w:t>
      </w:r>
      <w:proofErr w:type="spellStart"/>
      <w:r w:rsidR="00135EAA" w:rsidRPr="00694970">
        <w:rPr>
          <w:rStyle w:val="CodeObjectChar"/>
        </w:rPr>
        <w:t>CalcEmissions</w:t>
      </w:r>
      <w:proofErr w:type="spellEnd"/>
      <w:r w:rsidR="00135EAA">
        <w:rPr>
          <w:rFonts w:eastAsiaTheme="minorEastAsia"/>
        </w:rPr>
        <w:t xml:space="preserve"> </w:t>
      </w:r>
      <w:r w:rsidR="00A55F04">
        <w:rPr>
          <w:rFonts w:eastAsiaTheme="minorEastAsia"/>
        </w:rPr>
        <w:t xml:space="preserve">procedure </w:t>
      </w:r>
      <w:r w:rsidR="00135EAA">
        <w:rPr>
          <w:rFonts w:eastAsiaTheme="minorEastAsia"/>
        </w:rPr>
        <w:t xml:space="preserve">uses the </w:t>
      </w:r>
      <w:proofErr w:type="spellStart"/>
      <w:r w:rsidR="00135EAA" w:rsidRPr="00135EAA">
        <w:rPr>
          <w:rStyle w:val="CodeObjectChar"/>
        </w:rPr>
        <w:t>MEBens</w:t>
      </w:r>
      <w:proofErr w:type="spellEnd"/>
      <w:r w:rsidR="00135EAA">
        <w:rPr>
          <w:rFonts w:eastAsiaTheme="minorEastAsia"/>
        </w:rPr>
        <w:t xml:space="preserve"> field of the </w:t>
      </w:r>
      <w:proofErr w:type="spellStart"/>
      <w:r w:rsidR="00135EAA" w:rsidRPr="00694970">
        <w:rPr>
          <w:rStyle w:val="CodeObjectChar"/>
        </w:rPr>
        <w:t>InputMeasurevw</w:t>
      </w:r>
      <w:proofErr w:type="spellEnd"/>
      <w:r w:rsidR="00135EAA">
        <w:rPr>
          <w:rFonts w:eastAsiaTheme="minorEastAsia"/>
        </w:rPr>
        <w:t xml:space="preserve"> for this factor if a value is specified, or the </w:t>
      </w:r>
      <w:r w:rsidR="00135EAA" w:rsidRPr="00135EAA">
        <w:rPr>
          <w:rStyle w:val="CodeObjectChar"/>
        </w:rPr>
        <w:t>@</w:t>
      </w:r>
      <w:proofErr w:type="spellStart"/>
      <w:r w:rsidR="00135EAA" w:rsidRPr="00135EAA">
        <w:rPr>
          <w:rStyle w:val="CodeObjectChar"/>
        </w:rPr>
        <w:t>MEBens</w:t>
      </w:r>
      <w:proofErr w:type="spellEnd"/>
      <w:r w:rsidR="00135EAA">
        <w:rPr>
          <w:rFonts w:eastAsiaTheme="minorEastAsia"/>
        </w:rPr>
        <w:t xml:space="preserve"> parameter input upon calling the procedure.</w:t>
      </w:r>
      <w:r w:rsidR="008D7614">
        <w:rPr>
          <w:rFonts w:eastAsiaTheme="minorEastAsia"/>
        </w:rPr>
        <w:t xml:space="preserve"> The default value is 0.05.</w:t>
      </w:r>
    </w:p>
    <w:p w14:paraId="1DE6AEC8" w14:textId="7B9D4458" w:rsidR="008D7614" w:rsidRDefault="009A4DF2" w:rsidP="000C779C">
      <w:pPr>
        <w:ind w:left="720"/>
        <w:rPr>
          <w:rFonts w:eastAsiaTheme="minorEastAsia"/>
        </w:rPr>
      </w:pPr>
      <m:oMath>
        <m:sSub>
          <m:sSubPr>
            <m:ctrlPr>
              <w:rPr>
                <w:rFonts w:ascii="Cambria Math" w:hAnsi="Cambria Math"/>
                <w:i/>
              </w:rPr>
            </m:ctrlPr>
          </m:sSubPr>
          <m:e>
            <m:r>
              <w:rPr>
                <w:rFonts w:ascii="Cambria Math" w:hAnsi="Cambria Math"/>
              </w:rPr>
              <m:t>IR</m:t>
            </m:r>
          </m:e>
          <m:sub>
            <m:r>
              <w:rPr>
                <w:rFonts w:ascii="Cambria Math" w:hAnsi="Cambria Math"/>
              </w:rPr>
              <m:t>kWh</m:t>
            </m:r>
          </m:sub>
        </m:sSub>
      </m:oMath>
      <w:r w:rsidR="008D7614">
        <w:rPr>
          <w:rFonts w:eastAsiaTheme="minorEastAsia"/>
        </w:rPr>
        <w:t xml:space="preserve"> is the Installation Rate for the energy efficiency measure—the ratio of measures paid for through a program are actually implemented rather than stored indefinitely or abandoned—</w:t>
      </w:r>
      <w:r w:rsidR="00942CE1">
        <w:rPr>
          <w:rFonts w:eastAsiaTheme="minorEastAsia"/>
        </w:rPr>
        <w:t xml:space="preserve">applicable to electric energy consumption savings, </w:t>
      </w:r>
      <w:r w:rsidR="008D7614">
        <w:rPr>
          <w:rFonts w:eastAsiaTheme="minorEastAsia"/>
        </w:rPr>
        <w:t xml:space="preserve">typically determined through evaluation. </w:t>
      </w:r>
      <w:r w:rsidR="00BD3B41">
        <w:rPr>
          <w:rFonts w:eastAsiaTheme="minorEastAsia"/>
        </w:rPr>
        <w:t xml:space="preserve">The </w:t>
      </w:r>
      <w:proofErr w:type="spellStart"/>
      <w:r w:rsidR="00C64874" w:rsidRPr="00694970">
        <w:rPr>
          <w:rStyle w:val="CodeObjectChar"/>
        </w:rPr>
        <w:t>CalcEmissions</w:t>
      </w:r>
      <w:proofErr w:type="spellEnd"/>
      <w:r w:rsidR="00C64874">
        <w:rPr>
          <w:rFonts w:eastAsiaTheme="minorEastAsia"/>
        </w:rPr>
        <w:t xml:space="preserve"> </w:t>
      </w:r>
      <w:r w:rsidR="00BD3B41">
        <w:rPr>
          <w:rFonts w:eastAsiaTheme="minorEastAsia"/>
        </w:rPr>
        <w:t xml:space="preserve">procedure </w:t>
      </w:r>
      <w:r w:rsidR="00C64874">
        <w:rPr>
          <w:rFonts w:eastAsiaTheme="minorEastAsia"/>
        </w:rPr>
        <w:t xml:space="preserve">uses the </w:t>
      </w:r>
      <w:proofErr w:type="spellStart"/>
      <w:r w:rsidR="00C64874" w:rsidRPr="00C64874">
        <w:rPr>
          <w:rStyle w:val="CodeObjectChar"/>
        </w:rPr>
        <w:t>IRkWh</w:t>
      </w:r>
      <w:proofErr w:type="spellEnd"/>
      <w:r w:rsidR="00C64874">
        <w:rPr>
          <w:rFonts w:eastAsiaTheme="minorEastAsia"/>
        </w:rPr>
        <w:t xml:space="preserve"> field returned by the </w:t>
      </w:r>
      <w:proofErr w:type="spellStart"/>
      <w:r w:rsidR="00C64874" w:rsidRPr="00694970">
        <w:rPr>
          <w:rStyle w:val="CodeObjectChar"/>
        </w:rPr>
        <w:t>InputMeasurevw</w:t>
      </w:r>
      <w:proofErr w:type="spellEnd"/>
      <w:r w:rsidR="00C64874">
        <w:rPr>
          <w:rFonts w:eastAsiaTheme="minorEastAsia"/>
        </w:rPr>
        <w:t xml:space="preserve"> stored procedure for this factor. </w:t>
      </w:r>
      <w:r w:rsidR="008D7614">
        <w:rPr>
          <w:rFonts w:eastAsiaTheme="minorEastAsia"/>
        </w:rPr>
        <w:t>Values are typically between 0.5 and 1.0.</w:t>
      </w:r>
    </w:p>
    <w:bookmarkStart w:id="3" w:name="_Hlk38576751"/>
    <w:p w14:paraId="7D276241" w14:textId="02892400" w:rsidR="008D7614" w:rsidRDefault="009A4DF2" w:rsidP="000C779C">
      <w:pPr>
        <w:ind w:left="720"/>
        <w:rPr>
          <w:rFonts w:eastAsiaTheme="minorEastAsia"/>
        </w:rPr>
      </w:pPr>
      <m:oMath>
        <m:sSub>
          <m:sSubPr>
            <m:ctrlPr>
              <w:rPr>
                <w:rFonts w:ascii="Cambria Math" w:hAnsi="Cambria Math"/>
                <w:i/>
              </w:rPr>
            </m:ctrlPr>
          </m:sSubPr>
          <m:e>
            <m:r>
              <w:rPr>
                <w:rFonts w:ascii="Cambria Math" w:hAnsi="Cambria Math"/>
              </w:rPr>
              <m:t>RR</m:t>
            </m:r>
          </m:e>
          <m:sub>
            <m:r>
              <w:rPr>
                <w:rFonts w:ascii="Cambria Math" w:hAnsi="Cambria Math"/>
              </w:rPr>
              <m:t>kWh</m:t>
            </m:r>
          </m:sub>
        </m:sSub>
      </m:oMath>
      <w:bookmarkEnd w:id="3"/>
      <w:r w:rsidR="008D7614">
        <w:rPr>
          <w:rFonts w:eastAsiaTheme="minorEastAsia"/>
        </w:rPr>
        <w:t xml:space="preserve"> is the Realization Rate for the energy efficiency measure—the ratio of realized energy savings compared against predicted savings—</w:t>
      </w:r>
      <w:r w:rsidR="00942CE1">
        <w:rPr>
          <w:rFonts w:eastAsiaTheme="minorEastAsia"/>
        </w:rPr>
        <w:t xml:space="preserve">applicable to electric energy consumption savings, </w:t>
      </w:r>
      <w:r w:rsidR="008D7614">
        <w:rPr>
          <w:rFonts w:eastAsiaTheme="minorEastAsia"/>
        </w:rPr>
        <w:t>typically determined through evaluation.</w:t>
      </w:r>
      <w:r w:rsidR="00BD3B41">
        <w:rPr>
          <w:rFonts w:eastAsiaTheme="minorEastAsia"/>
        </w:rPr>
        <w:t xml:space="preserve"> The</w:t>
      </w:r>
      <w:r w:rsidR="008D7614">
        <w:rPr>
          <w:rFonts w:eastAsiaTheme="minorEastAsia"/>
        </w:rPr>
        <w:t xml:space="preserve"> </w:t>
      </w:r>
      <w:proofErr w:type="spellStart"/>
      <w:r w:rsidR="00C64874" w:rsidRPr="00694970">
        <w:rPr>
          <w:rStyle w:val="CodeObjectChar"/>
        </w:rPr>
        <w:t>CalcEmissions</w:t>
      </w:r>
      <w:proofErr w:type="spellEnd"/>
      <w:r w:rsidR="00C64874">
        <w:rPr>
          <w:rFonts w:eastAsiaTheme="minorEastAsia"/>
        </w:rPr>
        <w:t xml:space="preserve"> </w:t>
      </w:r>
      <w:r w:rsidR="00BD3B41">
        <w:rPr>
          <w:rFonts w:eastAsiaTheme="minorEastAsia"/>
        </w:rPr>
        <w:t xml:space="preserve">procedure </w:t>
      </w:r>
      <w:r w:rsidR="00C64874">
        <w:rPr>
          <w:rFonts w:eastAsiaTheme="minorEastAsia"/>
        </w:rPr>
        <w:t xml:space="preserve">uses the </w:t>
      </w:r>
      <w:proofErr w:type="spellStart"/>
      <w:r w:rsidR="00C64874" w:rsidRPr="00C64874">
        <w:rPr>
          <w:rStyle w:val="CodeObjectChar"/>
        </w:rPr>
        <w:t>RRkWh</w:t>
      </w:r>
      <w:proofErr w:type="spellEnd"/>
      <w:r w:rsidR="00C64874">
        <w:rPr>
          <w:rFonts w:eastAsiaTheme="minorEastAsia"/>
        </w:rPr>
        <w:t xml:space="preserve"> field returned by the </w:t>
      </w:r>
      <w:proofErr w:type="spellStart"/>
      <w:r w:rsidR="00C64874" w:rsidRPr="00694970">
        <w:rPr>
          <w:rStyle w:val="CodeObjectChar"/>
        </w:rPr>
        <w:t>InputMeasurevw</w:t>
      </w:r>
      <w:proofErr w:type="spellEnd"/>
      <w:r w:rsidR="00C64874">
        <w:rPr>
          <w:rFonts w:eastAsiaTheme="minorEastAsia"/>
        </w:rPr>
        <w:t xml:space="preserve"> stored query for this factor. </w:t>
      </w:r>
      <w:r w:rsidR="008D7614">
        <w:rPr>
          <w:rFonts w:eastAsiaTheme="minorEastAsia"/>
        </w:rPr>
        <w:t>Values are typically between 0.5 and 1.0.</w:t>
      </w:r>
    </w:p>
    <w:p w14:paraId="6C709EC3" w14:textId="6680E158" w:rsidR="008D7614" w:rsidRDefault="009A4DF2" w:rsidP="000C779C">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oMath>
      <w:r w:rsidR="008D7614">
        <w:rPr>
          <w:rFonts w:eastAsiaTheme="minorEastAsia"/>
        </w:rPr>
        <w:t xml:space="preserve"> is the</w:t>
      </w:r>
      <w:r w:rsidR="00FD3299">
        <w:rPr>
          <w:rFonts w:eastAsiaTheme="minorEastAsia"/>
        </w:rPr>
        <w:t xml:space="preserve"> CO</w:t>
      </w:r>
      <w:r w:rsidR="00FD3299" w:rsidRPr="00FD3299">
        <w:rPr>
          <w:rFonts w:eastAsiaTheme="minorEastAsia"/>
          <w:vertAlign w:val="subscript"/>
        </w:rPr>
        <w:t>2</w:t>
      </w:r>
      <w:r w:rsidR="008D7614">
        <w:rPr>
          <w:rFonts w:eastAsiaTheme="minorEastAsia"/>
        </w:rPr>
        <w:t xml:space="preserve"> Emissions Rate for quarter</w:t>
      </w:r>
      <w:r w:rsidR="000055C2">
        <w:rPr>
          <w:rFonts w:eastAsiaTheme="minorEastAsia"/>
        </w:rPr>
        <w:t xml:space="preserve"> </w:t>
      </w:r>
      <m:oMath>
        <m:r>
          <w:rPr>
            <w:rFonts w:ascii="Cambria Math" w:hAnsi="Cambria Math"/>
          </w:rPr>
          <m:t>q</m:t>
        </m:r>
      </m:oMath>
      <w:r w:rsidR="00FD3299">
        <w:rPr>
          <w:rFonts w:eastAsiaTheme="minorEastAsia"/>
        </w:rPr>
        <w:t xml:space="preserve">, normalized for annual electric </w:t>
      </w:r>
      <w:proofErr w:type="gramStart"/>
      <w:r w:rsidR="00FD3299">
        <w:rPr>
          <w:rFonts w:eastAsiaTheme="minorEastAsia"/>
        </w:rPr>
        <w:t>savings</w:t>
      </w:r>
      <w:r w:rsidR="003B6354">
        <w:rPr>
          <w:rFonts w:eastAsiaTheme="minorEastAsia"/>
        </w:rPr>
        <w:t>.</w:t>
      </w:r>
      <w:proofErr w:type="gramEnd"/>
      <w:r w:rsidR="00FD3299">
        <w:rPr>
          <w:rFonts w:eastAsiaTheme="minorEastAsia"/>
        </w:rPr>
        <w:t xml:space="preserve"> The CO</w:t>
      </w:r>
      <w:r w:rsidR="00FD3299" w:rsidRPr="00FD3299">
        <w:rPr>
          <w:rFonts w:eastAsiaTheme="minorEastAsia"/>
          <w:vertAlign w:val="subscript"/>
        </w:rPr>
        <w:t>2</w:t>
      </w:r>
      <w:r w:rsidR="00FD3299">
        <w:rPr>
          <w:rFonts w:eastAsiaTheme="minorEastAsia"/>
        </w:rPr>
        <w:t xml:space="preserve"> Emissions Rate is provided in units of tons of CO</w:t>
      </w:r>
      <w:r w:rsidR="00FD3299" w:rsidRPr="00FD3299">
        <w:rPr>
          <w:rFonts w:eastAsiaTheme="minorEastAsia"/>
          <w:vertAlign w:val="subscript"/>
        </w:rPr>
        <w:t>2</w:t>
      </w:r>
      <w:r w:rsidR="00FD3299">
        <w:rPr>
          <w:rFonts w:eastAsiaTheme="minorEastAsia"/>
        </w:rPr>
        <w:t xml:space="preserve"> per annual kWh savings.</w:t>
      </w:r>
      <w:r w:rsidR="000055C2">
        <w:rPr>
          <w:rFonts w:eastAsiaTheme="minorEastAsia"/>
        </w:rPr>
        <w:t xml:space="preserve"> Values for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oMath>
      <w:r w:rsidR="000055C2">
        <w:rPr>
          <w:rFonts w:eastAsiaTheme="minorEastAsia"/>
        </w:rPr>
        <w:t xml:space="preserve"> are provided for each valid combination of Program Administrator, Target Sector, </w:t>
      </w:r>
      <w:r w:rsidR="000055C2">
        <w:rPr>
          <w:rFonts w:eastAsiaTheme="minorEastAsia"/>
        </w:rPr>
        <w:lastRenderedPageBreak/>
        <w:t xml:space="preserve">End Use, and Climate Zone for each quarter from 2017 through 2049 in the </w:t>
      </w:r>
      <w:r w:rsidR="000055C2" w:rsidRPr="000055C2">
        <w:rPr>
          <w:rStyle w:val="CodeObjectChar"/>
        </w:rPr>
        <w:t>CO2</w:t>
      </w:r>
      <w:r w:rsidR="000055C2">
        <w:rPr>
          <w:rFonts w:eastAsiaTheme="minorEastAsia"/>
        </w:rPr>
        <w:t xml:space="preserve"> column returned through the </w:t>
      </w:r>
      <w:r w:rsidR="000055C2" w:rsidRPr="000055C2">
        <w:rPr>
          <w:rStyle w:val="CodeObjectChar"/>
        </w:rPr>
        <w:t>E3EmissionsSourcevw</w:t>
      </w:r>
      <w:r w:rsidR="000055C2">
        <w:rPr>
          <w:rFonts w:eastAsiaTheme="minorEastAsia"/>
        </w:rPr>
        <w:t xml:space="preserve"> stored query.</w:t>
      </w:r>
    </w:p>
    <w:p w14:paraId="48FAC3E8" w14:textId="4FF2A715" w:rsidR="003B6354" w:rsidRDefault="009A4DF2" w:rsidP="000C779C">
      <w:pPr>
        <w:ind w:left="720"/>
        <w:rPr>
          <w:rFonts w:eastAsiaTheme="minorEastAsia"/>
        </w:rPr>
      </w:pPr>
      <m:oMath>
        <m:sSub>
          <m:sSubPr>
            <m:ctrlPr>
              <w:rPr>
                <w:rFonts w:ascii="Cambria Math" w:hAnsi="Cambria Math"/>
                <w:i/>
              </w:rPr>
            </m:ctrlPr>
          </m:sSubPr>
          <m:e>
            <m:r>
              <w:rPr>
                <w:rFonts w:ascii="Cambria Math" w:hAnsi="Cambria Math"/>
              </w:rPr>
              <m:t>AS</m:t>
            </m:r>
          </m:e>
          <m:sub>
            <m:r>
              <w:rPr>
                <w:rFonts w:ascii="Cambria Math" w:hAnsi="Cambria Math"/>
              </w:rPr>
              <m:t>q</m:t>
            </m:r>
          </m:sub>
        </m:sSub>
      </m:oMath>
      <w:r w:rsidR="003B6354">
        <w:rPr>
          <w:rFonts w:eastAsiaTheme="minorEastAsia"/>
        </w:rPr>
        <w:t xml:space="preserve"> is the applicable annual electric energy savings rate for the quarter </w:t>
      </w:r>
      <m:oMath>
        <m:r>
          <w:rPr>
            <w:rFonts w:ascii="Cambria Math" w:hAnsi="Cambria Math"/>
          </w:rPr>
          <m:t>q</m:t>
        </m:r>
      </m:oMath>
      <w:r w:rsidR="00C032A8">
        <w:rPr>
          <w:rFonts w:eastAsiaTheme="minorEastAsia"/>
        </w:rPr>
        <w:t>, in kWh</w:t>
      </w:r>
      <w:r w:rsidR="003B6354">
        <w:rPr>
          <w:rFonts w:eastAsiaTheme="minorEastAsia"/>
        </w:rPr>
        <w:t xml:space="preserve"> </w:t>
      </w:r>
      <w:r w:rsidR="00C032A8">
        <w:rPr>
          <w:rFonts w:eastAsiaTheme="minorEastAsia"/>
        </w:rPr>
        <w:t xml:space="preserve">per year. </w:t>
      </w:r>
      <m:oMath>
        <m:sSub>
          <m:sSubPr>
            <m:ctrlPr>
              <w:rPr>
                <w:rFonts w:ascii="Cambria Math" w:hAnsi="Cambria Math"/>
                <w:i/>
              </w:rPr>
            </m:ctrlPr>
          </m:sSubPr>
          <m:e>
            <m:r>
              <w:rPr>
                <w:rFonts w:ascii="Cambria Math" w:hAnsi="Cambria Math"/>
              </w:rPr>
              <m:t>AS</m:t>
            </m:r>
          </m:e>
          <m:sub>
            <m:r>
              <w:rPr>
                <w:rFonts w:ascii="Cambria Math" w:hAnsi="Cambria Math"/>
              </w:rPr>
              <m:t>q</m:t>
            </m:r>
          </m:sub>
        </m:sSub>
      </m:oMath>
      <w:r w:rsidR="00C032A8">
        <w:rPr>
          <w:rFonts w:eastAsiaTheme="minorEastAsia"/>
        </w:rPr>
        <w:t xml:space="preserve"> is evaluated based on first and second </w:t>
      </w:r>
      <w:r w:rsidR="00C032A8" w:rsidRPr="00C032A8">
        <w:t>baseline</w:t>
      </w:r>
      <w:r w:rsidR="00C032A8">
        <w:t xml:space="preserve"> savings rates</w:t>
      </w:r>
      <w:r w:rsidR="009C2B86">
        <w:t xml:space="preserve"> (</w:t>
      </w:r>
      <m:oMath>
        <m:sSub>
          <m:sSubPr>
            <m:ctrlPr>
              <w:rPr>
                <w:rFonts w:ascii="Cambria Math" w:hAnsi="Cambria Math"/>
                <w:i/>
              </w:rPr>
            </m:ctrlPr>
          </m:sSubPr>
          <m:e>
            <m:r>
              <w:rPr>
                <w:rFonts w:ascii="Cambria Math" w:hAnsi="Cambria Math"/>
              </w:rPr>
              <m:t>AS</m:t>
            </m:r>
          </m:e>
          <m:sub>
            <m:r>
              <w:rPr>
                <w:rFonts w:ascii="Cambria Math" w:hAnsi="Cambria Math"/>
              </w:rPr>
              <m:t>BL1</m:t>
            </m:r>
          </m:sub>
        </m:sSub>
      </m:oMath>
      <w:r w:rsidR="009C2B86">
        <w:rPr>
          <w:rFonts w:eastAsiaTheme="minorEastAsia"/>
        </w:rPr>
        <w:t xml:space="preserve"> and </w:t>
      </w:r>
      <m:oMath>
        <m:r>
          <w:rPr>
            <w:rFonts w:ascii="Cambria Math" w:eastAsiaTheme="minorEastAsia" w:hAnsi="Cambria Math"/>
          </w:rPr>
          <m:t>A</m:t>
        </m:r>
        <m:sSub>
          <m:sSubPr>
            <m:ctrlPr>
              <w:rPr>
                <w:rFonts w:ascii="Cambria Math" w:hAnsi="Cambria Math"/>
                <w:i/>
              </w:rPr>
            </m:ctrlPr>
          </m:sSubPr>
          <m:e>
            <m:r>
              <w:rPr>
                <w:rFonts w:ascii="Cambria Math" w:hAnsi="Cambria Math"/>
              </w:rPr>
              <m:t>S</m:t>
            </m:r>
          </m:e>
          <m:sub>
            <m:r>
              <w:rPr>
                <w:rFonts w:ascii="Cambria Math" w:hAnsi="Cambria Math"/>
              </w:rPr>
              <m:t>BL2</m:t>
            </m:r>
          </m:sub>
        </m:sSub>
      </m:oMath>
      <w:r w:rsidR="009C2B86">
        <w:t>)</w:t>
      </w:r>
      <w:r w:rsidR="00C032A8">
        <w:t xml:space="preserve">, as applicable, and is </w:t>
      </w:r>
      <w:r w:rsidR="003B6354" w:rsidRPr="00C032A8">
        <w:t>defined</w:t>
      </w:r>
      <w:r w:rsidR="003B6354">
        <w:rPr>
          <w:rFonts w:eastAsiaTheme="minorEastAsia"/>
        </w:rPr>
        <w:t xml:space="preserve"> as:</w:t>
      </w:r>
    </w:p>
    <w:p w14:paraId="58092D8E" w14:textId="015E2072" w:rsidR="003B6354" w:rsidRPr="0033554B" w:rsidRDefault="009A4DF2" w:rsidP="000C779C">
      <w:pPr>
        <w:keepNext/>
        <w:ind w:left="-360" w:right="-360"/>
        <w:rPr>
          <w:rFonts w:eastAsiaTheme="minorEastAsia"/>
        </w:rPr>
      </w:pPr>
      <m:oMathPara>
        <m:oMathParaPr>
          <m:jc m:val="left"/>
        </m:oMathParaPr>
        <m:oMath>
          <m:sSub>
            <m:sSubPr>
              <m:ctrlPr>
                <w:rPr>
                  <w:rFonts w:ascii="Cambria Math" w:hAnsi="Cambria Math"/>
                  <w:i/>
                </w:rPr>
              </m:ctrlPr>
            </m:sSubPr>
            <m:e>
              <m:r>
                <w:rPr>
                  <w:rFonts w:ascii="Cambria Math" w:hAnsi="Cambria Math"/>
                </w:rPr>
                <m:t>AS</m:t>
              </m:r>
            </m:e>
            <m:sub>
              <m:r>
                <w:rPr>
                  <w:rFonts w:ascii="Cambria Math" w:hAnsi="Cambria Math"/>
                </w:rPr>
                <m:t>q</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q+1&lt;</m:t>
                              </m:r>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AS</m:t>
                                  </m:r>
                                </m:e>
                                <m:sub>
                                  <m:r>
                                    <w:rPr>
                                      <w:rFonts w:ascii="Cambria Math" w:hAnsi="Cambria Math"/>
                                    </w:rPr>
                                    <m:t>BL1</m:t>
                                  </m:r>
                                </m:sub>
                              </m:sSub>
                            </m:e>
                          </m:mr>
                          <m:m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-1&lt;q+1&lt;</m:t>
                              </m:r>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AS</m:t>
                                  </m:r>
                                </m:e>
                                <m:sub>
                                  <m:r>
                                    <w:rPr>
                                      <w:rFonts w:ascii="Cambria Math" w:hAnsi="Cambria Math"/>
                                    </w:rPr>
                                    <m:t>BL1</m:t>
                                  </m:r>
                                </m:sub>
                              </m:sSub>
                            </m:e>
                          </m:mr>
                          <m:mr>
                            <m:e>
                              <m:r>
                                <m:rPr>
                                  <m:nor/>
                                </m:rPr>
                                <w:rPr>
                                  <w:rFonts w:ascii="Cambria Math" w:hAnsi="Cambria Math"/>
                                </w:rPr>
                                <m:t>otherwise</m:t>
                              </m:r>
                              <m:r>
                                <w:rPr>
                                  <w:rFonts w:ascii="Cambria Math" w:hAnsi="Cambria Math"/>
                                </w:rPr>
                                <m:t>→0</m:t>
                              </m:r>
                            </m:e>
                          </m:mr>
                        </m:m>
                      </m:e>
                    </m:d>
                    <m:r>
                      <m:rPr>
                        <m:nor/>
                      </m:rPr>
                      <w:rPr>
                        <w:rFonts w:ascii="Cambria Math" w:hAnsi="Cambria Math"/>
                      </w:rPr>
                      <m:t>single baseline</m:t>
                    </m:r>
                  </m:e>
                </m:m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q+1&lt;</m:t>
                                    </m:r>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BL1</m:t>
                                        </m:r>
                                      </m:sub>
                                    </m:sSub>
                                  </m:e>
                                </m:mr>
                                <m:m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-1&lt;q+1&lt;</m:t>
                                            </m:r>
                                            <m:sSub>
                                              <m:sSubPr>
                                                <m:ctrlPr>
                                                  <w:rPr>
                                                    <w:rFonts w:ascii="Cambria Math" w:hAnsi="Cambria Math"/>
                                                    <w:i/>
                                                  </w:rPr>
                                                </m:ctrlPr>
                                              </m:sSubPr>
                                              <m:e>
                                                <m:r>
                                                  <w:rPr>
                                                    <w:rFonts w:ascii="Cambria Math" w:hAnsi="Cambria Math"/>
                                                  </w:rPr>
                                                  <m:t>RUL</m:t>
                                                </m:r>
                                              </m:e>
                                              <m:sub>
                                                <m:r>
                                                  <w:rPr>
                                                    <w:rFonts w:ascii="Cambria Math" w:hAnsi="Cambria Math"/>
                                                  </w:rPr>
                                                  <m:t>q</m:t>
                                                </m:r>
                                              </m:sub>
                                            </m:sSub>
                                          </m:e>
                                        </m:d>
                                        <m:r>
                                          <w:rPr>
                                            <w:rFonts w:ascii="Cambria Math" w:hAnsi="Cambria Math"/>
                                          </w:rPr>
                                          <m:t>∧</m:t>
                                        </m:r>
                                        <m:d>
                                          <m:dPr>
                                            <m:ctrlPr>
                                              <w:rPr>
                                                <w:rFonts w:ascii="Cambria Math" w:hAnsi="Cambria Math"/>
                                                <w:i/>
                                              </w:rPr>
                                            </m:ctrlPr>
                                          </m:dPr>
                                          <m:e>
                                            <m:r>
                                              <w:rPr>
                                                <w:rFonts w:ascii="Cambria Math" w:hAnsi="Cambria Math"/>
                                              </w:rPr>
                                              <m:t>q+1&lt;</m:t>
                                            </m:r>
                                            <m:sSub>
                                              <m:sSubPr>
                                                <m:ctrlPr>
                                                  <w:rPr>
                                                    <w:rFonts w:ascii="Cambria Math" w:hAnsi="Cambria Math"/>
                                                    <w:i/>
                                                  </w:rPr>
                                                </m:ctrlPr>
                                              </m:sSubPr>
                                              <m:e>
                                                <m:r>
                                                  <w:rPr>
                                                    <w:rFonts w:ascii="Cambria Math" w:hAnsi="Cambria Math"/>
                                                  </w:rPr>
                                                  <m:t>EUL</m:t>
                                                </m:r>
                                              </m:e>
                                              <m:sub>
                                                <m:r>
                                                  <w:rPr>
                                                    <w:rFonts w:ascii="Cambria Math" w:hAnsi="Cambria Math"/>
                                                  </w:rPr>
                                                  <m:t>q</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b</m:t>
                                            </m:r>
                                          </m:sub>
                                        </m:sSub>
                                      </m:e>
                                    </m:d>
                                    <m:sSub>
                                      <m:sSubPr>
                                        <m:ctrlPr>
                                          <w:rPr>
                                            <w:rFonts w:ascii="Cambria Math" w:hAnsi="Cambria Math"/>
                                            <w:i/>
                                          </w:rPr>
                                        </m:ctrlPr>
                                      </m:sSubPr>
                                      <m:e>
                                        <m:r>
                                          <w:rPr>
                                            <w:rFonts w:ascii="Cambria Math" w:hAnsi="Cambria Math"/>
                                          </w:rPr>
                                          <m:t>AS</m:t>
                                        </m:r>
                                      </m:e>
                                      <m:sub>
                                        <m:r>
                                          <w:rPr>
                                            <w:rFonts w:ascii="Cambria Math" w:hAnsi="Cambria Math"/>
                                          </w:rPr>
                                          <m:t>BL2</m:t>
                                        </m:r>
                                      </m:sub>
                                    </m:sSub>
                                  </m:e>
                                </m:mr>
                                <m:m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-1&lt;q+1&lt;</m:t>
                                            </m:r>
                                            <m:sSub>
                                              <m:sSubPr>
                                                <m:ctrlPr>
                                                  <w:rPr>
                                                    <w:rFonts w:ascii="Cambria Math" w:hAnsi="Cambria Math"/>
                                                    <w:i/>
                                                  </w:rPr>
                                                </m:ctrlPr>
                                              </m:sSubPr>
                                              <m:e>
                                                <m:r>
                                                  <w:rPr>
                                                    <w:rFonts w:ascii="Cambria Math" w:hAnsi="Cambria Math"/>
                                                  </w:rPr>
                                                  <m:t>RUL</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-1&lt;q+1&lt;</m:t>
                                            </m:r>
                                            <m:sSub>
                                              <m:sSubPr>
                                                <m:ctrlPr>
                                                  <w:rPr>
                                                    <w:rFonts w:ascii="Cambria Math" w:hAnsi="Cambria Math"/>
                                                    <w:i/>
                                                  </w:rPr>
                                                </m:ctrlPr>
                                              </m:sSubPr>
                                              <m:e>
                                                <m:r>
                                                  <w:rPr>
                                                    <w:rFonts w:ascii="Cambria Math" w:hAnsi="Cambria Math"/>
                                                  </w:rPr>
                                                  <m:t>EUL</m:t>
                                                </m:r>
                                              </m:e>
                                              <m:sub>
                                                <m:r>
                                                  <w:rPr>
                                                    <w:rFonts w:ascii="Cambria Math" w:hAnsi="Cambria Math"/>
                                                  </w:rPr>
                                                  <m:t>q</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sSub>
                                      <m:sSubPr>
                                        <m:ctrlPr>
                                          <w:rPr>
                                            <w:rFonts w:ascii="Cambria Math" w:hAnsi="Cambria Math"/>
                                            <w:i/>
                                          </w:rPr>
                                        </m:ctrlPr>
                                      </m:sSubPr>
                                      <m:e>
                                        <m:r>
                                          <w:rPr>
                                            <w:rFonts w:ascii="Cambria Math" w:hAnsi="Cambria Math"/>
                                          </w:rPr>
                                          <m:t>AS</m:t>
                                        </m:r>
                                      </m:e>
                                      <m:sub>
                                        <m:r>
                                          <w:rPr>
                                            <w:rFonts w:ascii="Cambria Math" w:hAnsi="Cambria Math"/>
                                          </w:rPr>
                                          <m:t>BL2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&lt;q+1&lt;</m:t>
                                    </m:r>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BL2</m:t>
                                        </m:r>
                                      </m:sub>
                                    </m:sSub>
                                  </m:e>
                                </m:mr>
                                <m:m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&lt;q+1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-1&lt;q+1&lt;</m:t>
                                            </m:r>
                                            <m:sSub>
                                              <m:sSubPr>
                                                <m:ctrlPr>
                                                  <w:rPr>
                                                    <w:rFonts w:ascii="Cambria Math" w:hAnsi="Cambria Math"/>
                                                    <w:i/>
                                                  </w:rPr>
                                                </m:ctrlPr>
                                              </m:sSubPr>
                                              <m:e>
                                                <m:r>
                                                  <w:rPr>
                                                    <w:rFonts w:ascii="Cambria Math" w:hAnsi="Cambria Math"/>
                                                  </w:rPr>
                                                  <m:t>EUL</m:t>
                                                </m:r>
                                              </m:e>
                                              <m:sub>
                                                <m:r>
                                                  <w:rPr>
                                                    <w:rFonts w:ascii="Cambria Math" w:hAnsi="Cambria Math"/>
                                                  </w:rPr>
                                                  <m:t>q</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AS</m:t>
                                        </m:r>
                                      </m:e>
                                      <m:sub>
                                        <m:r>
                                          <w:rPr>
                                            <w:rFonts w:ascii="Cambria Math" w:hAnsi="Cambria Math"/>
                                          </w:rPr>
                                          <m:t>BL2</m:t>
                                        </m:r>
                                      </m:sub>
                                    </m:sSub>
                                  </m:e>
                                </m:mr>
                                <m:mr>
                                  <m:e>
                                    <m:r>
                                      <m:rPr>
                                        <m:nor/>
                                      </m:rPr>
                                      <w:rPr>
                                        <w:rFonts w:ascii="Cambria Math" w:hAnsi="Cambria Math"/>
                                      </w:rPr>
                                      <m:t>otherwise</m:t>
                                    </m:r>
                                    <m:r>
                                      <w:rPr>
                                        <w:rFonts w:ascii="Cambria Math" w:hAnsi="Cambria Math"/>
                                      </w:rPr>
                                      <m:t>→0</m:t>
                                    </m:r>
                                  </m:e>
                                </m:mr>
                              </m:m>
                            </m:e>
                          </m:mr>
                        </m:m>
                      </m:e>
                    </m:d>
                    <m:r>
                      <m:rPr>
                        <m:nor/>
                      </m:rPr>
                      <w:rPr>
                        <w:rFonts w:ascii="Cambria Math" w:hAnsi="Cambria Math"/>
                      </w:rPr>
                      <m:t>dual baseline</m:t>
                    </m:r>
                  </m:e>
                </m:mr>
              </m:m>
            </m:e>
          </m:d>
        </m:oMath>
      </m:oMathPara>
    </w:p>
    <w:p w14:paraId="4C15469B" w14:textId="4F55AEA6" w:rsidR="0033554B" w:rsidRDefault="00EF60B0" w:rsidP="00652C7B">
      <w:pPr>
        <w:pStyle w:val="Caption"/>
        <w:ind w:left="720"/>
        <w:rPr>
          <w:rFonts w:eastAsiaTheme="minorEastAsia"/>
        </w:rPr>
      </w:pPr>
      <w:r>
        <w:t xml:space="preserve">Equation </w:t>
      </w:r>
      <w:fldSimple w:instr=" SEQ Equation \c \* ARABIC ">
        <w:r w:rsidR="00552F8C">
          <w:rPr>
            <w:noProof/>
          </w:rPr>
          <w:t>1</w:t>
        </w:r>
      </w:fldSimple>
      <w:r w:rsidR="000279C4">
        <w:t>.</w:t>
      </w:r>
      <w:fldSimple w:instr=" SEQ SubEquation \r 1 \* ARABIC ">
        <w:r w:rsidR="00552F8C">
          <w:rPr>
            <w:noProof/>
          </w:rPr>
          <w:t>1</w:t>
        </w:r>
      </w:fldSimple>
    </w:p>
    <w:p w14:paraId="7C096EAC" w14:textId="6B57979B" w:rsidR="0033554B" w:rsidRDefault="0033554B" w:rsidP="000C779C">
      <w:pPr>
        <w:ind w:left="720"/>
        <w:rPr>
          <w:rFonts w:eastAsiaTheme="minorEastAsia"/>
        </w:rPr>
      </w:pPr>
      <w:r>
        <w:rPr>
          <w:rFonts w:eastAsiaTheme="minorEastAsia"/>
        </w:rPr>
        <w:t>Where:</w:t>
      </w:r>
    </w:p>
    <w:p w14:paraId="1A600DF2" w14:textId="73E92A90" w:rsidR="0033554B" w:rsidRDefault="009A4DF2" w:rsidP="000C779C">
      <w:pPr>
        <w:ind w:left="1440"/>
        <w:rPr>
          <w:rFonts w:eastAsiaTheme="minorEastAsia"/>
        </w:rPr>
      </w:pPr>
      <m:oMath>
        <m:sSub>
          <m:sSubPr>
            <m:ctrlPr>
              <w:rPr>
                <w:rFonts w:ascii="Cambria Math" w:hAnsi="Cambria Math"/>
                <w:i/>
              </w:rPr>
            </m:ctrlPr>
          </m:sSubPr>
          <m:e>
            <m:r>
              <w:rPr>
                <w:rFonts w:ascii="Cambria Math" w:hAnsi="Cambria Math"/>
              </w:rPr>
              <m:t>RUL</m:t>
            </m:r>
          </m:e>
          <m:sub>
            <m:r>
              <w:rPr>
                <w:rFonts w:ascii="Cambria Math" w:hAnsi="Cambria Math"/>
              </w:rPr>
              <m:t>q</m:t>
            </m:r>
          </m:sub>
        </m:sSub>
      </m:oMath>
      <w:r w:rsidR="0033554B">
        <w:rPr>
          <w:rFonts w:eastAsiaTheme="minorEastAsia"/>
        </w:rPr>
        <w:t xml:space="preserve"> and </w:t>
      </w: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33554B">
        <w:rPr>
          <w:rFonts w:eastAsiaTheme="minorEastAsia"/>
        </w:rPr>
        <w:t xml:space="preserve"> are the Remaining and Expected Useful Life associated with the measure, expressed in quarters of years.</w:t>
      </w:r>
      <w:r w:rsidR="00DC5B4D">
        <w:rPr>
          <w:rFonts w:eastAsiaTheme="minorEastAsia"/>
        </w:rPr>
        <w:t xml:space="preserve"> The </w:t>
      </w:r>
      <w:proofErr w:type="spellStart"/>
      <w:r w:rsidR="00FD513C" w:rsidRPr="00FD513C">
        <w:rPr>
          <w:rStyle w:val="CodeObjectChar"/>
        </w:rPr>
        <w:t>CalcEmissions</w:t>
      </w:r>
      <w:proofErr w:type="spellEnd"/>
      <w:r w:rsidR="00FD513C">
        <w:rPr>
          <w:rFonts w:eastAsiaTheme="minorEastAsia"/>
        </w:rPr>
        <w:t xml:space="preserve"> </w:t>
      </w:r>
      <w:r w:rsidR="00DC5B4D">
        <w:rPr>
          <w:rFonts w:eastAsiaTheme="minorEastAsia"/>
        </w:rPr>
        <w:t xml:space="preserve">procedure </w:t>
      </w:r>
      <w:r w:rsidR="00FD513C">
        <w:rPr>
          <w:rFonts w:eastAsiaTheme="minorEastAsia"/>
        </w:rPr>
        <w:t xml:space="preserve">uses the values in fields </w:t>
      </w:r>
      <w:proofErr w:type="spellStart"/>
      <w:r w:rsidR="00FD513C" w:rsidRPr="00FD513C">
        <w:rPr>
          <w:rStyle w:val="CodeObjectChar"/>
        </w:rPr>
        <w:t>RULq</w:t>
      </w:r>
      <w:proofErr w:type="spellEnd"/>
      <w:r w:rsidR="00FD513C">
        <w:rPr>
          <w:rFonts w:eastAsiaTheme="minorEastAsia"/>
        </w:rPr>
        <w:t xml:space="preserve"> and </w:t>
      </w:r>
      <w:proofErr w:type="spellStart"/>
      <w:r w:rsidR="00FD513C" w:rsidRPr="00FD513C">
        <w:rPr>
          <w:rStyle w:val="CodeObjectChar"/>
        </w:rPr>
        <w:t>EULq</w:t>
      </w:r>
      <w:proofErr w:type="spellEnd"/>
      <w:r w:rsidR="00FD513C">
        <w:rPr>
          <w:rFonts w:eastAsiaTheme="minorEastAsia"/>
        </w:rPr>
        <w:t xml:space="preserve"> in the </w:t>
      </w:r>
      <w:proofErr w:type="spellStart"/>
      <w:r w:rsidR="00FD513C" w:rsidRPr="00FD513C">
        <w:rPr>
          <w:rStyle w:val="CodeObjectChar"/>
        </w:rPr>
        <w:t>InputMeasurevw</w:t>
      </w:r>
      <w:proofErr w:type="spellEnd"/>
      <w:r w:rsidR="00FD513C">
        <w:rPr>
          <w:rFonts w:eastAsiaTheme="minorEastAsia"/>
        </w:rPr>
        <w:t xml:space="preserve"> stored query for these factors. </w:t>
      </w:r>
      <w:r w:rsidR="0033554B">
        <w:rPr>
          <w:rFonts w:eastAsiaTheme="minorEastAsia"/>
        </w:rPr>
        <w:t>These values can be integers or fractional values, and typical values range from zero to 72 (</w:t>
      </w:r>
      <w:r w:rsidR="000279C4">
        <w:rPr>
          <w:rFonts w:eastAsiaTheme="minorEastAsia"/>
        </w:rPr>
        <w:t xml:space="preserve">i.e., </w:t>
      </w:r>
      <w:r w:rsidR="0033554B">
        <w:rPr>
          <w:rFonts w:eastAsiaTheme="minorEastAsia"/>
        </w:rPr>
        <w:t xml:space="preserve">18 years). The data provided through </w:t>
      </w:r>
      <w:r w:rsidR="0033554B" w:rsidRPr="0033554B">
        <w:rPr>
          <w:rStyle w:val="CodeObjectChar"/>
        </w:rPr>
        <w:t>E3EmissionsSourcevw</w:t>
      </w:r>
      <w:r w:rsidR="0033554B">
        <w:rPr>
          <w:rFonts w:eastAsiaTheme="minorEastAsia"/>
        </w:rPr>
        <w:t xml:space="preserve"> permit measures with lifecycles fully contained </w:t>
      </w:r>
      <w:r w:rsidR="000279C4">
        <w:rPr>
          <w:rFonts w:eastAsiaTheme="minorEastAsia"/>
        </w:rPr>
        <w:t xml:space="preserve">in the 120 quarters </w:t>
      </w:r>
      <w:r w:rsidR="00EF60B0">
        <w:rPr>
          <w:rFonts w:eastAsiaTheme="minorEastAsia"/>
        </w:rPr>
        <w:t xml:space="preserve">from </w:t>
      </w:r>
      <w:r w:rsidR="0033554B">
        <w:rPr>
          <w:rFonts w:eastAsiaTheme="minorEastAsia"/>
        </w:rPr>
        <w:t xml:space="preserve">2017 </w:t>
      </w:r>
      <w:r w:rsidR="00EF60B0">
        <w:rPr>
          <w:rFonts w:eastAsiaTheme="minorEastAsia"/>
        </w:rPr>
        <w:t xml:space="preserve">through </w:t>
      </w:r>
      <w:r w:rsidR="0033554B">
        <w:rPr>
          <w:rFonts w:eastAsiaTheme="minorEastAsia"/>
        </w:rPr>
        <w:t>2046</w:t>
      </w:r>
      <w:r w:rsidR="00EF60B0">
        <w:rPr>
          <w:rFonts w:eastAsiaTheme="minorEastAsia"/>
        </w:rPr>
        <w:t xml:space="preserve">, and any quarters occurring outside this window will be counted as contributing </w:t>
      </w:r>
      <w:r w:rsidR="000279C4">
        <w:rPr>
          <w:rFonts w:eastAsiaTheme="minorEastAsia"/>
        </w:rPr>
        <w:t>zero</w:t>
      </w:r>
      <w:r w:rsidR="00EF60B0">
        <w:rPr>
          <w:rFonts w:eastAsiaTheme="minorEastAsia"/>
        </w:rPr>
        <w:t xml:space="preserve"> emissions reductions.</w:t>
      </w:r>
      <w:r w:rsidR="00610A10">
        <w:rPr>
          <w:rFonts w:eastAsiaTheme="minorEastAsia"/>
        </w:rPr>
        <w:t xml:space="preserve"> </w:t>
      </w:r>
      <m:oMath>
        <m:sSub>
          <m:sSubPr>
            <m:ctrlPr>
              <w:rPr>
                <w:rFonts w:ascii="Cambria Math" w:hAnsi="Cambria Math"/>
                <w:i/>
              </w:rPr>
            </m:ctrlPr>
          </m:sSubPr>
          <m:e>
            <m:r>
              <w:rPr>
                <w:rFonts w:ascii="Cambria Math" w:hAnsi="Cambria Math"/>
              </w:rPr>
              <m:t>RUL</m:t>
            </m:r>
          </m:e>
          <m:sub>
            <m:r>
              <w:rPr>
                <w:rFonts w:ascii="Cambria Math" w:hAnsi="Cambria Math"/>
              </w:rPr>
              <m:t>q</m:t>
            </m:r>
          </m:sub>
        </m:sSub>
      </m:oMath>
      <w:r w:rsidR="00610A10">
        <w:rPr>
          <w:rFonts w:eastAsiaTheme="minorEastAsia"/>
        </w:rPr>
        <w:t xml:space="preserve"> and </w:t>
      </w: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610A10">
        <w:rPr>
          <w:rFonts w:eastAsiaTheme="minorEastAsia"/>
        </w:rPr>
        <w:t xml:space="preserve"> are both assumed to be non-negative, and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≤EUL</m:t>
            </m:r>
          </m:e>
          <m:sub>
            <m:r>
              <w:rPr>
                <w:rFonts w:ascii="Cambria Math" w:hAnsi="Cambria Math"/>
              </w:rPr>
              <m:t>q</m:t>
            </m:r>
          </m:sub>
        </m:sSub>
        <m:r>
          <w:rPr>
            <w:rFonts w:ascii="Cambria Math" w:hAnsi="Cambria Math"/>
          </w:rPr>
          <m:t>.</m:t>
        </m:r>
      </m:oMath>
    </w:p>
    <w:p w14:paraId="6104CAB5" w14:textId="5A175078" w:rsidR="000279C4" w:rsidRDefault="009A4DF2" w:rsidP="000C779C">
      <w:pPr>
        <w:ind w:left="1440"/>
        <w:rPr>
          <w:rFonts w:eastAsiaTheme="minorEastAsia"/>
        </w:rPr>
      </w:pPr>
      <m:oMath>
        <m:sSub>
          <m:sSubPr>
            <m:ctrlPr>
              <w:rPr>
                <w:rFonts w:ascii="Cambria Math" w:hAnsi="Cambria Math"/>
                <w:i/>
              </w:rPr>
            </m:ctrlPr>
          </m:sSubPr>
          <m:e>
            <m:r>
              <w:rPr>
                <w:rFonts w:ascii="Cambria Math" w:hAnsi="Cambria Math"/>
              </w:rPr>
              <m:t>AS</m:t>
            </m:r>
          </m:e>
          <m:sub>
            <m:r>
              <w:rPr>
                <w:rFonts w:ascii="Cambria Math" w:hAnsi="Cambria Math"/>
              </w:rPr>
              <m:t>BL1</m:t>
            </m:r>
          </m:sub>
        </m:sSub>
      </m:oMath>
      <w:r w:rsidR="000279C4">
        <w:rPr>
          <w:rFonts w:eastAsiaTheme="minorEastAsia"/>
        </w:rPr>
        <w:t xml:space="preserve"> and </w:t>
      </w:r>
      <m:oMath>
        <m:sSub>
          <m:sSubPr>
            <m:ctrlPr>
              <w:rPr>
                <w:rFonts w:ascii="Cambria Math" w:hAnsi="Cambria Math"/>
                <w:i/>
              </w:rPr>
            </m:ctrlPr>
          </m:sSubPr>
          <m:e>
            <m:r>
              <w:rPr>
                <w:rFonts w:ascii="Cambria Math" w:hAnsi="Cambria Math"/>
              </w:rPr>
              <m:t>AS</m:t>
            </m:r>
          </m:e>
          <m:sub>
            <m:r>
              <w:rPr>
                <w:rFonts w:ascii="Cambria Math" w:hAnsi="Cambria Math"/>
              </w:rPr>
              <m:t>BL2</m:t>
            </m:r>
          </m:sub>
        </m:sSub>
      </m:oMath>
      <w:r w:rsidR="000279C4">
        <w:rPr>
          <w:rFonts w:eastAsiaTheme="minorEastAsia"/>
        </w:rPr>
        <w:t xml:space="preserve"> are the annual electric savings rates in kWh per year for the first and second baselines of the measure’s lifecycle, respectively. For single-baseline measures, </w:t>
      </w:r>
      <m:oMath>
        <m:sSub>
          <m:sSubPr>
            <m:ctrlPr>
              <w:rPr>
                <w:rFonts w:ascii="Cambria Math" w:hAnsi="Cambria Math"/>
                <w:i/>
              </w:rPr>
            </m:ctrlPr>
          </m:sSubPr>
          <m:e>
            <m:r>
              <w:rPr>
                <w:rFonts w:ascii="Cambria Math" w:hAnsi="Cambria Math"/>
              </w:rPr>
              <m:t>AS</m:t>
            </m:r>
          </m:e>
          <m:sub>
            <m:r>
              <w:rPr>
                <w:rFonts w:ascii="Cambria Math" w:hAnsi="Cambria Math"/>
              </w:rPr>
              <m:t>BL1</m:t>
            </m:r>
          </m:sub>
        </m:sSub>
      </m:oMath>
      <w:r w:rsidR="000279C4">
        <w:rPr>
          <w:rFonts w:eastAsiaTheme="minorEastAsia"/>
        </w:rPr>
        <w:t xml:space="preserve"> is applied for the entirety of their lifecycles, i.e., from the installation quarter through the Expected Useful Life. For dual-baseline measures, </w:t>
      </w:r>
      <m:oMath>
        <m:sSub>
          <m:sSubPr>
            <m:ctrlPr>
              <w:rPr>
                <w:rFonts w:ascii="Cambria Math" w:hAnsi="Cambria Math"/>
                <w:i/>
              </w:rPr>
            </m:ctrlPr>
          </m:sSubPr>
          <m:e>
            <m:r>
              <w:rPr>
                <w:rFonts w:ascii="Cambria Math" w:hAnsi="Cambria Math"/>
              </w:rPr>
              <m:t>AS</m:t>
            </m:r>
          </m:e>
          <m:sub>
            <m:r>
              <w:rPr>
                <w:rFonts w:ascii="Cambria Math" w:hAnsi="Cambria Math"/>
              </w:rPr>
              <m:t>BL1</m:t>
            </m:r>
          </m:sub>
        </m:sSub>
      </m:oMath>
      <w:r w:rsidR="000279C4">
        <w:rPr>
          <w:rFonts w:eastAsiaTheme="minorEastAsia"/>
        </w:rPr>
        <w:t xml:space="preserve"> is applied from the installation quarter through the Remaining Useful Life, and </w:t>
      </w:r>
      <m:oMath>
        <m:sSub>
          <m:sSubPr>
            <m:ctrlPr>
              <w:rPr>
                <w:rFonts w:ascii="Cambria Math" w:hAnsi="Cambria Math"/>
                <w:i/>
              </w:rPr>
            </m:ctrlPr>
          </m:sSubPr>
          <m:e>
            <m:r>
              <w:rPr>
                <w:rFonts w:ascii="Cambria Math" w:hAnsi="Cambria Math"/>
              </w:rPr>
              <m:t>AS</m:t>
            </m:r>
          </m:e>
          <m:sub>
            <m:r>
              <w:rPr>
                <w:rFonts w:ascii="Cambria Math" w:hAnsi="Cambria Math"/>
              </w:rPr>
              <m:t>BL2</m:t>
            </m:r>
          </m:sub>
        </m:sSub>
      </m:oMath>
      <w:r w:rsidR="000279C4">
        <w:rPr>
          <w:rFonts w:eastAsiaTheme="minorEastAsia"/>
        </w:rPr>
        <w:t xml:space="preserve"> is applied between the Remaining Useful Life and the Expected Useful Life.</w:t>
      </w:r>
      <w:r w:rsidR="00DC5B4D">
        <w:rPr>
          <w:rFonts w:eastAsiaTheme="minorEastAsia"/>
        </w:rPr>
        <w:t xml:space="preserve"> The </w:t>
      </w:r>
      <w:proofErr w:type="spellStart"/>
      <w:r w:rsidR="00DC5B4D" w:rsidRPr="00DC5B4D">
        <w:rPr>
          <w:rStyle w:val="CodeObjectChar"/>
        </w:rPr>
        <w:t>CalcEmissions</w:t>
      </w:r>
      <w:proofErr w:type="spellEnd"/>
      <w:r w:rsidR="00DC5B4D">
        <w:rPr>
          <w:rFonts w:eastAsiaTheme="minorEastAsia"/>
        </w:rPr>
        <w:t xml:space="preserve"> procedure applies values of the </w:t>
      </w:r>
      <w:r w:rsidR="00DC5B4D" w:rsidRPr="00DC5B4D">
        <w:rPr>
          <w:rStyle w:val="CodeObjectChar"/>
        </w:rPr>
        <w:t>kWh1</w:t>
      </w:r>
      <w:r w:rsidR="00DC5B4D">
        <w:rPr>
          <w:rFonts w:eastAsiaTheme="minorEastAsia"/>
        </w:rPr>
        <w:t xml:space="preserve"> and </w:t>
      </w:r>
      <w:r w:rsidR="00DC5B4D" w:rsidRPr="00DC5B4D">
        <w:rPr>
          <w:rStyle w:val="CodeObjectChar"/>
        </w:rPr>
        <w:t>kWh2</w:t>
      </w:r>
      <w:r w:rsidR="00DC5B4D">
        <w:rPr>
          <w:rFonts w:eastAsiaTheme="minorEastAsia"/>
        </w:rPr>
        <w:t xml:space="preserve"> fields returned by the saved query </w:t>
      </w:r>
      <w:proofErr w:type="spellStart"/>
      <w:r w:rsidR="00DC5B4D" w:rsidRPr="00DC5B4D">
        <w:rPr>
          <w:rStyle w:val="CodeObjectChar"/>
        </w:rPr>
        <w:t>InputMeasurevw</w:t>
      </w:r>
      <w:proofErr w:type="spellEnd"/>
      <w:r w:rsidR="00DC5B4D">
        <w:rPr>
          <w:rFonts w:eastAsiaTheme="minorEastAsia"/>
        </w:rPr>
        <w:t xml:space="preserve"> for these factors.</w:t>
      </w:r>
    </w:p>
    <w:p w14:paraId="079AD6F5" w14:textId="60F6BE12" w:rsidR="000279C4" w:rsidRDefault="009A4DF2" w:rsidP="000C779C">
      <w:pPr>
        <w:ind w:left="1440"/>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000279C4">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b</m:t>
            </m:r>
          </m:sub>
        </m:sSub>
      </m:oMath>
      <w:r w:rsidR="000279C4">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0279C4">
        <w:rPr>
          <w:rFonts w:eastAsiaTheme="minorEastAsia"/>
        </w:rPr>
        <w:t xml:space="preserve"> are scaling factors which weight the baseline annual savings rates according to the amount of time within the given quarter is within either the first or the second baseline. These factors are defined as:</w:t>
      </w:r>
    </w:p>
    <w:p w14:paraId="7B960E4C" w14:textId="0497A9A0" w:rsidR="000C779C" w:rsidRPr="00295C1E" w:rsidRDefault="009A4DF2" w:rsidP="00295C1E">
      <w:pPr>
        <w:keepNext/>
        <w:ind w:left="1440"/>
      </w:pPr>
      <m:oMathPara>
        <m:oMathParaPr>
          <m:jc m:val="left"/>
        </m:oMathParaPr>
        <m:oMath>
          <m:m>
            <m:mPr>
              <m:mcs>
                <m:mc>
                  <m:mcPr>
                    <m:count m:val="1"/>
                    <m:mcJc m:val="center"/>
                  </m:mcPr>
                </m:mc>
              </m:mcs>
              <m:ctrlPr>
                <w:rPr>
                  <w:rFonts w:ascii="Cambria Math" w:eastAsiaTheme="minorEastAsia" w:hAnsi="Cambria Math"/>
                  <w:i/>
                  <w:iCs/>
                </w:rPr>
              </m:ctrlPr>
            </m:mPr>
            <m:mr>
              <m:e>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e>
            </m:mr>
            <m:mr>
              <m:e>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m:t>
                </m:r>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RUL</m:t>
                        </m:r>
                      </m:e>
                      <m:sub>
                        <m:r>
                          <w:rPr>
                            <w:rFonts w:ascii="Cambria Math" w:hAnsi="Cambria Math"/>
                          </w:rPr>
                          <m:t>q</m:t>
                        </m:r>
                      </m:sub>
                    </m:sSub>
                  </m:e>
                </m:d>
              </m:e>
            </m:mr>
            <m:mr>
              <m:e>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RUL</m:t>
                    </m:r>
                  </m:e>
                  <m:sub>
                    <m:r>
                      <w:rPr>
                        <w:rFonts w:ascii="Cambria Math" w:hAnsi="Cambria Math"/>
                      </w:rPr>
                      <m:t>q</m:t>
                    </m:r>
                  </m:sub>
                </m:sSub>
              </m:e>
            </m:mr>
          </m:m>
        </m:oMath>
      </m:oMathPara>
    </w:p>
    <w:p w14:paraId="51FBEE12" w14:textId="304CF059" w:rsidR="0038277F" w:rsidRDefault="000C779C" w:rsidP="00610A10">
      <w:pPr>
        <w:pStyle w:val="Caption"/>
        <w:ind w:left="1440"/>
        <w:rPr>
          <w:noProof/>
        </w:rPr>
      </w:pPr>
      <w:r>
        <w:t xml:space="preserve">Equation </w:t>
      </w:r>
      <w:fldSimple w:instr=" SEQ Equation \c \* ARABIC ">
        <w:r w:rsidR="00552F8C">
          <w:rPr>
            <w:noProof/>
          </w:rPr>
          <w:t>1</w:t>
        </w:r>
      </w:fldSimple>
      <w:r>
        <w:t>.</w:t>
      </w:r>
      <w:fldSimple w:instr=" SEQ SubEquation \* ARABIC ">
        <w:r w:rsidR="00552F8C">
          <w:rPr>
            <w:noProof/>
          </w:rPr>
          <w:t>2</w:t>
        </w:r>
      </w:fldSimple>
    </w:p>
    <w:p w14:paraId="3D09A15B" w14:textId="77777777" w:rsidR="009A35C6" w:rsidRDefault="009A35C6" w:rsidP="009A35C6"/>
    <w:p w14:paraId="113BAE40" w14:textId="13479AC8" w:rsidR="009A35C6" w:rsidRDefault="009A35C6" w:rsidP="009A35C6">
      <w:pPr>
        <w:sectPr w:rsidR="009A35C6">
          <w:pgSz w:w="12240" w:h="15840"/>
          <w:pgMar w:top="1440" w:right="1440" w:bottom="1440" w:left="1440" w:header="720" w:footer="720" w:gutter="0"/>
          <w:cols w:space="720"/>
          <w:docGrid w:linePitch="360"/>
        </w:sectPr>
      </w:pPr>
    </w:p>
    <w:p w14:paraId="3B1D6488" w14:textId="1ED189A0" w:rsidR="000C779C" w:rsidRDefault="006464B9" w:rsidP="000C779C">
      <w:pPr>
        <w:pStyle w:val="Heading3"/>
        <w:rPr>
          <w:rFonts w:eastAsiaTheme="minorEastAsia"/>
        </w:rPr>
      </w:pPr>
      <w:bookmarkStart w:id="4" w:name="_Net_First_Year_1"/>
      <w:bookmarkEnd w:id="4"/>
      <w:r>
        <w:rPr>
          <w:rFonts w:eastAsiaTheme="minorEastAsia"/>
        </w:rPr>
        <w:lastRenderedPageBreak/>
        <w:t xml:space="preserve">Net </w:t>
      </w:r>
      <w:r w:rsidR="000C779C">
        <w:rPr>
          <w:rFonts w:eastAsiaTheme="minorEastAsia"/>
        </w:rPr>
        <w:t xml:space="preserve">First Year </w:t>
      </w:r>
      <w:r w:rsidR="004B7E0D">
        <w:rPr>
          <w:rFonts w:eastAsiaTheme="minorEastAsia"/>
        </w:rPr>
        <w:t xml:space="preserve">Natural </w:t>
      </w:r>
      <w:r w:rsidR="000C779C">
        <w:rPr>
          <w:rFonts w:eastAsiaTheme="minorEastAsia"/>
        </w:rPr>
        <w:t>Gas CO</w:t>
      </w:r>
      <w:r w:rsidR="000C779C" w:rsidRPr="000C779C">
        <w:rPr>
          <w:rFonts w:eastAsiaTheme="minorEastAsia"/>
          <w:vertAlign w:val="subscript"/>
        </w:rPr>
        <w:t>2</w:t>
      </w:r>
      <w:r w:rsidR="000C779C">
        <w:rPr>
          <w:rFonts w:eastAsiaTheme="minorEastAsia"/>
        </w:rPr>
        <w:t xml:space="preserve"> Emissions Reductions (</w:t>
      </w:r>
      <w:r w:rsidR="000C779C" w:rsidRPr="000C779C">
        <w:rPr>
          <w:rStyle w:val="CodeObjectChar"/>
        </w:rPr>
        <w:t>NetGasCO2</w:t>
      </w:r>
      <w:r w:rsidR="000C779C">
        <w:rPr>
          <w:rFonts w:eastAsiaTheme="minorEastAsia"/>
        </w:rPr>
        <w:t>):</w:t>
      </w:r>
    </w:p>
    <w:p w14:paraId="32075F0A" w14:textId="342F5BCB" w:rsidR="00DC0C64" w:rsidRPr="00EF60B0" w:rsidRDefault="009A4DF2" w:rsidP="00DC0C64">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B</m:t>
                  </m:r>
                </m:e>
                <m:sub>
                  <m:r>
                    <m:rPr>
                      <m:nor/>
                    </m:rP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m:oMathPara>
    </w:p>
    <w:p w14:paraId="5FD5DEDE" w14:textId="2BC138D7" w:rsidR="00DC0C64" w:rsidRDefault="00DC0C64" w:rsidP="00DC0C64">
      <w:pPr>
        <w:pStyle w:val="Caption"/>
      </w:pPr>
      <w:bookmarkStart w:id="5" w:name="_Ref37779223"/>
      <w:r>
        <w:t xml:space="preserve">Equation </w:t>
      </w:r>
      <w:fldSimple w:instr=" SEQ Equation \* ARABIC ">
        <w:r w:rsidR="00552F8C">
          <w:rPr>
            <w:noProof/>
          </w:rPr>
          <w:t>2</w:t>
        </w:r>
      </w:fldSimple>
      <w:bookmarkEnd w:id="5"/>
    </w:p>
    <w:p w14:paraId="71A67F22" w14:textId="12ADBDD2" w:rsidR="000C779C" w:rsidRDefault="00DC0C64" w:rsidP="00046913">
      <w:r>
        <w:t>Where</w:t>
      </w:r>
    </w:p>
    <w:p w14:paraId="2E57DA76" w14:textId="02F72E76" w:rsidR="00DC0C64" w:rsidRDefault="009A4DF2" w:rsidP="00046913">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DC0C64">
        <w:rPr>
          <w:rFonts w:eastAsiaTheme="minorEastAsia"/>
        </w:rPr>
        <w:t xml:space="preserve"> </w:t>
      </w:r>
      <w:r w:rsidR="00046913">
        <w:rPr>
          <w:rFonts w:eastAsiaTheme="minorEastAsia"/>
        </w:rPr>
        <w:t>is the net CO</w:t>
      </w:r>
      <w:r w:rsidR="00046913" w:rsidRPr="00AB1EC7">
        <w:rPr>
          <w:rFonts w:eastAsiaTheme="minorEastAsia"/>
          <w:vertAlign w:val="subscript"/>
        </w:rPr>
        <w:t>2</w:t>
      </w:r>
      <w:r w:rsidR="00046913">
        <w:rPr>
          <w:rFonts w:eastAsiaTheme="minorEastAsia"/>
        </w:rPr>
        <w:t xml:space="preserve"> emissions reductions in tons of CO</w:t>
      </w:r>
      <w:r w:rsidR="00046913" w:rsidRPr="008D7614">
        <w:rPr>
          <w:rFonts w:eastAsiaTheme="minorEastAsia"/>
          <w:vertAlign w:val="subscript"/>
        </w:rPr>
        <w:t>2</w:t>
      </w:r>
      <w:r w:rsidR="00046913">
        <w:rPr>
          <w:rFonts w:eastAsiaTheme="minorEastAsia"/>
        </w:rPr>
        <w:t xml:space="preserve"> due to natural gas </w:t>
      </w:r>
      <w:r w:rsidR="00D91817">
        <w:rPr>
          <w:rFonts w:eastAsiaTheme="minorEastAsia"/>
        </w:rPr>
        <w:t xml:space="preserve">consumption </w:t>
      </w:r>
      <w:r w:rsidR="00046913">
        <w:rPr>
          <w:rFonts w:eastAsiaTheme="minorEastAsia"/>
        </w:rPr>
        <w:t>savings</w:t>
      </w:r>
      <w:r w:rsidR="00005937">
        <w:rPr>
          <w:rFonts w:eastAsiaTheme="minorEastAsia"/>
        </w:rPr>
        <w:t xml:space="preserve"> in the first year after </w:t>
      </w:r>
      <w:proofErr w:type="gramStart"/>
      <w:r w:rsidR="00005937">
        <w:rPr>
          <w:rFonts w:eastAsiaTheme="minorEastAsia"/>
        </w:rPr>
        <w:t>installation</w:t>
      </w:r>
      <w:r w:rsidR="00046913">
        <w:rPr>
          <w:rFonts w:eastAsiaTheme="minorEastAsia"/>
        </w:rPr>
        <w:t>.</w:t>
      </w:r>
      <w:proofErr w:type="gramEnd"/>
      <w:r w:rsidR="00BD3B41">
        <w:rPr>
          <w:rFonts w:eastAsiaTheme="minorEastAsia"/>
        </w:rPr>
        <w:t xml:space="preserve"> The </w:t>
      </w:r>
      <w:proofErr w:type="spellStart"/>
      <w:r w:rsidR="00BD3B41" w:rsidRPr="00BD3B41">
        <w:rPr>
          <w:rStyle w:val="CodeObjectChar"/>
        </w:rPr>
        <w:t>CalcEmissions</w:t>
      </w:r>
      <w:proofErr w:type="spellEnd"/>
      <w:r w:rsidR="00BD3B41">
        <w:rPr>
          <w:rFonts w:eastAsiaTheme="minorEastAsia"/>
        </w:rPr>
        <w:t xml:space="preserve"> procedure stores the calculated value to the </w:t>
      </w:r>
      <w:r w:rsidR="00BD3B41" w:rsidRPr="00BD3B41">
        <w:rPr>
          <w:rStyle w:val="CodeObjectChar"/>
        </w:rPr>
        <w:t>NetGasCO2</w:t>
      </w:r>
      <w:r w:rsidR="00BD3B41">
        <w:rPr>
          <w:rFonts w:eastAsiaTheme="minorEastAsia"/>
        </w:rPr>
        <w:t xml:space="preserve"> field in the table </w:t>
      </w:r>
      <w:proofErr w:type="spellStart"/>
      <w:r w:rsidR="00BD3B41" w:rsidRPr="00BD3B41">
        <w:rPr>
          <w:rStyle w:val="CodeObjectChar"/>
        </w:rPr>
        <w:t>OutputEmissions</w:t>
      </w:r>
      <w:proofErr w:type="spellEnd"/>
      <w:r w:rsidR="00BD3B41">
        <w:rPr>
          <w:rFonts w:eastAsiaTheme="minorEastAsia"/>
        </w:rPr>
        <w:t>.</w:t>
      </w:r>
    </w:p>
    <w:p w14:paraId="5191BA13" w14:textId="7CB5FC01" w:rsidR="00046913" w:rsidRDefault="008E6D97" w:rsidP="00046913">
      <w:pPr>
        <w:ind w:left="720"/>
        <w:rPr>
          <w:rFonts w:eastAsiaTheme="minorEastAsia"/>
        </w:rPr>
      </w:pPr>
      <m:oMath>
        <m:r>
          <w:rPr>
            <w:rFonts w:ascii="Cambria Math" w:hAnsi="Cambria Math"/>
          </w:rPr>
          <m:t>IN</m:t>
        </m:r>
      </m:oMath>
      <w:r w:rsidR="00942CE1">
        <w:t xml:space="preserve"> </w:t>
      </w:r>
      <w:r w:rsidR="0092025E">
        <w:t>is</w:t>
      </w:r>
      <w:r w:rsidR="00046913">
        <w:t xml:space="preserve"> as defined </w:t>
      </w:r>
      <w:r w:rsidR="00942CE1">
        <w:t xml:space="preserve">for </w:t>
      </w:r>
      <w:r w:rsidR="00942CE1">
        <w:rPr>
          <w:rFonts w:eastAsiaTheme="minorEastAsia"/>
        </w:rPr>
        <w:fldChar w:fldCharType="begin"/>
      </w:r>
      <w:r w:rsidR="00942CE1">
        <w:rPr>
          <w:rFonts w:eastAsiaTheme="minorEastAsia"/>
        </w:rPr>
        <w:instrText xml:space="preserve"> REF _Ref37692307 \h </w:instrText>
      </w:r>
      <w:r w:rsidR="00942CE1">
        <w:rPr>
          <w:rFonts w:eastAsiaTheme="minorEastAsia"/>
        </w:rPr>
      </w:r>
      <w:r w:rsidR="00942CE1">
        <w:rPr>
          <w:rFonts w:eastAsiaTheme="minorEastAsia"/>
        </w:rPr>
        <w:fldChar w:fldCharType="separate"/>
      </w:r>
      <w:r w:rsidR="00552F8C">
        <w:t xml:space="preserve">Equation </w:t>
      </w:r>
      <w:r w:rsidR="00552F8C">
        <w:rPr>
          <w:noProof/>
        </w:rPr>
        <w:t>1</w:t>
      </w:r>
      <w:r w:rsidR="00942CE1">
        <w:rPr>
          <w:rFonts w:eastAsiaTheme="minorEastAsia"/>
        </w:rPr>
        <w:fldChar w:fldCharType="end"/>
      </w:r>
      <w:r w:rsidR="00942CE1">
        <w:rPr>
          <w:rFonts w:eastAsiaTheme="minorEastAsia"/>
        </w:rPr>
        <w:t>.</w:t>
      </w:r>
    </w:p>
    <w:p w14:paraId="01FA2BB5" w14:textId="372E3336" w:rsidR="00942CE1" w:rsidRDefault="009A4DF2" w:rsidP="00942CE1">
      <w:pPr>
        <w:ind w:left="720"/>
        <w:rPr>
          <w:rFonts w:eastAsiaTheme="minorEastAsia"/>
        </w:rPr>
      </w:pPr>
      <m:oMath>
        <m:sSub>
          <m:sSubPr>
            <m:ctrlPr>
              <w:rPr>
                <w:rFonts w:ascii="Cambria Math" w:hAnsi="Cambria Math"/>
                <w:i/>
              </w:rPr>
            </m:ctrlPr>
          </m:sSubPr>
          <m:e>
            <m:r>
              <w:rPr>
                <w:rFonts w:ascii="Cambria Math" w:hAnsi="Cambria Math"/>
              </w:rPr>
              <m:t>NTGR</m:t>
            </m:r>
          </m:e>
          <m:sub>
            <m:r>
              <m:rPr>
                <m:nor/>
              </m:rPr>
              <w:rPr>
                <w:rFonts w:ascii="Cambria Math" w:hAnsi="Cambria Math"/>
              </w:rPr>
              <m:t>Therm</m:t>
            </m:r>
          </m:sub>
        </m:sSub>
      </m:oMath>
      <w:r w:rsidR="00942CE1">
        <w:rPr>
          <w:rFonts w:eastAsiaTheme="minorEastAsia"/>
        </w:rPr>
        <w:t xml:space="preserve"> is the Net-to-Gross ratio for the energy efficiency measure applicable to </w:t>
      </w:r>
      <w:r w:rsidR="00D91817">
        <w:rPr>
          <w:rFonts w:eastAsiaTheme="minorEastAsia"/>
        </w:rPr>
        <w:t>natural gas</w:t>
      </w:r>
      <w:r w:rsidR="00942CE1">
        <w:rPr>
          <w:rFonts w:eastAsiaTheme="minorEastAsia"/>
        </w:rPr>
        <w:t xml:space="preserve"> consumption savings, typically determined through evaluation.</w:t>
      </w:r>
      <w:r w:rsidR="00BD3B41">
        <w:rPr>
          <w:rFonts w:eastAsiaTheme="minorEastAsia"/>
        </w:rPr>
        <w:t xml:space="preserve"> The </w:t>
      </w:r>
      <w:proofErr w:type="spellStart"/>
      <w:r w:rsidR="00C64874" w:rsidRPr="00694970">
        <w:rPr>
          <w:rStyle w:val="CodeObjectChar"/>
        </w:rPr>
        <w:t>CalcEmissions</w:t>
      </w:r>
      <w:proofErr w:type="spellEnd"/>
      <w:r w:rsidR="00C64874">
        <w:rPr>
          <w:rFonts w:eastAsiaTheme="minorEastAsia"/>
        </w:rPr>
        <w:t xml:space="preserve"> </w:t>
      </w:r>
      <w:r w:rsidR="00BD3B41">
        <w:rPr>
          <w:rFonts w:eastAsiaTheme="minorEastAsia"/>
        </w:rPr>
        <w:t xml:space="preserve">procedure </w:t>
      </w:r>
      <w:r w:rsidR="00C64874">
        <w:rPr>
          <w:rFonts w:eastAsiaTheme="minorEastAsia"/>
        </w:rPr>
        <w:t xml:space="preserve">uses the </w:t>
      </w:r>
      <w:proofErr w:type="spellStart"/>
      <w:r w:rsidR="00C64874" w:rsidRPr="00C64874">
        <w:rPr>
          <w:rStyle w:val="CodeObjectChar"/>
        </w:rPr>
        <w:t>NTGRThm</w:t>
      </w:r>
      <w:proofErr w:type="spellEnd"/>
      <w:r w:rsidR="00C64874">
        <w:rPr>
          <w:rFonts w:eastAsiaTheme="minorEastAsia"/>
        </w:rPr>
        <w:t xml:space="preserve"> field of the </w:t>
      </w:r>
      <w:proofErr w:type="spellStart"/>
      <w:r w:rsidR="00C64874" w:rsidRPr="00694970">
        <w:rPr>
          <w:rStyle w:val="CodeObjectChar"/>
        </w:rPr>
        <w:t>InputMeasurevw</w:t>
      </w:r>
      <w:proofErr w:type="spellEnd"/>
      <w:r w:rsidR="00C64874">
        <w:rPr>
          <w:rFonts w:eastAsiaTheme="minorEastAsia"/>
        </w:rPr>
        <w:t xml:space="preserve"> for this factor.</w:t>
      </w:r>
      <w:r w:rsidR="00942CE1">
        <w:rPr>
          <w:rFonts w:eastAsiaTheme="minorEastAsia"/>
        </w:rPr>
        <w:t xml:space="preserve"> Values are typically between 0.5 and 1.0.</w:t>
      </w:r>
    </w:p>
    <w:p w14:paraId="2186CA69" w14:textId="29A86EA1" w:rsidR="0092025E" w:rsidRDefault="009A4DF2" w:rsidP="0092025E">
      <w:pPr>
        <w:ind w:left="720"/>
        <w:rPr>
          <w:rFonts w:eastAsiaTheme="minorEastAsia"/>
        </w:rPr>
      </w:pPr>
      <m:oMath>
        <m:sSub>
          <m:sSubPr>
            <m:ctrlPr>
              <w:rPr>
                <w:rFonts w:ascii="Cambria Math" w:hAnsi="Cambria Math"/>
                <w:i/>
              </w:rPr>
            </m:ctrlPr>
          </m:sSubPr>
          <m:e>
            <m:r>
              <w:rPr>
                <w:rFonts w:ascii="Cambria Math" w:hAnsi="Cambria Math"/>
              </w:rPr>
              <m:t>B</m:t>
            </m:r>
          </m:e>
          <m:sub>
            <m:r>
              <m:rPr>
                <m:nor/>
              </m:rPr>
              <w:rPr>
                <w:rFonts w:ascii="Cambria Math" w:hAnsi="Cambria Math"/>
              </w:rPr>
              <m:t>ME</m:t>
            </m:r>
          </m:sub>
        </m:sSub>
      </m:oMath>
      <w:r w:rsidR="0092025E">
        <w:t xml:space="preserve"> is as defined for </w:t>
      </w:r>
      <w:r w:rsidR="0092025E">
        <w:rPr>
          <w:rFonts w:eastAsiaTheme="minorEastAsia"/>
        </w:rPr>
        <w:fldChar w:fldCharType="begin"/>
      </w:r>
      <w:r w:rsidR="0092025E">
        <w:rPr>
          <w:rFonts w:eastAsiaTheme="minorEastAsia"/>
        </w:rPr>
        <w:instrText xml:space="preserve"> REF _Ref37692307 \h </w:instrText>
      </w:r>
      <w:r w:rsidR="0092025E">
        <w:rPr>
          <w:rFonts w:eastAsiaTheme="minorEastAsia"/>
        </w:rPr>
      </w:r>
      <w:r w:rsidR="0092025E">
        <w:rPr>
          <w:rFonts w:eastAsiaTheme="minorEastAsia"/>
        </w:rPr>
        <w:fldChar w:fldCharType="separate"/>
      </w:r>
      <w:r w:rsidR="00552F8C">
        <w:t xml:space="preserve">Equation </w:t>
      </w:r>
      <w:r w:rsidR="00552F8C">
        <w:rPr>
          <w:noProof/>
        </w:rPr>
        <w:t>1</w:t>
      </w:r>
      <w:r w:rsidR="0092025E">
        <w:rPr>
          <w:rFonts w:eastAsiaTheme="minorEastAsia"/>
        </w:rPr>
        <w:fldChar w:fldCharType="end"/>
      </w:r>
      <w:r w:rsidR="0092025E">
        <w:rPr>
          <w:rFonts w:eastAsiaTheme="minorEastAsia"/>
        </w:rPr>
        <w:t>.</w:t>
      </w:r>
    </w:p>
    <w:p w14:paraId="3654CFBF" w14:textId="20C9233F" w:rsidR="00942CE1" w:rsidRDefault="009A4DF2" w:rsidP="00942CE1">
      <w:pPr>
        <w:ind w:left="720"/>
        <w:rPr>
          <w:rFonts w:eastAsiaTheme="minorEastAsia"/>
        </w:rPr>
      </w:pP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942CE1">
        <w:rPr>
          <w:rFonts w:eastAsiaTheme="minorEastAsia"/>
        </w:rPr>
        <w:t xml:space="preserve"> is the Installation Rate for the energy efficiency measure—the ratio of measures paid for through a program are actually implemented rather than stored indefinitely or abandoned—applicable to natural gas consumption savings, typically determined through evaluation. </w:t>
      </w:r>
      <w:r w:rsidR="00A55F04">
        <w:rPr>
          <w:rFonts w:eastAsiaTheme="minorEastAsia"/>
        </w:rPr>
        <w:t xml:space="preserve">The </w:t>
      </w:r>
      <w:proofErr w:type="spellStart"/>
      <w:r w:rsidR="00A55F04" w:rsidRPr="00694970">
        <w:rPr>
          <w:rStyle w:val="CodeObjectChar"/>
        </w:rPr>
        <w:t>CalcEmissions</w:t>
      </w:r>
      <w:proofErr w:type="spellEnd"/>
      <w:r w:rsidR="00A55F04">
        <w:rPr>
          <w:rFonts w:eastAsiaTheme="minorEastAsia"/>
        </w:rPr>
        <w:t xml:space="preserve"> procedure uses the </w:t>
      </w:r>
      <w:proofErr w:type="spellStart"/>
      <w:r w:rsidR="00A55F04">
        <w:rPr>
          <w:rStyle w:val="CodeObjectChar"/>
        </w:rPr>
        <w:t>IR</w:t>
      </w:r>
      <w:r w:rsidR="00A55F04" w:rsidRPr="00C64874">
        <w:rPr>
          <w:rStyle w:val="CodeObjectChar"/>
        </w:rPr>
        <w:t>Thm</w:t>
      </w:r>
      <w:proofErr w:type="spellEnd"/>
      <w:r w:rsidR="00A55F04">
        <w:rPr>
          <w:rFonts w:eastAsiaTheme="minorEastAsia"/>
        </w:rPr>
        <w:t xml:space="preserve"> field of the </w:t>
      </w:r>
      <w:proofErr w:type="spellStart"/>
      <w:r w:rsidR="00A55F04" w:rsidRPr="00694970">
        <w:rPr>
          <w:rStyle w:val="CodeObjectChar"/>
        </w:rPr>
        <w:t>InputMeasurevw</w:t>
      </w:r>
      <w:proofErr w:type="spellEnd"/>
      <w:r w:rsidR="00A55F04">
        <w:rPr>
          <w:rFonts w:eastAsiaTheme="minorEastAsia"/>
        </w:rPr>
        <w:t xml:space="preserve"> for this factor. </w:t>
      </w:r>
      <w:r w:rsidR="00942CE1">
        <w:rPr>
          <w:rFonts w:eastAsiaTheme="minorEastAsia"/>
        </w:rPr>
        <w:t>Values are typically between 0.5 and 1.0.</w:t>
      </w:r>
    </w:p>
    <w:p w14:paraId="6EB2A46E" w14:textId="14D2EDE3" w:rsidR="00942CE1" w:rsidRDefault="009A4DF2" w:rsidP="00942CE1">
      <w:pPr>
        <w:ind w:left="720"/>
        <w:rPr>
          <w:rFonts w:eastAsiaTheme="minorEastAsia"/>
        </w:rPr>
      </w:pP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942CE1">
        <w:rPr>
          <w:rFonts w:eastAsiaTheme="minorEastAsia"/>
        </w:rPr>
        <w:t xml:space="preserve"> is the Realization Rate for the energy efficiency measure—the ratio of realized energy savings compared against predicted savings—applicable to natural gas consumption savings, typically determined through evaluation. </w:t>
      </w:r>
      <w:r w:rsidR="00A55F04">
        <w:rPr>
          <w:rFonts w:eastAsiaTheme="minorEastAsia"/>
        </w:rPr>
        <w:t xml:space="preserve">The </w:t>
      </w:r>
      <w:proofErr w:type="spellStart"/>
      <w:r w:rsidR="00A55F04" w:rsidRPr="00694970">
        <w:rPr>
          <w:rStyle w:val="CodeObjectChar"/>
        </w:rPr>
        <w:t>CalcEmissions</w:t>
      </w:r>
      <w:proofErr w:type="spellEnd"/>
      <w:r w:rsidR="00A55F04">
        <w:rPr>
          <w:rFonts w:eastAsiaTheme="minorEastAsia"/>
        </w:rPr>
        <w:t xml:space="preserve"> procedure uses the </w:t>
      </w:r>
      <w:proofErr w:type="spellStart"/>
      <w:r w:rsidR="00A55F04">
        <w:rPr>
          <w:rStyle w:val="CodeObjectChar"/>
        </w:rPr>
        <w:t>RR</w:t>
      </w:r>
      <w:r w:rsidR="00A55F04" w:rsidRPr="00C64874">
        <w:rPr>
          <w:rStyle w:val="CodeObjectChar"/>
        </w:rPr>
        <w:t>Thm</w:t>
      </w:r>
      <w:proofErr w:type="spellEnd"/>
      <w:r w:rsidR="00A55F04">
        <w:rPr>
          <w:rFonts w:eastAsiaTheme="minorEastAsia"/>
        </w:rPr>
        <w:t xml:space="preserve"> field of the </w:t>
      </w:r>
      <w:proofErr w:type="spellStart"/>
      <w:r w:rsidR="00A55F04" w:rsidRPr="00694970">
        <w:rPr>
          <w:rStyle w:val="CodeObjectChar"/>
        </w:rPr>
        <w:t>InputMeasurevw</w:t>
      </w:r>
      <w:proofErr w:type="spellEnd"/>
      <w:r w:rsidR="00A55F04">
        <w:rPr>
          <w:rFonts w:eastAsiaTheme="minorEastAsia"/>
        </w:rPr>
        <w:t xml:space="preserve"> for this factor. </w:t>
      </w:r>
      <w:r w:rsidR="00942CE1">
        <w:rPr>
          <w:rFonts w:eastAsiaTheme="minorEastAsia"/>
        </w:rPr>
        <w:t>Values are typically between 0.5 and 1.0.</w:t>
      </w:r>
    </w:p>
    <w:p w14:paraId="565B0C31" w14:textId="61EAB70F" w:rsidR="00942CE1" w:rsidRDefault="009A4DF2" w:rsidP="00942CE1">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,q</m:t>
            </m:r>
          </m:sub>
        </m:sSub>
      </m:oMath>
      <w:r w:rsidR="00942CE1">
        <w:rPr>
          <w:rFonts w:eastAsiaTheme="minorEastAsia"/>
        </w:rPr>
        <w:t xml:space="preserve"> is the CO</w:t>
      </w:r>
      <w:r w:rsidR="00942CE1" w:rsidRPr="00FD3299">
        <w:rPr>
          <w:rFonts w:eastAsiaTheme="minorEastAsia"/>
          <w:vertAlign w:val="subscript"/>
        </w:rPr>
        <w:t>2</w:t>
      </w:r>
      <w:r w:rsidR="00942CE1">
        <w:rPr>
          <w:rFonts w:eastAsiaTheme="minorEastAsia"/>
        </w:rPr>
        <w:t xml:space="preserve"> Emissions Rate for annual </w:t>
      </w:r>
      <w:r w:rsidR="00401EA1">
        <w:rPr>
          <w:rFonts w:eastAsiaTheme="minorEastAsia"/>
        </w:rPr>
        <w:t>natural gas</w:t>
      </w:r>
      <w:r w:rsidR="00942CE1">
        <w:rPr>
          <w:rFonts w:eastAsiaTheme="minorEastAsia"/>
        </w:rPr>
        <w:t xml:space="preserve"> savings. The CO</w:t>
      </w:r>
      <w:r w:rsidR="00942CE1" w:rsidRPr="00FD3299">
        <w:rPr>
          <w:rFonts w:eastAsiaTheme="minorEastAsia"/>
          <w:vertAlign w:val="subscript"/>
        </w:rPr>
        <w:t>2</w:t>
      </w:r>
      <w:r w:rsidR="00942CE1">
        <w:rPr>
          <w:rFonts w:eastAsiaTheme="minorEastAsia"/>
        </w:rPr>
        <w:t xml:space="preserve"> Emissions Rate is provided in units of tons of CO</w:t>
      </w:r>
      <w:r w:rsidR="00942CE1" w:rsidRPr="00FD3299">
        <w:rPr>
          <w:rFonts w:eastAsiaTheme="minorEastAsia"/>
          <w:vertAlign w:val="subscript"/>
        </w:rPr>
        <w:t>2</w:t>
      </w:r>
      <w:r w:rsidR="00942CE1">
        <w:rPr>
          <w:rFonts w:eastAsiaTheme="minorEastAsia"/>
        </w:rPr>
        <w:t xml:space="preserve"> per </w:t>
      </w:r>
      <w:proofErr w:type="spellStart"/>
      <w:r w:rsidR="008F2877">
        <w:rPr>
          <w:rFonts w:eastAsiaTheme="minorEastAsia"/>
        </w:rPr>
        <w:t>Therm</w:t>
      </w:r>
      <w:proofErr w:type="spellEnd"/>
      <w:r w:rsidR="008F2877">
        <w:rPr>
          <w:rFonts w:eastAsiaTheme="minorEastAsia"/>
        </w:rPr>
        <w:t xml:space="preserve"> of </w:t>
      </w:r>
      <w:r w:rsidR="0092025E">
        <w:rPr>
          <w:rFonts w:eastAsiaTheme="minorEastAsia"/>
        </w:rPr>
        <w:t>natural gas</w:t>
      </w:r>
      <w:r w:rsidR="00942CE1">
        <w:rPr>
          <w:rFonts w:eastAsiaTheme="minorEastAsia"/>
        </w:rPr>
        <w:t xml:space="preserve"> savings. Values for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,q</m:t>
            </m:r>
          </m:sub>
        </m:sSub>
      </m:oMath>
      <w:r w:rsidR="00942CE1">
        <w:rPr>
          <w:rFonts w:eastAsiaTheme="minorEastAsia"/>
        </w:rPr>
        <w:t xml:space="preserve"> are provided for each Program Administrator</w:t>
      </w:r>
      <w:r w:rsidR="008F2877">
        <w:rPr>
          <w:rFonts w:eastAsiaTheme="minorEastAsia"/>
        </w:rPr>
        <w:t xml:space="preserve">, and are constant across all quarters. The </w:t>
      </w:r>
      <w:proofErr w:type="spellStart"/>
      <w:r w:rsidR="008F2877" w:rsidRPr="008F2877">
        <w:rPr>
          <w:rStyle w:val="CodeObjectChar"/>
        </w:rPr>
        <w:t>CalcEmissions</w:t>
      </w:r>
      <w:proofErr w:type="spellEnd"/>
      <w:r w:rsidR="008F2877">
        <w:rPr>
          <w:rFonts w:eastAsiaTheme="minorEastAsia"/>
        </w:rPr>
        <w:t xml:space="preserve"> procedure uses values from the </w:t>
      </w:r>
      <w:r w:rsidR="00942CE1" w:rsidRPr="000055C2">
        <w:rPr>
          <w:rStyle w:val="CodeObjectChar"/>
        </w:rPr>
        <w:t>CO2</w:t>
      </w:r>
      <w:r w:rsidR="008F2877">
        <w:rPr>
          <w:rStyle w:val="CodeObjectChar"/>
        </w:rPr>
        <w:t>gas</w:t>
      </w:r>
      <w:r w:rsidR="00942CE1">
        <w:rPr>
          <w:rFonts w:eastAsiaTheme="minorEastAsia"/>
        </w:rPr>
        <w:t xml:space="preserve"> column returned </w:t>
      </w:r>
      <w:r w:rsidR="00A55F04">
        <w:rPr>
          <w:rFonts w:eastAsiaTheme="minorEastAsia"/>
        </w:rPr>
        <w:t>by</w:t>
      </w:r>
      <w:r w:rsidR="00942CE1">
        <w:rPr>
          <w:rFonts w:eastAsiaTheme="minorEastAsia"/>
        </w:rPr>
        <w:t xml:space="preserve"> the </w:t>
      </w:r>
      <w:proofErr w:type="spellStart"/>
      <w:r w:rsidR="008F2877">
        <w:rPr>
          <w:rStyle w:val="CodeObjectChar"/>
        </w:rPr>
        <w:t>Settingsvw</w:t>
      </w:r>
      <w:proofErr w:type="spellEnd"/>
      <w:r w:rsidR="00942CE1">
        <w:rPr>
          <w:rFonts w:eastAsiaTheme="minorEastAsia"/>
        </w:rPr>
        <w:t xml:space="preserve"> stored query</w:t>
      </w:r>
      <w:r w:rsidR="008F2877">
        <w:rPr>
          <w:rFonts w:eastAsiaTheme="minorEastAsia"/>
        </w:rPr>
        <w:t xml:space="preserve"> as the source for</w:t>
      </w:r>
      <w:r w:rsidR="00A55F04">
        <w:rPr>
          <w:rFonts w:eastAsiaTheme="minorEastAsia"/>
        </w:rPr>
        <w:t xml:space="preserve"> this factor</w:t>
      </w:r>
      <w:r w:rsidR="00942CE1">
        <w:rPr>
          <w:rFonts w:eastAsiaTheme="minorEastAsia"/>
        </w:rPr>
        <w:t>.</w:t>
      </w:r>
    </w:p>
    <w:p w14:paraId="2A8360DC" w14:textId="772B599A" w:rsidR="00942CE1" w:rsidRDefault="009A4DF2" w:rsidP="00046913">
      <w:pPr>
        <w:ind w:left="720"/>
        <w:rPr>
          <w:rFonts w:eastAsiaTheme="minorEastAsia"/>
        </w:rPr>
      </w:p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w:r w:rsidR="000E3130">
        <w:rPr>
          <w:rFonts w:eastAsiaTheme="minorEastAsia"/>
        </w:rPr>
        <w:t xml:space="preserve"> is the natural gas savings attributed to the first four quarters after the measure is </w:t>
      </w:r>
      <w:proofErr w:type="gramStart"/>
      <w:r w:rsidR="000E3130">
        <w:rPr>
          <w:rFonts w:eastAsiaTheme="minorEastAsia"/>
        </w:rPr>
        <w:t>installed.</w:t>
      </w:r>
      <w:proofErr w:type="gramEnd"/>
      <w:r w:rsidR="000E3130">
        <w:rPr>
          <w:rFonts w:eastAsiaTheme="minorEastAsia"/>
        </w:rPr>
        <w:t xml:space="preserve"> The value of </w:t>
      </w: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w:r w:rsidR="000E3130">
        <w:rPr>
          <w:rFonts w:eastAsiaTheme="minorEastAsia"/>
        </w:rPr>
        <w:t xml:space="preserve"> is evaluated as follows:</w:t>
      </w:r>
    </w:p>
    <w:p w14:paraId="49B5D635" w14:textId="771E86F2" w:rsidR="000E3130" w:rsidRPr="000C77A8" w:rsidRDefault="009A4DF2" w:rsidP="000E3130">
      <w:pPr>
        <w:keepNext/>
        <w:ind w:left="-360"/>
      </w:pPr>
      <m:oMathPara>
        <m:oMathParaPr>
          <m:jc m:val="left"/>
        </m:oMathPara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&lt;4→</m:t>
                              </m:r>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EUL</m:t>
                                      </m:r>
                                    </m:e>
                                    <m:sub>
                                      <m:r>
                                        <w:rPr>
                                          <w:rFonts w:ascii="Cambria Math" w:hAnsi="Cambria Math"/>
                                        </w:rPr>
                                        <m:t>q</m:t>
                                      </m:r>
                                    </m:sub>
                                  </m:sSub>
                                </m:num>
                                <m:den>
                                  <m:r>
                                    <w:rPr>
                                      <w:rFonts w:ascii="Cambria Math" w:hAnsi="Cambria Math"/>
                                    </w:rPr>
                                    <m:t>4</m:t>
                                  </m:r>
                                </m:den>
                              </m:f>
                            </m:e>
                          </m:mr>
                          <m:mr>
                            <m:e>
                              <m:r>
                                <m:rPr>
                                  <m:nor/>
                                </m:rPr>
                                <w:rPr>
                                  <w:rFonts w:ascii="Cambria Math" w:hAnsi="Cambria Math"/>
                                </w:rPr>
                                <m:t>otherwise</m:t>
                              </m:r>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BL1</m:t>
                                  </m:r>
                                </m:sub>
                              </m:sSub>
                            </m:e>
                          </m:mr>
                        </m:m>
                      </m:e>
                    </m:d>
                    <m:r>
                      <m:rPr>
                        <m:nor/>
                      </m:rPr>
                      <w:rPr>
                        <w:rFonts w:ascii="Cambria Math" w:hAnsi="Cambria Math"/>
                      </w:rPr>
                      <m:t>single baseline</m:t>
                    </m:r>
                  </m:e>
                </m:mr>
                <m:mr>
                  <m:e>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&lt;4→</m:t>
                              </m:r>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e>
                          </m:mr>
                          <m:m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RUL</m:t>
                                          </m:r>
                                        </m:e>
                                        <m:sub>
                                          <m:r>
                                            <w:rPr>
                                              <w:rFonts w:ascii="Cambria Math" w:hAnsi="Cambria Math"/>
                                            </w:rPr>
                                            <m:t>q</m:t>
                                          </m:r>
                                        </m:sub>
                                      </m:sSub>
                                      <m:r>
                                        <w:rPr>
                                          <w:rFonts w:ascii="Cambria Math" w:hAnsi="Cambria Math"/>
                                        </w:rPr>
                                        <m:t>&lt;4</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&gt;4</m:t>
                                      </m:r>
                                    </m:e>
                                  </m:d>
                                </m:e>
                              </m:d>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BL2</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e>
                          </m:mr>
                          <m:mr>
                            <m:e>
                              <m:r>
                                <w:rPr>
                                  <w:rFonts w:ascii="Cambria Math" w:hAnsi="Cambria Math"/>
                                </w:rPr>
                                <m:t>otherwise→</m:t>
                              </m:r>
                              <m:sSub>
                                <m:sSubPr>
                                  <m:ctrlPr>
                                    <w:rPr>
                                      <w:rFonts w:ascii="Cambria Math" w:hAnsi="Cambria Math"/>
                                      <w:i/>
                                    </w:rPr>
                                  </m:ctrlPr>
                                </m:sSubPr>
                                <m:e>
                                  <m:r>
                                    <w:rPr>
                                      <w:rFonts w:ascii="Cambria Math" w:hAnsi="Cambria Math"/>
                                    </w:rPr>
                                    <m:t>AS</m:t>
                                  </m:r>
                                </m:e>
                                <m:sub>
                                  <m:r>
                                    <w:rPr>
                                      <w:rFonts w:ascii="Cambria Math" w:hAnsi="Cambria Math"/>
                                    </w:rPr>
                                    <m:t>BL1</m:t>
                                  </m:r>
                                </m:sub>
                              </m:sSub>
                            </m:e>
                          </m:mr>
                        </m:m>
                      </m:e>
                    </m:d>
                    <m:r>
                      <m:rPr>
                        <m:nor/>
                      </m:rPr>
                      <w:rPr>
                        <w:rFonts w:ascii="Cambria Math" w:hAnsi="Cambria Math"/>
                      </w:rPr>
                      <m:t>dual baseline</m:t>
                    </m:r>
                  </m:e>
                </m:mr>
              </m:m>
            </m:e>
          </m:d>
        </m:oMath>
      </m:oMathPara>
    </w:p>
    <w:p w14:paraId="5FE77AEE" w14:textId="780F93FB" w:rsidR="000E3130" w:rsidRPr="00EF60B0" w:rsidRDefault="000E3130" w:rsidP="000E3130">
      <w:pPr>
        <w:pStyle w:val="Caption"/>
        <w:rPr>
          <w:rFonts w:eastAsiaTheme="minorEastAsia"/>
        </w:rPr>
      </w:pPr>
      <w:r>
        <w:t xml:space="preserve">Equation </w:t>
      </w:r>
      <w:fldSimple w:instr=" SEQ Equation \c \* ARABIC ">
        <w:r w:rsidR="00552F8C">
          <w:rPr>
            <w:noProof/>
          </w:rPr>
          <w:t>2</w:t>
        </w:r>
      </w:fldSimple>
      <w:r>
        <w:rPr>
          <w:noProof/>
        </w:rPr>
        <w:t>.</w:t>
      </w:r>
      <w:r>
        <w:rPr>
          <w:noProof/>
        </w:rPr>
        <w:fldChar w:fldCharType="begin"/>
      </w:r>
      <w:r>
        <w:rPr>
          <w:noProof/>
        </w:rPr>
        <w:instrText xml:space="preserve"> SEQ SubEquation \r 1 \* ARABIC </w:instrText>
      </w:r>
      <w:r>
        <w:rPr>
          <w:noProof/>
        </w:rPr>
        <w:fldChar w:fldCharType="separate"/>
      </w:r>
      <w:r w:rsidR="00552F8C">
        <w:rPr>
          <w:noProof/>
        </w:rPr>
        <w:t>1</w:t>
      </w:r>
      <w:r>
        <w:rPr>
          <w:noProof/>
        </w:rPr>
        <w:fldChar w:fldCharType="end"/>
      </w:r>
    </w:p>
    <w:p w14:paraId="55196147" w14:textId="7F9CF77E" w:rsidR="000E3130" w:rsidRDefault="00CF38DC" w:rsidP="00CF38DC">
      <w:pPr>
        <w:ind w:left="720"/>
      </w:pPr>
      <w:r>
        <w:lastRenderedPageBreak/>
        <w:t>Where</w:t>
      </w:r>
    </w:p>
    <w:p w14:paraId="43CFAA9D" w14:textId="189C90EF" w:rsidR="00CF38DC" w:rsidRDefault="009A4DF2" w:rsidP="00CF38DC">
      <w:pPr>
        <w:ind w:left="1440"/>
        <w:rPr>
          <w:rFonts w:eastAsiaTheme="minorEastAsia"/>
        </w:rPr>
      </w:pPr>
      <m:oMath>
        <m:sSub>
          <m:sSubPr>
            <m:ctrlPr>
              <w:rPr>
                <w:rFonts w:ascii="Cambria Math" w:hAnsi="Cambria Math"/>
                <w:i/>
              </w:rPr>
            </m:ctrlPr>
          </m:sSubPr>
          <m:e>
            <m:r>
              <w:rPr>
                <w:rFonts w:ascii="Cambria Math" w:hAnsi="Cambria Math"/>
              </w:rPr>
              <m:t>AS</m:t>
            </m:r>
          </m:e>
          <m:sub>
            <m:r>
              <w:rPr>
                <w:rFonts w:ascii="Cambria Math" w:hAnsi="Cambria Math"/>
              </w:rPr>
              <m:t>BL1</m:t>
            </m:r>
          </m:sub>
        </m:sSub>
      </m:oMath>
      <w:r w:rsidR="00CF38DC">
        <w:rPr>
          <w:rFonts w:eastAsiaTheme="minorEastAsia"/>
        </w:rPr>
        <w:t xml:space="preserve"> and </w:t>
      </w:r>
      <m:oMath>
        <m:sSub>
          <m:sSubPr>
            <m:ctrlPr>
              <w:rPr>
                <w:rFonts w:ascii="Cambria Math" w:hAnsi="Cambria Math"/>
                <w:i/>
              </w:rPr>
            </m:ctrlPr>
          </m:sSubPr>
          <m:e>
            <m:r>
              <w:rPr>
                <w:rFonts w:ascii="Cambria Math" w:hAnsi="Cambria Math"/>
              </w:rPr>
              <m:t>AS</m:t>
            </m:r>
          </m:e>
          <m:sub>
            <m:r>
              <w:rPr>
                <w:rFonts w:ascii="Cambria Math" w:hAnsi="Cambria Math"/>
              </w:rPr>
              <m:t>BL2</m:t>
            </m:r>
          </m:sub>
        </m:sSub>
      </m:oMath>
      <w:r w:rsidR="00CF38DC">
        <w:rPr>
          <w:rFonts w:eastAsiaTheme="minorEastAsia"/>
        </w:rPr>
        <w:t xml:space="preserve"> are the first- and second-baseline annual natural gas savings rates in </w:t>
      </w:r>
      <w:proofErr w:type="spellStart"/>
      <w:r w:rsidR="00CF38DC">
        <w:rPr>
          <w:rFonts w:eastAsiaTheme="minorEastAsia"/>
        </w:rPr>
        <w:t>Therms</w:t>
      </w:r>
      <w:proofErr w:type="spellEnd"/>
      <w:r w:rsidR="00CF38DC">
        <w:rPr>
          <w:rFonts w:eastAsiaTheme="minorEastAsia"/>
        </w:rPr>
        <w:t xml:space="preserve"> per year.</w:t>
      </w:r>
    </w:p>
    <w:p w14:paraId="075298DF" w14:textId="77777777" w:rsidR="009A35C6" w:rsidRDefault="009A35C6" w:rsidP="009A35C6"/>
    <w:p w14:paraId="1333EC75" w14:textId="357FEA77" w:rsidR="009A35C6" w:rsidRDefault="009A35C6" w:rsidP="009A35C6">
      <w:pPr>
        <w:sectPr w:rsidR="009A35C6">
          <w:pgSz w:w="12240" w:h="15840"/>
          <w:pgMar w:top="1440" w:right="1440" w:bottom="1440" w:left="1440" w:header="720" w:footer="720" w:gutter="0"/>
          <w:cols w:space="720"/>
          <w:docGrid w:linePitch="360"/>
        </w:sectPr>
      </w:pPr>
    </w:p>
    <w:p w14:paraId="40842AF0" w14:textId="7B61C1F5" w:rsidR="000618B6" w:rsidRDefault="006464B9" w:rsidP="0038277F">
      <w:pPr>
        <w:pStyle w:val="Heading3"/>
        <w:rPr>
          <w:rFonts w:eastAsiaTheme="minorEastAsia"/>
        </w:rPr>
      </w:pPr>
      <w:bookmarkStart w:id="6" w:name="_Gross_First_Year"/>
      <w:bookmarkEnd w:id="6"/>
      <w:r>
        <w:rPr>
          <w:rFonts w:eastAsiaTheme="minorEastAsia"/>
        </w:rPr>
        <w:lastRenderedPageBreak/>
        <w:t xml:space="preserve">Gross </w:t>
      </w:r>
      <w:r w:rsidR="0038277F">
        <w:rPr>
          <w:rFonts w:eastAsiaTheme="minorEastAsia"/>
        </w:rPr>
        <w:t xml:space="preserve">First Year </w:t>
      </w:r>
      <w:r w:rsidR="000618B6">
        <w:rPr>
          <w:rFonts w:eastAsiaTheme="minorEastAsia"/>
        </w:rPr>
        <w:t>Electric CO</w:t>
      </w:r>
      <w:r w:rsidR="000618B6" w:rsidRPr="000618B6">
        <w:rPr>
          <w:rFonts w:eastAsiaTheme="minorEastAsia"/>
          <w:vertAlign w:val="subscript"/>
        </w:rPr>
        <w:t>2</w:t>
      </w:r>
      <w:r w:rsidR="0038277F" w:rsidRPr="0038277F">
        <w:rPr>
          <w:rFonts w:eastAsiaTheme="minorEastAsia"/>
        </w:rPr>
        <w:t xml:space="preserve"> Emissions Reductions</w:t>
      </w:r>
      <w:r w:rsidR="0038277F">
        <w:rPr>
          <w:rFonts w:eastAsiaTheme="minorEastAsia"/>
        </w:rPr>
        <w:t xml:space="preserve"> (</w:t>
      </w:r>
      <w:r w:rsidR="0038277F" w:rsidRPr="0038277F">
        <w:rPr>
          <w:rStyle w:val="CodeObjectChar"/>
        </w:rPr>
        <w:t>GrossElecCO2</w:t>
      </w:r>
      <w:r w:rsidR="0038277F">
        <w:rPr>
          <w:rFonts w:eastAsiaTheme="minorEastAsia"/>
        </w:rPr>
        <w:t>):</w:t>
      </w:r>
    </w:p>
    <w:bookmarkStart w:id="7" w:name="_Ref37695611"/>
    <w:p w14:paraId="10B72FAC" w14:textId="67771609" w:rsidR="00046913" w:rsidRPr="00EF60B0" w:rsidRDefault="009A4DF2" w:rsidP="00046913">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q</m:t>
                      </m:r>
                    </m:sub>
                  </m:sSub>
                </m:e>
              </m:d>
            </m:e>
          </m:nary>
        </m:oMath>
      </m:oMathPara>
    </w:p>
    <w:p w14:paraId="044078F2" w14:textId="5255EAE8" w:rsidR="0038277F" w:rsidRPr="00EF60B0" w:rsidRDefault="000C779C" w:rsidP="000C779C">
      <w:pPr>
        <w:pStyle w:val="Caption"/>
        <w:rPr>
          <w:rFonts w:eastAsiaTheme="minorEastAsia"/>
        </w:rPr>
      </w:pPr>
      <w:r>
        <w:t xml:space="preserve">Equation </w:t>
      </w:r>
      <w:fldSimple w:instr=" SEQ Equation \* ARABIC ">
        <w:r w:rsidR="00552F8C">
          <w:rPr>
            <w:noProof/>
          </w:rPr>
          <w:t>3</w:t>
        </w:r>
      </w:fldSimple>
      <w:bookmarkEnd w:id="7"/>
    </w:p>
    <w:p w14:paraId="5F9AF3EC" w14:textId="2A438035" w:rsidR="0038277F" w:rsidRDefault="0038277F" w:rsidP="00B45E9B">
      <w:pPr>
        <w:rPr>
          <w:rFonts w:eastAsiaTheme="minorEastAsia"/>
        </w:rPr>
      </w:pPr>
      <w:r>
        <w:rPr>
          <w:rFonts w:eastAsiaTheme="minorEastAsia"/>
        </w:rPr>
        <w:t>Where</w:t>
      </w:r>
    </w:p>
    <w:p w14:paraId="2C9F318F" w14:textId="6E82C449" w:rsidR="0038277F" w:rsidRDefault="009A4DF2" w:rsidP="00652C7B">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oMath>
      <w:r w:rsidR="0038277F">
        <w:rPr>
          <w:rFonts w:eastAsiaTheme="minorEastAsia"/>
        </w:rPr>
        <w:t xml:space="preserve"> is the </w:t>
      </w:r>
      <w:r w:rsidR="000C779C">
        <w:rPr>
          <w:rFonts w:eastAsiaTheme="minorEastAsia"/>
        </w:rPr>
        <w:t>gross</w:t>
      </w:r>
      <w:r w:rsidR="0038277F">
        <w:rPr>
          <w:rFonts w:eastAsiaTheme="minorEastAsia"/>
        </w:rPr>
        <w:t xml:space="preserve"> CO</w:t>
      </w:r>
      <w:r w:rsidR="0038277F" w:rsidRPr="00AB1EC7">
        <w:rPr>
          <w:rFonts w:eastAsiaTheme="minorEastAsia"/>
          <w:vertAlign w:val="subscript"/>
        </w:rPr>
        <w:t>2</w:t>
      </w:r>
      <w:r w:rsidR="0038277F">
        <w:rPr>
          <w:rFonts w:eastAsiaTheme="minorEastAsia"/>
        </w:rPr>
        <w:t xml:space="preserve"> emissions reductions in tons of CO</w:t>
      </w:r>
      <w:r w:rsidR="0038277F" w:rsidRPr="008D7614">
        <w:rPr>
          <w:rFonts w:eastAsiaTheme="minorEastAsia"/>
          <w:vertAlign w:val="subscript"/>
        </w:rPr>
        <w:t>2</w:t>
      </w:r>
      <w:r w:rsidR="0038277F">
        <w:rPr>
          <w:rFonts w:eastAsiaTheme="minorEastAsia"/>
        </w:rPr>
        <w:t xml:space="preserve"> due to electric </w:t>
      </w:r>
      <w:r w:rsidR="00295C1E">
        <w:rPr>
          <w:rFonts w:eastAsiaTheme="minorEastAsia"/>
        </w:rPr>
        <w:t xml:space="preserve">energy </w:t>
      </w:r>
      <w:r w:rsidR="0038277F">
        <w:rPr>
          <w:rFonts w:eastAsiaTheme="minorEastAsia"/>
        </w:rPr>
        <w:t>savings</w:t>
      </w:r>
      <w:r w:rsidR="00005937">
        <w:rPr>
          <w:rFonts w:eastAsiaTheme="minorEastAsia"/>
        </w:rPr>
        <w:t xml:space="preserve"> in the first year after </w:t>
      </w:r>
      <w:proofErr w:type="gramStart"/>
      <w:r w:rsidR="00005937">
        <w:rPr>
          <w:rFonts w:eastAsiaTheme="minorEastAsia"/>
        </w:rPr>
        <w:t>installation</w:t>
      </w:r>
      <w:r w:rsidR="0038277F">
        <w:rPr>
          <w:rFonts w:eastAsiaTheme="minorEastAsia"/>
        </w:rPr>
        <w:t>.</w:t>
      </w:r>
      <w:proofErr w:type="gramEnd"/>
      <w:r w:rsidR="00710554" w:rsidRPr="00710554">
        <w:rPr>
          <w:rFonts w:eastAsiaTheme="minorEastAsia"/>
        </w:rPr>
        <w:t xml:space="preserve"> </w:t>
      </w:r>
      <w:r w:rsidR="00710554">
        <w:rPr>
          <w:rFonts w:eastAsiaTheme="minorEastAsia"/>
        </w:rPr>
        <w:t xml:space="preserve">The </w:t>
      </w:r>
      <w:proofErr w:type="spellStart"/>
      <w:r w:rsidR="00710554" w:rsidRPr="00BD3B41">
        <w:rPr>
          <w:rStyle w:val="CodeObjectChar"/>
        </w:rPr>
        <w:t>CalcEmissions</w:t>
      </w:r>
      <w:proofErr w:type="spellEnd"/>
      <w:r w:rsidR="00710554">
        <w:rPr>
          <w:rFonts w:eastAsiaTheme="minorEastAsia"/>
        </w:rPr>
        <w:t xml:space="preserve"> procedure stores the calculated value to the </w:t>
      </w:r>
      <w:r w:rsidR="00710554">
        <w:rPr>
          <w:rStyle w:val="CodeObjectChar"/>
        </w:rPr>
        <w:t>GrossElec</w:t>
      </w:r>
      <w:r w:rsidR="00710554" w:rsidRPr="00BD3B41">
        <w:rPr>
          <w:rStyle w:val="CodeObjectChar"/>
        </w:rPr>
        <w:t>CO2</w:t>
      </w:r>
      <w:r w:rsidR="00710554">
        <w:rPr>
          <w:rFonts w:eastAsiaTheme="minorEastAsia"/>
        </w:rPr>
        <w:t xml:space="preserve"> field in the table </w:t>
      </w:r>
      <w:proofErr w:type="spellStart"/>
      <w:r w:rsidR="00710554" w:rsidRPr="00BD3B41">
        <w:rPr>
          <w:rStyle w:val="CodeObjectChar"/>
        </w:rPr>
        <w:t>OutputEmissions</w:t>
      </w:r>
      <w:proofErr w:type="spellEnd"/>
      <w:r w:rsidR="00710554">
        <w:rPr>
          <w:rFonts w:eastAsiaTheme="minorEastAsia"/>
        </w:rPr>
        <w:t>.</w:t>
      </w:r>
    </w:p>
    <w:p w14:paraId="58F80783" w14:textId="21FD6598" w:rsidR="000C779C" w:rsidRDefault="00610A10" w:rsidP="00652C7B">
      <w:pPr>
        <w:ind w:left="720"/>
        <w:rPr>
          <w:rFonts w:eastAsiaTheme="minorEastAsia"/>
        </w:rPr>
      </w:pP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and </w:t>
      </w:r>
      <m:oMath>
        <m:sSub>
          <m:sSubPr>
            <m:ctrlPr>
              <w:rPr>
                <w:rFonts w:ascii="Cambria Math" w:hAnsi="Cambria Math"/>
                <w:i/>
              </w:rPr>
            </m:ctrlPr>
          </m:sSubPr>
          <m:e>
            <m:r>
              <w:rPr>
                <w:rFonts w:ascii="Cambria Math" w:hAnsi="Cambria Math"/>
              </w:rPr>
              <m:t>AS</m:t>
            </m:r>
          </m:e>
          <m:sub>
            <m:r>
              <w:rPr>
                <w:rFonts w:ascii="Cambria Math" w:hAnsi="Cambria Math"/>
              </w:rPr>
              <m:t>q</m:t>
            </m:r>
          </m:sub>
        </m:sSub>
      </m:oMath>
      <w:r w:rsidR="00450087">
        <w:rPr>
          <w:rFonts w:eastAsiaTheme="minorEastAsia"/>
        </w:rPr>
        <w:t xml:space="preserve"> are</w:t>
      </w:r>
      <w:r w:rsidR="000C779C">
        <w:rPr>
          <w:rFonts w:eastAsiaTheme="minorEastAsia"/>
        </w:rPr>
        <w:t xml:space="preserve"> as defined for </w:t>
      </w:r>
      <w:r w:rsidR="000C779C">
        <w:rPr>
          <w:rFonts w:eastAsiaTheme="minorEastAsia"/>
        </w:rPr>
        <w:fldChar w:fldCharType="begin"/>
      </w:r>
      <w:r w:rsidR="000C779C">
        <w:rPr>
          <w:rFonts w:eastAsiaTheme="minorEastAsia"/>
        </w:rPr>
        <w:instrText xml:space="preserve"> REF _Ref37692307 \h </w:instrText>
      </w:r>
      <w:r w:rsidR="000C779C">
        <w:rPr>
          <w:rFonts w:eastAsiaTheme="minorEastAsia"/>
        </w:rPr>
      </w:r>
      <w:r w:rsidR="000C779C">
        <w:rPr>
          <w:rFonts w:eastAsiaTheme="minorEastAsia"/>
        </w:rPr>
        <w:fldChar w:fldCharType="separate"/>
      </w:r>
      <w:r w:rsidR="00552F8C">
        <w:t xml:space="preserve">Equation </w:t>
      </w:r>
      <w:r w:rsidR="00552F8C">
        <w:rPr>
          <w:noProof/>
        </w:rPr>
        <w:t>1</w:t>
      </w:r>
      <w:r w:rsidR="000C779C">
        <w:rPr>
          <w:rFonts w:eastAsiaTheme="minorEastAsia"/>
        </w:rPr>
        <w:fldChar w:fldCharType="end"/>
      </w:r>
      <w:r w:rsidR="000C779C">
        <w:rPr>
          <w:rFonts w:eastAsiaTheme="minorEastAsia"/>
        </w:rPr>
        <w:t>.</w:t>
      </w:r>
    </w:p>
    <w:p w14:paraId="76124352" w14:textId="77777777" w:rsidR="009A35C6" w:rsidRDefault="009A35C6" w:rsidP="009A35C6">
      <w:pPr>
        <w:rPr>
          <w:rFonts w:eastAsiaTheme="minorEastAsia"/>
        </w:rPr>
      </w:pPr>
    </w:p>
    <w:p w14:paraId="3FCD4B44" w14:textId="06BF5AFD"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59A9E865" w14:textId="2556DE61" w:rsidR="000C779C" w:rsidRDefault="006464B9" w:rsidP="000C779C">
      <w:pPr>
        <w:pStyle w:val="Heading3"/>
      </w:pPr>
      <w:bookmarkStart w:id="8" w:name="_Gross_First_Year_1"/>
      <w:bookmarkEnd w:id="8"/>
      <w:r>
        <w:lastRenderedPageBreak/>
        <w:t xml:space="preserve">Gross </w:t>
      </w:r>
      <w:r w:rsidR="000C779C">
        <w:t xml:space="preserve">First Year </w:t>
      </w:r>
      <w:r w:rsidR="004B7E0D">
        <w:t xml:space="preserve">Natural </w:t>
      </w:r>
      <w:r w:rsidR="000C779C">
        <w:t>Gas CO</w:t>
      </w:r>
      <w:r w:rsidR="000C779C" w:rsidRPr="004B7E0D">
        <w:rPr>
          <w:vertAlign w:val="subscript"/>
        </w:rPr>
        <w:t>2</w:t>
      </w:r>
      <w:r w:rsidR="000C779C">
        <w:t xml:space="preserve"> Emissions Reductions (</w:t>
      </w:r>
      <w:r w:rsidR="000C779C" w:rsidRPr="000C779C">
        <w:rPr>
          <w:rStyle w:val="CodeObjectChar"/>
        </w:rPr>
        <w:t>GrossGasCO2</w:t>
      </w:r>
      <w:r w:rsidR="000C779C">
        <w:t>):</w:t>
      </w:r>
    </w:p>
    <w:p w14:paraId="403F2DA9" w14:textId="5016BDDD" w:rsidR="00337A50" w:rsidRPr="00EF60B0" w:rsidRDefault="009A4DF2" w:rsidP="00337A50">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=IN×</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m:oMathPara>
    </w:p>
    <w:p w14:paraId="52C7840F" w14:textId="67941D3F" w:rsidR="00337A50" w:rsidRDefault="00337A50" w:rsidP="00337A50">
      <w:pPr>
        <w:pStyle w:val="Caption"/>
      </w:pPr>
      <w:r>
        <w:t xml:space="preserve">Equation </w:t>
      </w:r>
      <w:fldSimple w:instr=" SEQ Equation \* ARABIC ">
        <w:r w:rsidR="00552F8C">
          <w:rPr>
            <w:noProof/>
          </w:rPr>
          <w:t>4</w:t>
        </w:r>
      </w:fldSimple>
    </w:p>
    <w:p w14:paraId="0CE9A9F6" w14:textId="693730D8" w:rsidR="00046913" w:rsidRDefault="00337A50" w:rsidP="00046913">
      <w:pPr>
        <w:rPr>
          <w:rFonts w:eastAsiaTheme="minorEastAsia"/>
        </w:rPr>
      </w:pPr>
      <w:r>
        <w:rPr>
          <w:rFonts w:eastAsiaTheme="minorEastAsia"/>
        </w:rPr>
        <w:t>Where</w:t>
      </w:r>
    </w:p>
    <w:p w14:paraId="0559C96E" w14:textId="3903D39B" w:rsidR="00337A50" w:rsidRDefault="009A4DF2" w:rsidP="00337A50">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337A50">
        <w:rPr>
          <w:rFonts w:eastAsiaTheme="minorEastAsia"/>
        </w:rPr>
        <w:t xml:space="preserve"> is the gross CO</w:t>
      </w:r>
      <w:r w:rsidR="00337A50" w:rsidRPr="00337A50">
        <w:rPr>
          <w:rFonts w:eastAsiaTheme="minorEastAsia"/>
          <w:vertAlign w:val="subscript"/>
        </w:rPr>
        <w:t>2</w:t>
      </w:r>
      <w:r w:rsidR="00337A50">
        <w:rPr>
          <w:rFonts w:eastAsiaTheme="minorEastAsia"/>
        </w:rPr>
        <w:t xml:space="preserve"> emissions reductions in tons of CO</w:t>
      </w:r>
      <w:r w:rsidR="00337A50" w:rsidRPr="00337A50">
        <w:rPr>
          <w:rFonts w:eastAsiaTheme="minorEastAsia"/>
          <w:vertAlign w:val="subscript"/>
        </w:rPr>
        <w:t>2</w:t>
      </w:r>
      <w:r w:rsidR="00337A50">
        <w:rPr>
          <w:rFonts w:eastAsiaTheme="minorEastAsia"/>
        </w:rPr>
        <w:t xml:space="preserve"> due to natural gas </w:t>
      </w:r>
      <w:r w:rsidR="00295C1E">
        <w:rPr>
          <w:rFonts w:eastAsiaTheme="minorEastAsia"/>
        </w:rPr>
        <w:t xml:space="preserve">consumption </w:t>
      </w:r>
      <w:r w:rsidR="00337A50">
        <w:rPr>
          <w:rFonts w:eastAsiaTheme="minorEastAsia"/>
        </w:rPr>
        <w:t>savings</w:t>
      </w:r>
      <w:r w:rsidR="00005937">
        <w:rPr>
          <w:rFonts w:eastAsiaTheme="minorEastAsia"/>
        </w:rPr>
        <w:t xml:space="preserve"> in the first year after </w:t>
      </w:r>
      <w:proofErr w:type="gramStart"/>
      <w:r w:rsidR="00005937">
        <w:rPr>
          <w:rFonts w:eastAsiaTheme="minorEastAsia"/>
        </w:rPr>
        <w:t>installation</w:t>
      </w:r>
      <w:r w:rsidR="00337A50">
        <w:rPr>
          <w:rFonts w:eastAsiaTheme="minorEastAsia"/>
        </w:rPr>
        <w:t>.</w:t>
      </w:r>
      <w:proofErr w:type="gramEnd"/>
      <w:r w:rsidR="00337A50">
        <w:rPr>
          <w:rFonts w:eastAsiaTheme="minorEastAsia"/>
        </w:rPr>
        <w:t xml:space="preserve"> The </w:t>
      </w:r>
      <w:proofErr w:type="spellStart"/>
      <w:r w:rsidR="00337A50" w:rsidRPr="00BD3B41">
        <w:rPr>
          <w:rStyle w:val="CodeObjectChar"/>
        </w:rPr>
        <w:t>CalcEmissions</w:t>
      </w:r>
      <w:proofErr w:type="spellEnd"/>
      <w:r w:rsidR="00337A50">
        <w:rPr>
          <w:rFonts w:eastAsiaTheme="minorEastAsia"/>
        </w:rPr>
        <w:t xml:space="preserve"> procedure stores the calculated value to the </w:t>
      </w:r>
      <w:r w:rsidR="00337A50">
        <w:rPr>
          <w:rStyle w:val="CodeObjectChar"/>
        </w:rPr>
        <w:t>GrossGas</w:t>
      </w:r>
      <w:r w:rsidR="00337A50" w:rsidRPr="00BD3B41">
        <w:rPr>
          <w:rStyle w:val="CodeObjectChar"/>
        </w:rPr>
        <w:t>CO2</w:t>
      </w:r>
      <w:r w:rsidR="00337A50">
        <w:rPr>
          <w:rFonts w:eastAsiaTheme="minorEastAsia"/>
        </w:rPr>
        <w:t xml:space="preserve"> field in the table </w:t>
      </w:r>
      <w:proofErr w:type="spellStart"/>
      <w:r w:rsidR="00337A50" w:rsidRPr="00BD3B41">
        <w:rPr>
          <w:rStyle w:val="CodeObjectChar"/>
        </w:rPr>
        <w:t>OutputEmissions</w:t>
      </w:r>
      <w:proofErr w:type="spellEnd"/>
      <w:r w:rsidR="00337A50">
        <w:rPr>
          <w:rFonts w:eastAsiaTheme="minorEastAsia"/>
        </w:rPr>
        <w:t>.</w:t>
      </w:r>
    </w:p>
    <w:p w14:paraId="33C67EB7" w14:textId="4F01F85D" w:rsidR="00BE185B" w:rsidRDefault="00BE185B" w:rsidP="00337A50">
      <w:pPr>
        <w:ind w:left="720"/>
        <w:rPr>
          <w:rFonts w:eastAsiaTheme="minorEastAsia"/>
        </w:rPr>
      </w:pPr>
      <m:oMath>
        <m:r>
          <w:rPr>
            <w:rFonts w:ascii="Cambria Math" w:hAnsi="Cambria Math"/>
          </w:rPr>
          <m:t>IN</m:t>
        </m:r>
      </m:oMath>
      <w:r>
        <w:rPr>
          <w:rFonts w:eastAsiaTheme="minorEastAsia"/>
        </w:rPr>
        <w:t xml:space="preserve"> is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1AA74291" w14:textId="60683C41" w:rsidR="00337A50" w:rsidRDefault="009A4DF2" w:rsidP="000E3130">
      <w:pPr>
        <w:ind w:left="720"/>
        <w:rPr>
          <w:rFonts w:eastAsiaTheme="minorEastAsia"/>
        </w:rPr>
      </w:pP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610A10">
        <w:rPr>
          <w:rFonts w:eastAsiaTheme="minorEastAsia"/>
        </w:rPr>
        <w:t xml:space="preserve">,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610A10">
        <w:rPr>
          <w:rFonts w:eastAsiaTheme="minorEastAsia"/>
        </w:rPr>
        <w:t xml:space="preserve">,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oMath>
      <w:r w:rsidR="00610A10">
        <w:rPr>
          <w:rFonts w:eastAsiaTheme="minorEastAsia"/>
        </w:rPr>
        <w:t xml:space="preserve">, and </w:t>
      </w: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w:r w:rsidR="00610A10">
        <w:rPr>
          <w:rFonts w:eastAsiaTheme="minorEastAsia"/>
        </w:rPr>
        <w:t xml:space="preserve"> </w:t>
      </w:r>
      <w:r w:rsidR="00450087">
        <w:rPr>
          <w:rFonts w:eastAsiaTheme="minorEastAsia"/>
        </w:rPr>
        <w:t xml:space="preserve">are as </w:t>
      </w:r>
      <w:r w:rsidR="00BE185B">
        <w:rPr>
          <w:rFonts w:eastAsiaTheme="minorEastAsia"/>
        </w:rPr>
        <w:t xml:space="preserve">defined for </w:t>
      </w:r>
      <w:r w:rsidR="00BE185B">
        <w:rPr>
          <w:rFonts w:eastAsiaTheme="minorEastAsia"/>
        </w:rPr>
        <w:fldChar w:fldCharType="begin"/>
      </w:r>
      <w:r w:rsidR="00BE185B">
        <w:rPr>
          <w:rFonts w:eastAsiaTheme="minorEastAsia"/>
        </w:rPr>
        <w:instrText xml:space="preserve"> REF _Ref37779223 \h </w:instrText>
      </w:r>
      <w:r w:rsidR="00BE185B">
        <w:rPr>
          <w:rFonts w:eastAsiaTheme="minorEastAsia"/>
        </w:rPr>
      </w:r>
      <w:r w:rsidR="00BE185B">
        <w:rPr>
          <w:rFonts w:eastAsiaTheme="minorEastAsia"/>
        </w:rPr>
        <w:fldChar w:fldCharType="separate"/>
      </w:r>
      <w:r w:rsidR="00552F8C">
        <w:t xml:space="preserve">Equation </w:t>
      </w:r>
      <w:r w:rsidR="00552F8C">
        <w:rPr>
          <w:noProof/>
        </w:rPr>
        <w:t>2</w:t>
      </w:r>
      <w:r w:rsidR="00BE185B">
        <w:rPr>
          <w:rFonts w:eastAsiaTheme="minorEastAsia"/>
        </w:rPr>
        <w:fldChar w:fldCharType="end"/>
      </w:r>
      <w:r w:rsidR="00BE185B">
        <w:rPr>
          <w:rFonts w:eastAsiaTheme="minorEastAsia"/>
        </w:rPr>
        <w:t>.</w:t>
      </w:r>
    </w:p>
    <w:p w14:paraId="5E656048" w14:textId="77777777" w:rsidR="009A35C6" w:rsidRDefault="009A35C6" w:rsidP="009A35C6"/>
    <w:p w14:paraId="5B1D7326" w14:textId="35AD8F76" w:rsidR="009A35C6" w:rsidRDefault="009A35C6" w:rsidP="009A35C6">
      <w:pPr>
        <w:sectPr w:rsidR="009A35C6">
          <w:pgSz w:w="12240" w:h="15840"/>
          <w:pgMar w:top="1440" w:right="1440" w:bottom="1440" w:left="1440" w:header="720" w:footer="720" w:gutter="0"/>
          <w:cols w:space="720"/>
          <w:docGrid w:linePitch="360"/>
        </w:sectPr>
      </w:pPr>
    </w:p>
    <w:p w14:paraId="01BCE5AE" w14:textId="01DBE366" w:rsidR="000C779C" w:rsidRDefault="000C779C" w:rsidP="004B7E0D">
      <w:pPr>
        <w:pStyle w:val="Heading3"/>
      </w:pPr>
      <w:bookmarkStart w:id="9" w:name="_Net_Lifecycle_Electric"/>
      <w:bookmarkEnd w:id="9"/>
      <w:r>
        <w:lastRenderedPageBreak/>
        <w:t xml:space="preserve">Net </w:t>
      </w:r>
      <w:r w:rsidR="006464B9">
        <w:t xml:space="preserve">Lifecycle </w:t>
      </w:r>
      <w:r>
        <w:t>Electric CO</w:t>
      </w:r>
      <w:r w:rsidRPr="004B7E0D">
        <w:rPr>
          <w:vertAlign w:val="subscript"/>
        </w:rPr>
        <w:t>2</w:t>
      </w:r>
      <w:r>
        <w:t xml:space="preserve"> Emissions Reductions (</w:t>
      </w:r>
      <w:r w:rsidRPr="000C779C">
        <w:rPr>
          <w:rStyle w:val="CodeObjectChar"/>
        </w:rPr>
        <w:t>NetElecCO2Lifecycle</w:t>
      </w:r>
      <w:r>
        <w:t>):</w:t>
      </w:r>
    </w:p>
    <w:p w14:paraId="1937A242" w14:textId="5C83E9FA" w:rsidR="005B6904" w:rsidRPr="00EF60B0" w:rsidRDefault="009A4DF2" w:rsidP="005B6904">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q</m:t>
                      </m:r>
                    </m:sub>
                  </m:sSub>
                </m:e>
              </m:d>
            </m:e>
          </m:nary>
        </m:oMath>
      </m:oMathPara>
    </w:p>
    <w:p w14:paraId="06587308" w14:textId="7EBC5D1F" w:rsidR="005B6904" w:rsidRDefault="005B6904" w:rsidP="005B6904">
      <w:pPr>
        <w:pStyle w:val="Caption"/>
        <w:rPr>
          <w:noProof/>
        </w:rPr>
      </w:pPr>
      <w:bookmarkStart w:id="10" w:name="_Ref37695617"/>
      <w:r>
        <w:t xml:space="preserve">Equation </w:t>
      </w:r>
      <w:fldSimple w:instr=" SEQ Equation \* ARABIC ">
        <w:r w:rsidR="00552F8C">
          <w:rPr>
            <w:noProof/>
          </w:rPr>
          <w:t>5</w:t>
        </w:r>
      </w:fldSimple>
      <w:bookmarkEnd w:id="10"/>
    </w:p>
    <w:p w14:paraId="06DA1F18" w14:textId="75038BFF" w:rsidR="00F43453" w:rsidRDefault="00F43453" w:rsidP="00F43453">
      <w:r>
        <w:t>Where</w:t>
      </w:r>
    </w:p>
    <w:p w14:paraId="241EAF3F" w14:textId="507DC870" w:rsidR="00F43453" w:rsidRDefault="009A4DF2" w:rsidP="00F43453">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oMath>
      <w:r w:rsidR="00F43453">
        <w:rPr>
          <w:rFonts w:eastAsiaTheme="minorEastAsia"/>
        </w:rPr>
        <w:t xml:space="preserve"> </w:t>
      </w:r>
      <w:r w:rsidR="00450087">
        <w:rPr>
          <w:rFonts w:eastAsiaTheme="minorEastAsia"/>
        </w:rPr>
        <w:t>is the net CO</w:t>
      </w:r>
      <w:r w:rsidR="00450087">
        <w:rPr>
          <w:rFonts w:eastAsiaTheme="minorEastAsia"/>
          <w:vertAlign w:val="subscript"/>
        </w:rPr>
        <w:t>2</w:t>
      </w:r>
      <w:r w:rsidR="00450087">
        <w:rPr>
          <w:rFonts w:eastAsiaTheme="minorEastAsia"/>
        </w:rPr>
        <w:t xml:space="preserve"> emissions reductions in tons of CO</w:t>
      </w:r>
      <w:r w:rsidR="00450087">
        <w:rPr>
          <w:rFonts w:eastAsiaTheme="minorEastAsia"/>
          <w:vertAlign w:val="subscript"/>
        </w:rPr>
        <w:t>2</w:t>
      </w:r>
      <w:r w:rsidR="00450087">
        <w:rPr>
          <w:rFonts w:eastAsiaTheme="minorEastAsia"/>
        </w:rPr>
        <w:t xml:space="preserve"> due to </w:t>
      </w:r>
      <w:r w:rsidR="00377B38">
        <w:rPr>
          <w:rFonts w:eastAsiaTheme="minorEastAsia"/>
        </w:rPr>
        <w:t>electric</w:t>
      </w:r>
      <w:r w:rsidR="006E1519">
        <w:rPr>
          <w:rFonts w:eastAsiaTheme="minorEastAsia"/>
        </w:rPr>
        <w:t xml:space="preserve"> energy savings</w:t>
      </w:r>
      <w:r w:rsidR="00005937">
        <w:rPr>
          <w:rFonts w:eastAsiaTheme="minorEastAsia"/>
        </w:rPr>
        <w:t xml:space="preserve"> throughout the measure’s </w:t>
      </w:r>
      <w:proofErr w:type="gramStart"/>
      <w:r w:rsidR="00005937">
        <w:rPr>
          <w:rFonts w:eastAsiaTheme="minorEastAsia"/>
        </w:rPr>
        <w:t>lifecycle</w:t>
      </w:r>
      <w:r w:rsidR="00450087">
        <w:rPr>
          <w:rFonts w:eastAsiaTheme="minorEastAsia"/>
        </w:rPr>
        <w:t>.</w:t>
      </w:r>
      <w:proofErr w:type="gramEnd"/>
      <w:r w:rsidR="00450087">
        <w:rPr>
          <w:rFonts w:eastAsiaTheme="minorEastAsia"/>
        </w:rPr>
        <w:t xml:space="preserve"> The </w:t>
      </w:r>
      <w:proofErr w:type="spellStart"/>
      <w:r w:rsidR="00450087" w:rsidRPr="00BD3B41">
        <w:rPr>
          <w:rStyle w:val="CodeObjectChar"/>
        </w:rPr>
        <w:t>CalcEmissions</w:t>
      </w:r>
      <w:proofErr w:type="spellEnd"/>
      <w:r w:rsidR="00450087">
        <w:rPr>
          <w:rFonts w:eastAsiaTheme="minorEastAsia"/>
        </w:rPr>
        <w:t xml:space="preserve"> procedure stores the calculated value to the </w:t>
      </w:r>
      <w:r w:rsidR="00450087">
        <w:rPr>
          <w:rStyle w:val="CodeObjectChar"/>
        </w:rPr>
        <w:t>NetElecCO2Lifecycle</w:t>
      </w:r>
      <w:r w:rsidR="00450087">
        <w:rPr>
          <w:rFonts w:eastAsiaTheme="minorEastAsia"/>
        </w:rPr>
        <w:t xml:space="preserve"> field in the table </w:t>
      </w:r>
      <w:proofErr w:type="spellStart"/>
      <w:r w:rsidR="00450087" w:rsidRPr="00BD3B41">
        <w:rPr>
          <w:rStyle w:val="CodeObjectChar"/>
        </w:rPr>
        <w:t>OutputEmissions</w:t>
      </w:r>
      <w:proofErr w:type="spellEnd"/>
      <w:r w:rsidR="00450087">
        <w:rPr>
          <w:rFonts w:eastAsiaTheme="minorEastAsia"/>
        </w:rPr>
        <w:t>.</w:t>
      </w:r>
    </w:p>
    <w:p w14:paraId="58B11DF1" w14:textId="430085B7" w:rsidR="00450087" w:rsidRDefault="009A4DF2" w:rsidP="00F43453">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7E5DF5">
        <w:rPr>
          <w:rFonts w:eastAsiaTheme="minorEastAsia"/>
        </w:rPr>
        <w:t xml:space="preserve">, </w:t>
      </w:r>
      <m:oMath>
        <m:r>
          <w:rPr>
            <w:rFonts w:ascii="Cambria Math" w:hAnsi="Cambria Math"/>
          </w:rPr>
          <m:t>q</m:t>
        </m:r>
      </m:oMath>
      <w:r w:rsidR="007E5DF5">
        <w:rPr>
          <w:rFonts w:eastAsiaTheme="minorEastAsia"/>
        </w:rPr>
        <w:t xml:space="preserve">, </w:t>
      </w:r>
      <m:oMath>
        <m:r>
          <w:rPr>
            <w:rFonts w:ascii="Cambria Math" w:hAnsi="Cambria Math"/>
          </w:rPr>
          <m:t>IN</m:t>
        </m:r>
      </m:oMath>
      <w:r w:rsidR="007E5DF5">
        <w:rPr>
          <w:rFonts w:eastAsiaTheme="minorEastAsia"/>
        </w:rPr>
        <w:t xml:space="preserve">, </w:t>
      </w: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sidR="007E5DF5">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ME</m:t>
            </m:r>
          </m:sub>
        </m:sSub>
      </m:oMath>
      <w:r w:rsidR="007E5DF5">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sidR="007E5DF5">
        <w:rPr>
          <w:rFonts w:eastAsiaTheme="minorEastAsia"/>
        </w:rPr>
        <w:t xml:space="preserve">,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sidR="007E5DF5">
        <w:rPr>
          <w:rFonts w:eastAsiaTheme="minorEastAsia"/>
        </w:rPr>
        <w:t xml:space="preserve">,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oMath>
      <w:r w:rsidR="007E5DF5">
        <w:rPr>
          <w:rFonts w:eastAsiaTheme="minorEastAsia"/>
        </w:rPr>
        <w:t xml:space="preserve">, and </w:t>
      </w:r>
      <m:oMath>
        <m:sSub>
          <m:sSubPr>
            <m:ctrlPr>
              <w:rPr>
                <w:rFonts w:ascii="Cambria Math" w:hAnsi="Cambria Math"/>
                <w:i/>
              </w:rPr>
            </m:ctrlPr>
          </m:sSubPr>
          <m:e>
            <m:r>
              <w:rPr>
                <w:rFonts w:ascii="Cambria Math" w:hAnsi="Cambria Math"/>
              </w:rPr>
              <m:t>AS</m:t>
            </m:r>
          </m:e>
          <m:sub>
            <m:r>
              <w:rPr>
                <w:rFonts w:ascii="Cambria Math" w:hAnsi="Cambria Math"/>
              </w:rPr>
              <m:t>q</m:t>
            </m:r>
          </m:sub>
        </m:sSub>
      </m:oMath>
      <w:r w:rsidR="007E5DF5">
        <w:rPr>
          <w:rFonts w:eastAsiaTheme="minorEastAsia"/>
        </w:rPr>
        <w:t xml:space="preserve"> </w:t>
      </w:r>
      <w:r w:rsidR="00450087">
        <w:rPr>
          <w:rFonts w:eastAsiaTheme="minorEastAsia"/>
        </w:rPr>
        <w:t xml:space="preserve">are as defined for </w:t>
      </w:r>
      <w:r w:rsidR="00450087">
        <w:rPr>
          <w:rFonts w:eastAsiaTheme="minorEastAsia"/>
        </w:rPr>
        <w:fldChar w:fldCharType="begin"/>
      </w:r>
      <w:r w:rsidR="00450087">
        <w:rPr>
          <w:rFonts w:eastAsiaTheme="minorEastAsia"/>
        </w:rPr>
        <w:instrText xml:space="preserve"> REF _Ref37692307 \h </w:instrText>
      </w:r>
      <w:r w:rsidR="00450087">
        <w:rPr>
          <w:rFonts w:eastAsiaTheme="minorEastAsia"/>
        </w:rPr>
      </w:r>
      <w:r w:rsidR="00450087">
        <w:rPr>
          <w:rFonts w:eastAsiaTheme="minorEastAsia"/>
        </w:rPr>
        <w:fldChar w:fldCharType="separate"/>
      </w:r>
      <w:r w:rsidR="00552F8C">
        <w:t xml:space="preserve">Equation </w:t>
      </w:r>
      <w:r w:rsidR="00552F8C">
        <w:rPr>
          <w:noProof/>
        </w:rPr>
        <w:t>1</w:t>
      </w:r>
      <w:r w:rsidR="00450087">
        <w:rPr>
          <w:rFonts w:eastAsiaTheme="minorEastAsia"/>
        </w:rPr>
        <w:fldChar w:fldCharType="end"/>
      </w:r>
      <w:r w:rsidR="00450087">
        <w:rPr>
          <w:rFonts w:eastAsiaTheme="minorEastAsia"/>
        </w:rPr>
        <w:t>.</w:t>
      </w:r>
    </w:p>
    <w:p w14:paraId="0C36EB02" w14:textId="77777777" w:rsidR="009A35C6" w:rsidRDefault="009A35C6" w:rsidP="009A35C6"/>
    <w:p w14:paraId="4BC68829" w14:textId="722B8FC2" w:rsidR="009A35C6" w:rsidRDefault="009A35C6" w:rsidP="009A35C6">
      <w:pPr>
        <w:sectPr w:rsidR="009A35C6">
          <w:pgSz w:w="12240" w:h="15840"/>
          <w:pgMar w:top="1440" w:right="1440" w:bottom="1440" w:left="1440" w:header="720" w:footer="720" w:gutter="0"/>
          <w:cols w:space="720"/>
          <w:docGrid w:linePitch="360"/>
        </w:sectPr>
      </w:pPr>
    </w:p>
    <w:p w14:paraId="4C9877DC" w14:textId="1970D997" w:rsidR="000C779C" w:rsidRDefault="004B7E0D" w:rsidP="004B7E0D">
      <w:pPr>
        <w:pStyle w:val="Heading3"/>
      </w:pPr>
      <w:bookmarkStart w:id="11" w:name="_Net_Lifecycle_Natural"/>
      <w:bookmarkEnd w:id="11"/>
      <w:r>
        <w:lastRenderedPageBreak/>
        <w:t xml:space="preserve">Net </w:t>
      </w:r>
      <w:r w:rsidR="006464B9">
        <w:t xml:space="preserve">Lifecycle </w:t>
      </w:r>
      <w:r>
        <w:t>Natural Gas CO</w:t>
      </w:r>
      <w:r w:rsidRPr="004B7E0D">
        <w:rPr>
          <w:vertAlign w:val="subscript"/>
        </w:rPr>
        <w:t>2</w:t>
      </w:r>
      <w:r>
        <w:t xml:space="preserve"> Emissions Reductions (</w:t>
      </w:r>
      <w:r w:rsidRPr="004B7E0D">
        <w:rPr>
          <w:rStyle w:val="CodeObjectChar"/>
        </w:rPr>
        <w:t>NetGasCO2Lifecycle</w:t>
      </w:r>
      <w:r>
        <w:t>):</w:t>
      </w:r>
    </w:p>
    <w:p w14:paraId="5B7EF17C" w14:textId="3DE4366C" w:rsidR="00377B38" w:rsidRPr="00EF60B0" w:rsidRDefault="009A4DF2" w:rsidP="00377B38">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,LC</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B</m:t>
                  </m:r>
                </m:e>
                <m:sub>
                  <m:r>
                    <m:rPr>
                      <m:nor/>
                    </m:rP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m:oMathPara>
    </w:p>
    <w:p w14:paraId="300318BC" w14:textId="11A9F67E" w:rsidR="00377B38" w:rsidRDefault="00377B38" w:rsidP="00377B38">
      <w:pPr>
        <w:pStyle w:val="Caption"/>
      </w:pPr>
      <w:bookmarkStart w:id="12" w:name="_Ref38576748"/>
      <w:r>
        <w:t xml:space="preserve">Equation </w:t>
      </w:r>
      <w:fldSimple w:instr=" SEQ Equation \* ARABIC ">
        <w:r w:rsidR="00552F8C">
          <w:rPr>
            <w:noProof/>
          </w:rPr>
          <w:t>6</w:t>
        </w:r>
      </w:fldSimple>
      <w:bookmarkEnd w:id="12"/>
    </w:p>
    <w:p w14:paraId="70BD9913" w14:textId="625B0950" w:rsidR="004B7E0D" w:rsidRDefault="00377B38" w:rsidP="00B45E9B">
      <w:r>
        <w:t>Where</w:t>
      </w:r>
    </w:p>
    <w:p w14:paraId="598121AB" w14:textId="520ED43D" w:rsidR="00377B38" w:rsidRDefault="009A4DF2" w:rsidP="00377B38">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oMath>
      <w:r w:rsidR="00377B38">
        <w:rPr>
          <w:rFonts w:eastAsiaTheme="minorEastAsia"/>
        </w:rPr>
        <w:t xml:space="preserve"> is the gross CO</w:t>
      </w:r>
      <w:r w:rsidR="00377B38" w:rsidRPr="00AB1EC7">
        <w:rPr>
          <w:rFonts w:eastAsiaTheme="minorEastAsia"/>
          <w:vertAlign w:val="subscript"/>
        </w:rPr>
        <w:t>2</w:t>
      </w:r>
      <w:r w:rsidR="00377B38">
        <w:rPr>
          <w:rFonts w:eastAsiaTheme="minorEastAsia"/>
        </w:rPr>
        <w:t xml:space="preserve"> emissions reductions in tons of CO</w:t>
      </w:r>
      <w:r w:rsidR="00377B38" w:rsidRPr="008D7614">
        <w:rPr>
          <w:rFonts w:eastAsiaTheme="minorEastAsia"/>
          <w:vertAlign w:val="subscript"/>
        </w:rPr>
        <w:t>2</w:t>
      </w:r>
      <w:r w:rsidR="00377B38">
        <w:rPr>
          <w:rFonts w:eastAsiaTheme="minorEastAsia"/>
        </w:rPr>
        <w:t xml:space="preserve"> due to </w:t>
      </w:r>
      <w:r w:rsidR="00295C1E">
        <w:rPr>
          <w:rFonts w:eastAsiaTheme="minorEastAsia"/>
        </w:rPr>
        <w:t>natural gas consumption</w:t>
      </w:r>
      <w:r w:rsidR="00377B38">
        <w:rPr>
          <w:rFonts w:eastAsiaTheme="minorEastAsia"/>
        </w:rPr>
        <w:t xml:space="preserve"> savings</w:t>
      </w:r>
      <w:r w:rsidR="00005937">
        <w:rPr>
          <w:rFonts w:eastAsiaTheme="minorEastAsia"/>
        </w:rPr>
        <w:t xml:space="preserve"> throughout the measure’s </w:t>
      </w:r>
      <w:proofErr w:type="gramStart"/>
      <w:r w:rsidR="00005937">
        <w:rPr>
          <w:rFonts w:eastAsiaTheme="minorEastAsia"/>
        </w:rPr>
        <w:t>lifecycle</w:t>
      </w:r>
      <w:r w:rsidR="00377B38">
        <w:rPr>
          <w:rFonts w:eastAsiaTheme="minorEastAsia"/>
        </w:rPr>
        <w:t>.</w:t>
      </w:r>
      <w:proofErr w:type="gramEnd"/>
      <w:r w:rsidR="00377B38" w:rsidRPr="00710554">
        <w:rPr>
          <w:rFonts w:eastAsiaTheme="minorEastAsia"/>
        </w:rPr>
        <w:t xml:space="preserve"> </w:t>
      </w:r>
      <w:r w:rsidR="00377B38">
        <w:rPr>
          <w:rFonts w:eastAsiaTheme="minorEastAsia"/>
        </w:rPr>
        <w:t xml:space="preserve">The </w:t>
      </w:r>
      <w:proofErr w:type="spellStart"/>
      <w:r w:rsidR="00377B38" w:rsidRPr="00BD3B41">
        <w:rPr>
          <w:rStyle w:val="CodeObjectChar"/>
        </w:rPr>
        <w:t>CalcEmissions</w:t>
      </w:r>
      <w:proofErr w:type="spellEnd"/>
      <w:r w:rsidR="00377B38">
        <w:rPr>
          <w:rFonts w:eastAsiaTheme="minorEastAsia"/>
        </w:rPr>
        <w:t xml:space="preserve"> procedure stores the calculated value to the </w:t>
      </w:r>
      <w:r w:rsidR="00377B38">
        <w:rPr>
          <w:rStyle w:val="CodeObjectChar"/>
        </w:rPr>
        <w:t>NetGas</w:t>
      </w:r>
      <w:r w:rsidR="00377B38" w:rsidRPr="00BD3B41">
        <w:rPr>
          <w:rStyle w:val="CodeObjectChar"/>
        </w:rPr>
        <w:t>CO</w:t>
      </w:r>
      <w:r w:rsidR="00377B38">
        <w:rPr>
          <w:rStyle w:val="CodeObjectChar"/>
        </w:rPr>
        <w:t>2Lifecycle</w:t>
      </w:r>
      <w:r w:rsidR="00377B38">
        <w:rPr>
          <w:rFonts w:eastAsiaTheme="minorEastAsia"/>
        </w:rPr>
        <w:t xml:space="preserve"> field in the table </w:t>
      </w:r>
      <w:proofErr w:type="spellStart"/>
      <w:r w:rsidR="00377B38" w:rsidRPr="00BD3B41">
        <w:rPr>
          <w:rStyle w:val="CodeObjectChar"/>
        </w:rPr>
        <w:t>OutputEmissions</w:t>
      </w:r>
      <w:proofErr w:type="spellEnd"/>
      <w:r w:rsidR="00377B38">
        <w:rPr>
          <w:rFonts w:eastAsiaTheme="minorEastAsia"/>
        </w:rPr>
        <w:t>.</w:t>
      </w:r>
    </w:p>
    <w:p w14:paraId="14E3EB9A" w14:textId="6DF04E03" w:rsidR="00377B38" w:rsidRDefault="00377B38" w:rsidP="00377B38">
      <w:pPr>
        <w:ind w:left="720"/>
        <w:rPr>
          <w:rFonts w:eastAsiaTheme="minorEastAsia"/>
        </w:rPr>
      </w:pPr>
      <m:oMath>
        <m:r>
          <w:rPr>
            <w:rFonts w:ascii="Cambria Math" w:hAnsi="Cambria Math"/>
          </w:rPr>
          <m:t>IN</m:t>
        </m:r>
      </m:oMath>
      <w:r>
        <w:t xml:space="preserve"> and </w:t>
      </w:r>
      <m:oMath>
        <m:sSub>
          <m:sSubPr>
            <m:ctrlPr>
              <w:rPr>
                <w:rFonts w:ascii="Cambria Math" w:hAnsi="Cambria Math"/>
                <w:i/>
              </w:rPr>
            </m:ctrlPr>
          </m:sSubPr>
          <m:e>
            <m:r>
              <w:rPr>
                <w:rFonts w:ascii="Cambria Math" w:hAnsi="Cambria Math"/>
              </w:rPr>
              <m:t>B</m:t>
            </m:r>
          </m:e>
          <m:sub>
            <m:r>
              <m:rPr>
                <m:nor/>
              </m:rPr>
              <w:rPr>
                <w:rFonts w:ascii="Cambria Math" w:hAnsi="Cambria Math"/>
              </w:rPr>
              <m:t>ME</m:t>
            </m:r>
          </m:sub>
        </m:sSub>
      </m:oMath>
      <w: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2046895D" w14:textId="4626132B" w:rsidR="00377B38" w:rsidRDefault="009A4DF2" w:rsidP="00377B38">
      <w:pPr>
        <w:ind w:left="720"/>
        <w:rPr>
          <w:rFonts w:eastAsiaTheme="minorEastAsia"/>
        </w:rPr>
      </w:pPr>
      <m:oMath>
        <m:sSub>
          <m:sSubPr>
            <m:ctrlPr>
              <w:rPr>
                <w:rFonts w:ascii="Cambria Math" w:hAnsi="Cambria Math"/>
                <w:i/>
              </w:rPr>
            </m:ctrlPr>
          </m:sSubPr>
          <m:e>
            <m:r>
              <w:rPr>
                <w:rFonts w:ascii="Cambria Math" w:hAnsi="Cambria Math"/>
              </w:rPr>
              <m:t>NTGR</m:t>
            </m:r>
          </m:e>
          <m:sub>
            <m:r>
              <m:rPr>
                <m:nor/>
              </m:rPr>
              <w:rPr>
                <w:rFonts w:ascii="Cambria Math" w:hAnsi="Cambria Math"/>
              </w:rPr>
              <m:t>Therm</m:t>
            </m:r>
          </m:sub>
        </m:sSub>
      </m:oMath>
      <w:r w:rsidR="00377B38">
        <w:rPr>
          <w:rFonts w:eastAsiaTheme="minorEastAsia"/>
        </w:rPr>
        <w:t xml:space="preserve">, </w:t>
      </w: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377B38">
        <w:rPr>
          <w:rFonts w:eastAsiaTheme="minorEastAsia"/>
        </w:rPr>
        <w:t xml:space="preserve">,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377B38">
        <w:rPr>
          <w:rFonts w:eastAsiaTheme="minorEastAsia"/>
        </w:rPr>
        <w:t xml:space="preserve">, and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oMath>
      <w:r w:rsidR="00377B38">
        <w:rPr>
          <w:rFonts w:eastAsiaTheme="minorEastAsia"/>
        </w:rPr>
        <w:t xml:space="preserve"> are as defined for </w:t>
      </w:r>
      <w:r w:rsidR="00377B38">
        <w:rPr>
          <w:rFonts w:eastAsiaTheme="minorEastAsia"/>
        </w:rPr>
        <w:fldChar w:fldCharType="begin"/>
      </w:r>
      <w:r w:rsidR="00377B38">
        <w:rPr>
          <w:rFonts w:eastAsiaTheme="minorEastAsia"/>
        </w:rPr>
        <w:instrText xml:space="preserve"> REF _Ref37779223 \h </w:instrText>
      </w:r>
      <w:r w:rsidR="00377B38">
        <w:rPr>
          <w:rFonts w:eastAsiaTheme="minorEastAsia"/>
        </w:rPr>
      </w:r>
      <w:r w:rsidR="00377B38">
        <w:rPr>
          <w:rFonts w:eastAsiaTheme="minorEastAsia"/>
        </w:rPr>
        <w:fldChar w:fldCharType="separate"/>
      </w:r>
      <w:r w:rsidR="00552F8C">
        <w:t xml:space="preserve">Equation </w:t>
      </w:r>
      <w:r w:rsidR="00552F8C">
        <w:rPr>
          <w:noProof/>
        </w:rPr>
        <w:t>2</w:t>
      </w:r>
      <w:r w:rsidR="00377B38">
        <w:rPr>
          <w:rFonts w:eastAsiaTheme="minorEastAsia"/>
        </w:rPr>
        <w:fldChar w:fldCharType="end"/>
      </w:r>
      <w:r w:rsidR="00377B38">
        <w:rPr>
          <w:rFonts w:eastAsiaTheme="minorEastAsia"/>
        </w:rPr>
        <w:t>.</w:t>
      </w:r>
    </w:p>
    <w:p w14:paraId="2B8F5817" w14:textId="1F38BAB7" w:rsidR="00377B38" w:rsidRDefault="009A4DF2" w:rsidP="00377B38">
      <w:pPr>
        <w:ind w:left="720"/>
        <w:rPr>
          <w:rFonts w:eastAsiaTheme="minorEastAsia"/>
        </w:rPr>
      </w:p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w:r w:rsidR="00377B38">
        <w:rPr>
          <w:rFonts w:eastAsiaTheme="minorEastAsia"/>
        </w:rPr>
        <w:t xml:space="preserve"> is the natural gas savings attributed to the measure’s entire </w:t>
      </w:r>
      <w:proofErr w:type="gramStart"/>
      <w:r w:rsidR="00377B38">
        <w:rPr>
          <w:rFonts w:eastAsiaTheme="minorEastAsia"/>
        </w:rPr>
        <w:t>lifecycle.</w:t>
      </w:r>
      <w:proofErr w:type="gramEnd"/>
      <w:r w:rsidR="00377B38">
        <w:rPr>
          <w:rFonts w:eastAsiaTheme="minorEastAsia"/>
        </w:rPr>
        <w:t xml:space="preserve"> The value of </w:t>
      </w: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w:r w:rsidR="00377B38">
        <w:rPr>
          <w:rFonts w:eastAsiaTheme="minorEastAsia"/>
        </w:rPr>
        <w:t xml:space="preserve"> is evaluated as follows:</w:t>
      </w:r>
    </w:p>
    <w:p w14:paraId="5E5FC2AA" w14:textId="1A625FFE" w:rsidR="00377B38" w:rsidRPr="009A35C6" w:rsidRDefault="009A4DF2" w:rsidP="00377B38">
      <w:pPr>
        <w:ind w:left="720"/>
        <w:rPr>
          <w:rFonts w:eastAsiaTheme="minorEastAsia"/>
        </w:rPr>
      </w:pPr>
      <m:oMathPara>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EUL</m:t>
                                </m:r>
                              </m:e>
                              <m:sub>
                                <m:r>
                                  <w:rPr>
                                    <w:rFonts w:ascii="Cambria Math" w:hAnsi="Cambria Math"/>
                                  </w:rPr>
                                  <m:t>q</m:t>
                                </m:r>
                              </m:sub>
                            </m:sSub>
                          </m:num>
                          <m:den>
                            <m:r>
                              <w:rPr>
                                <w:rFonts w:ascii="Cambria Math" w:hAnsi="Cambria Math"/>
                              </w:rPr>
                              <m:t>4</m:t>
                            </m:r>
                          </m:den>
                        </m:f>
                      </m:e>
                    </m:d>
                    <m:r>
                      <m:rPr>
                        <m:nor/>
                      </m:rPr>
                      <w:rPr>
                        <w:rFonts w:ascii="Cambria Math" w:eastAsiaTheme="minorEastAsia" w:hAnsi="Cambria Math"/>
                      </w:rPr>
                      <m:t>single baseline</m:t>
                    </m:r>
                  </m:e>
                </m:mr>
                <m:m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AS</m:t>
                            </m:r>
                          </m:e>
                          <m:sub>
                            <m:r>
                              <w:rPr>
                                <w:rFonts w:ascii="Cambria Math" w:hAnsi="Cambria Math"/>
                              </w:rPr>
                              <m:t>BL1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BL2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EUL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RUL</m:t>
                                </m:r>
                              </m:e>
                              <m:sub>
                                <m:r>
                                  <w:rPr>
                                    <w:rFonts w:ascii="Cambria Math" w:hAnsi="Cambria Math"/>
                                  </w:rPr>
                                  <m:t>q</m:t>
                                </m:r>
                              </m:sub>
                            </m:sSub>
                          </m:num>
                          <m:den>
                            <m:r>
                              <w:rPr>
                                <w:rFonts w:ascii="Cambria Math" w:hAnsi="Cambria Math"/>
                              </w:rPr>
                              <m:t>4</m:t>
                            </m:r>
                          </m:den>
                        </m:f>
                      </m:e>
                    </m:d>
                    <m:r>
                      <m:rPr>
                        <m:nor/>
                      </m:rPr>
                      <w:rPr>
                        <w:rFonts w:ascii="Cambria Math" w:eastAsiaTheme="minorEastAsia" w:hAnsi="Cambria Math"/>
                      </w:rPr>
                      <m:t>dual baseline</m:t>
                    </m:r>
                  </m:e>
                </m:mr>
              </m:m>
            </m:e>
          </m:d>
        </m:oMath>
      </m:oMathPara>
    </w:p>
    <w:p w14:paraId="55231749" w14:textId="77777777" w:rsidR="009A35C6" w:rsidRDefault="009A35C6" w:rsidP="009A35C6">
      <w:pPr>
        <w:rPr>
          <w:rFonts w:eastAsiaTheme="minorEastAsia"/>
        </w:rPr>
      </w:pPr>
    </w:p>
    <w:p w14:paraId="0E7BEB07" w14:textId="31E26400"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6D2BD263" w14:textId="5B1BEA08" w:rsidR="004B7E0D" w:rsidRDefault="004B7E0D" w:rsidP="004B7E0D">
      <w:pPr>
        <w:pStyle w:val="Heading3"/>
      </w:pPr>
      <w:bookmarkStart w:id="13" w:name="_Gross_Lifecycle_Electric"/>
      <w:bookmarkEnd w:id="13"/>
      <w:r>
        <w:lastRenderedPageBreak/>
        <w:t xml:space="preserve">Gross </w:t>
      </w:r>
      <w:r w:rsidR="006464B9">
        <w:t xml:space="preserve">Lifecycle </w:t>
      </w:r>
      <w:r>
        <w:t>Electric CO</w:t>
      </w:r>
      <w:r w:rsidRPr="004B7E0D">
        <w:rPr>
          <w:vertAlign w:val="subscript"/>
        </w:rPr>
        <w:t>2</w:t>
      </w:r>
      <w:r>
        <w:t xml:space="preserve"> Emissions Reductions (</w:t>
      </w:r>
      <w:r w:rsidRPr="004B7E0D">
        <w:rPr>
          <w:rStyle w:val="CodeObjectChar"/>
        </w:rPr>
        <w:t>GrossElecCO2Lifecycle</w:t>
      </w:r>
      <w:r>
        <w:t>):</w:t>
      </w:r>
    </w:p>
    <w:p w14:paraId="62A94CFD" w14:textId="2BE83F0C" w:rsidR="005B6904" w:rsidRPr="00EF60B0" w:rsidRDefault="009A4DF2" w:rsidP="005B6904">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AS</m:t>
                      </m:r>
                    </m:e>
                    <m:sub>
                      <m:r>
                        <w:rPr>
                          <w:rFonts w:ascii="Cambria Math" w:hAnsi="Cambria Math"/>
                        </w:rPr>
                        <m:t>q</m:t>
                      </m:r>
                    </m:sub>
                  </m:sSub>
                </m:e>
              </m:d>
            </m:e>
          </m:nary>
        </m:oMath>
      </m:oMathPara>
    </w:p>
    <w:p w14:paraId="13FB7661" w14:textId="2B8E912E" w:rsidR="005B6904" w:rsidRDefault="005B6904" w:rsidP="005B6904">
      <w:pPr>
        <w:pStyle w:val="Caption"/>
      </w:pPr>
      <w:bookmarkStart w:id="14" w:name="_Ref37695622"/>
      <w:r>
        <w:t xml:space="preserve">Equation </w:t>
      </w:r>
      <w:fldSimple w:instr=" SEQ Equation \* ARABIC ">
        <w:r w:rsidR="00552F8C">
          <w:rPr>
            <w:noProof/>
          </w:rPr>
          <w:t>7</w:t>
        </w:r>
      </w:fldSimple>
      <w:bookmarkEnd w:id="14"/>
    </w:p>
    <w:p w14:paraId="7F34B1FB" w14:textId="3EAD20A9" w:rsidR="004B7E0D" w:rsidRDefault="00E55273" w:rsidP="00B45E9B">
      <w:r>
        <w:t>Where</w:t>
      </w:r>
    </w:p>
    <w:p w14:paraId="33AC8E84" w14:textId="43E074E9" w:rsidR="006464B9" w:rsidRDefault="009A4DF2" w:rsidP="006464B9">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oMath>
      <w:r w:rsidR="00E55273">
        <w:rPr>
          <w:rFonts w:eastAsiaTheme="minorEastAsia"/>
        </w:rPr>
        <w:t xml:space="preserve"> </w:t>
      </w:r>
      <w:r w:rsidR="006464B9">
        <w:rPr>
          <w:rFonts w:eastAsiaTheme="minorEastAsia"/>
        </w:rPr>
        <w:t>is the gross CO</w:t>
      </w:r>
      <w:r w:rsidR="006464B9">
        <w:rPr>
          <w:rFonts w:eastAsiaTheme="minorEastAsia"/>
          <w:vertAlign w:val="subscript"/>
        </w:rPr>
        <w:t>2</w:t>
      </w:r>
      <w:r w:rsidR="006464B9">
        <w:rPr>
          <w:rFonts w:eastAsiaTheme="minorEastAsia"/>
        </w:rPr>
        <w:t xml:space="preserve"> emissions reductions in tons of CO</w:t>
      </w:r>
      <w:r w:rsidR="006464B9">
        <w:rPr>
          <w:rFonts w:eastAsiaTheme="minorEastAsia"/>
          <w:vertAlign w:val="subscript"/>
        </w:rPr>
        <w:t>2</w:t>
      </w:r>
      <w:r w:rsidR="006464B9">
        <w:rPr>
          <w:rFonts w:eastAsiaTheme="minorEastAsia"/>
        </w:rPr>
        <w:t xml:space="preserve"> due to electric</w:t>
      </w:r>
      <w:r w:rsidR="006E1519">
        <w:rPr>
          <w:rFonts w:eastAsiaTheme="minorEastAsia"/>
        </w:rPr>
        <w:t xml:space="preserve"> energy savings</w:t>
      </w:r>
      <w:r w:rsidR="00005937">
        <w:rPr>
          <w:rFonts w:eastAsiaTheme="minorEastAsia"/>
        </w:rPr>
        <w:t xml:space="preserve"> throughout the measure’s </w:t>
      </w:r>
      <w:proofErr w:type="gramStart"/>
      <w:r w:rsidR="00005937">
        <w:rPr>
          <w:rFonts w:eastAsiaTheme="minorEastAsia"/>
        </w:rPr>
        <w:t>lifecycle</w:t>
      </w:r>
      <w:r w:rsidR="006464B9">
        <w:rPr>
          <w:rFonts w:eastAsiaTheme="minorEastAsia"/>
        </w:rPr>
        <w:t>.</w:t>
      </w:r>
      <w:proofErr w:type="gramEnd"/>
      <w:r w:rsidR="006464B9">
        <w:rPr>
          <w:rFonts w:eastAsiaTheme="minorEastAsia"/>
        </w:rPr>
        <w:t xml:space="preserve"> The </w:t>
      </w:r>
      <w:proofErr w:type="spellStart"/>
      <w:r w:rsidR="006464B9" w:rsidRPr="00BD3B41">
        <w:rPr>
          <w:rStyle w:val="CodeObjectChar"/>
        </w:rPr>
        <w:t>CalcEmissions</w:t>
      </w:r>
      <w:proofErr w:type="spellEnd"/>
      <w:r w:rsidR="006464B9">
        <w:rPr>
          <w:rFonts w:eastAsiaTheme="minorEastAsia"/>
        </w:rPr>
        <w:t xml:space="preserve"> procedure stores the calculated value to the </w:t>
      </w:r>
      <w:r w:rsidR="006464B9">
        <w:rPr>
          <w:rStyle w:val="CodeObjectChar"/>
        </w:rPr>
        <w:t>NetElecCO2Lifecycle</w:t>
      </w:r>
      <w:r w:rsidR="006464B9">
        <w:rPr>
          <w:rFonts w:eastAsiaTheme="minorEastAsia"/>
        </w:rPr>
        <w:t xml:space="preserve"> field in the table </w:t>
      </w:r>
      <w:proofErr w:type="spellStart"/>
      <w:r w:rsidR="006464B9" w:rsidRPr="00BD3B41">
        <w:rPr>
          <w:rStyle w:val="CodeObjectChar"/>
        </w:rPr>
        <w:t>OutputEmissions</w:t>
      </w:r>
      <w:proofErr w:type="spellEnd"/>
      <w:r w:rsidR="006464B9">
        <w:rPr>
          <w:rFonts w:eastAsiaTheme="minorEastAsia"/>
        </w:rPr>
        <w:t>.</w:t>
      </w:r>
    </w:p>
    <w:p w14:paraId="1F2F0E0F" w14:textId="3726EE06" w:rsidR="006464B9" w:rsidRDefault="006464B9" w:rsidP="006464B9">
      <w:pPr>
        <w:ind w:left="720"/>
        <w:rPr>
          <w:rFonts w:eastAsiaTheme="minorEastAsia"/>
        </w:rPr>
      </w:pPr>
      <w:r>
        <w:rPr>
          <w:rFonts w:eastAsiaTheme="minorEastAsia"/>
        </w:rPr>
        <w:t xml:space="preserve">Other terms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64E9C497" w14:textId="77777777" w:rsidR="009A35C6" w:rsidRDefault="009A35C6" w:rsidP="009A35C6">
      <w:pPr>
        <w:rPr>
          <w:rFonts w:eastAsiaTheme="minorEastAsia"/>
        </w:rPr>
      </w:pPr>
    </w:p>
    <w:p w14:paraId="7833D3BF" w14:textId="3E4129B4"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5565AEE2" w14:textId="6CC3BEA0" w:rsidR="004B7E0D" w:rsidRDefault="004B7E0D" w:rsidP="006464B9">
      <w:pPr>
        <w:pStyle w:val="Heading3"/>
      </w:pPr>
      <w:bookmarkStart w:id="15" w:name="_Gross_Lifecycle_Natural"/>
      <w:bookmarkEnd w:id="15"/>
      <w:r>
        <w:lastRenderedPageBreak/>
        <w:t xml:space="preserve">Gross </w:t>
      </w:r>
      <w:r w:rsidR="006464B9">
        <w:t xml:space="preserve">Lifecycle </w:t>
      </w:r>
      <w:r>
        <w:t>Natural Gas CO</w:t>
      </w:r>
      <w:r w:rsidRPr="004B7E0D">
        <w:rPr>
          <w:vertAlign w:val="subscript"/>
        </w:rPr>
        <w:t>2</w:t>
      </w:r>
      <w:r>
        <w:t xml:space="preserve"> Emissions Reductions (</w:t>
      </w:r>
      <w:r w:rsidRPr="004B7E0D">
        <w:rPr>
          <w:rStyle w:val="CodeObjectChar"/>
        </w:rPr>
        <w:t>GrossGasCO2Lifecycle</w:t>
      </w:r>
      <w:r>
        <w:t>):</w:t>
      </w:r>
    </w:p>
    <w:p w14:paraId="57000750" w14:textId="7719B02B" w:rsidR="006464B9" w:rsidRPr="00EF60B0" w:rsidRDefault="009A4DF2" w:rsidP="006464B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,LC</m:t>
              </m:r>
            </m:sub>
          </m:sSub>
          <m:r>
            <w:rPr>
              <w:rFonts w:ascii="Cambria Math" w:hAnsi="Cambria Math"/>
            </w:rPr>
            <m:t>=IN×</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m:oMathPara>
    </w:p>
    <w:p w14:paraId="37257A2E" w14:textId="09731968" w:rsidR="006464B9" w:rsidRDefault="006464B9" w:rsidP="006464B9">
      <w:pPr>
        <w:pStyle w:val="Caption"/>
      </w:pPr>
      <w:r>
        <w:t xml:space="preserve">Equation </w:t>
      </w:r>
      <w:fldSimple w:instr=" SEQ Equation \* ARABIC ">
        <w:r w:rsidR="00552F8C">
          <w:rPr>
            <w:noProof/>
          </w:rPr>
          <w:t>8</w:t>
        </w:r>
      </w:fldSimple>
    </w:p>
    <w:p w14:paraId="33CD02B0" w14:textId="77777777" w:rsidR="006464B9" w:rsidRDefault="006464B9" w:rsidP="006464B9">
      <w:r>
        <w:t>Where</w:t>
      </w:r>
    </w:p>
    <w:p w14:paraId="0BCAAA65" w14:textId="587901A4" w:rsidR="006464B9" w:rsidRDefault="009A4DF2" w:rsidP="006464B9">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oMath>
      <w:r w:rsidR="006464B9">
        <w:rPr>
          <w:rFonts w:eastAsiaTheme="minorEastAsia"/>
        </w:rPr>
        <w:t xml:space="preserve"> is the gross CO</w:t>
      </w:r>
      <w:r w:rsidR="006464B9" w:rsidRPr="00AB1EC7">
        <w:rPr>
          <w:rFonts w:eastAsiaTheme="minorEastAsia"/>
          <w:vertAlign w:val="subscript"/>
        </w:rPr>
        <w:t>2</w:t>
      </w:r>
      <w:r w:rsidR="006464B9">
        <w:rPr>
          <w:rFonts w:eastAsiaTheme="minorEastAsia"/>
        </w:rPr>
        <w:t xml:space="preserve"> emissions reductions in tons of CO</w:t>
      </w:r>
      <w:r w:rsidR="006464B9" w:rsidRPr="008D7614">
        <w:rPr>
          <w:rFonts w:eastAsiaTheme="minorEastAsia"/>
          <w:vertAlign w:val="subscript"/>
        </w:rPr>
        <w:t>2</w:t>
      </w:r>
      <w:r w:rsidR="006464B9">
        <w:rPr>
          <w:rFonts w:eastAsiaTheme="minorEastAsia"/>
        </w:rPr>
        <w:t xml:space="preserve"> due to natural gas </w:t>
      </w:r>
      <w:r w:rsidR="006E1519">
        <w:rPr>
          <w:rFonts w:eastAsiaTheme="minorEastAsia"/>
        </w:rPr>
        <w:t xml:space="preserve">consumption </w:t>
      </w:r>
      <w:r w:rsidR="006464B9">
        <w:rPr>
          <w:rFonts w:eastAsiaTheme="minorEastAsia"/>
        </w:rPr>
        <w:t>savings</w:t>
      </w:r>
      <w:r w:rsidR="00005937">
        <w:rPr>
          <w:rFonts w:eastAsiaTheme="minorEastAsia"/>
        </w:rPr>
        <w:t xml:space="preserve"> throughout the measure’s </w:t>
      </w:r>
      <w:proofErr w:type="gramStart"/>
      <w:r w:rsidR="00005937">
        <w:rPr>
          <w:rFonts w:eastAsiaTheme="minorEastAsia"/>
        </w:rPr>
        <w:t>lifecycle</w:t>
      </w:r>
      <w:r w:rsidR="006464B9">
        <w:rPr>
          <w:rFonts w:eastAsiaTheme="minorEastAsia"/>
        </w:rPr>
        <w:t>.</w:t>
      </w:r>
      <w:proofErr w:type="gramEnd"/>
      <w:r w:rsidR="006464B9" w:rsidRPr="00710554">
        <w:rPr>
          <w:rFonts w:eastAsiaTheme="minorEastAsia"/>
        </w:rPr>
        <w:t xml:space="preserve"> </w:t>
      </w:r>
      <w:r w:rsidR="006464B9">
        <w:rPr>
          <w:rFonts w:eastAsiaTheme="minorEastAsia"/>
        </w:rPr>
        <w:t xml:space="preserve">The </w:t>
      </w:r>
      <w:proofErr w:type="spellStart"/>
      <w:r w:rsidR="006464B9" w:rsidRPr="00BD3B41">
        <w:rPr>
          <w:rStyle w:val="CodeObjectChar"/>
        </w:rPr>
        <w:t>CalcEmissions</w:t>
      </w:r>
      <w:proofErr w:type="spellEnd"/>
      <w:r w:rsidR="006464B9">
        <w:rPr>
          <w:rFonts w:eastAsiaTheme="minorEastAsia"/>
        </w:rPr>
        <w:t xml:space="preserve"> procedure stores the calculated value to the </w:t>
      </w:r>
      <w:r w:rsidR="006464B9">
        <w:rPr>
          <w:rStyle w:val="CodeObjectChar"/>
        </w:rPr>
        <w:t>NetGas</w:t>
      </w:r>
      <w:r w:rsidR="006464B9" w:rsidRPr="00BD3B41">
        <w:rPr>
          <w:rStyle w:val="CodeObjectChar"/>
        </w:rPr>
        <w:t>CO</w:t>
      </w:r>
      <w:r w:rsidR="006464B9">
        <w:rPr>
          <w:rStyle w:val="CodeObjectChar"/>
        </w:rPr>
        <w:t>2Lifecycle</w:t>
      </w:r>
      <w:r w:rsidR="006464B9">
        <w:rPr>
          <w:rFonts w:eastAsiaTheme="minorEastAsia"/>
        </w:rPr>
        <w:t xml:space="preserve"> field in the table </w:t>
      </w:r>
      <w:proofErr w:type="spellStart"/>
      <w:r w:rsidR="006464B9" w:rsidRPr="00BD3B41">
        <w:rPr>
          <w:rStyle w:val="CodeObjectChar"/>
        </w:rPr>
        <w:t>OutputEmissions</w:t>
      </w:r>
      <w:proofErr w:type="spellEnd"/>
      <w:r w:rsidR="006464B9">
        <w:rPr>
          <w:rFonts w:eastAsiaTheme="minorEastAsia"/>
        </w:rPr>
        <w:t>.</w:t>
      </w:r>
    </w:p>
    <w:p w14:paraId="15F87127" w14:textId="2451072F" w:rsidR="006464B9" w:rsidRDefault="006464B9" w:rsidP="006464B9">
      <w:pPr>
        <w:ind w:left="720"/>
        <w:rPr>
          <w:rFonts w:eastAsiaTheme="minorEastAsia"/>
        </w:rPr>
      </w:pPr>
      <m:oMath>
        <m:r>
          <w:rPr>
            <w:rFonts w:ascii="Cambria Math" w:hAnsi="Cambria Math"/>
          </w:rPr>
          <m:t>IN</m:t>
        </m:r>
      </m:oMath>
      <w:r>
        <w:rPr>
          <w:rFonts w:eastAsiaTheme="minorEastAsia"/>
        </w:rPr>
        <w:t xml:space="preserve"> is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535C3128" w14:textId="1543A443" w:rsidR="006464B9" w:rsidRDefault="009A4DF2" w:rsidP="006464B9">
      <w:pPr>
        <w:ind w:left="720"/>
        <w:rPr>
          <w:rFonts w:eastAsiaTheme="minorEastAsia"/>
        </w:rPr>
      </w:pP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6464B9">
        <w:rPr>
          <w:rFonts w:eastAsiaTheme="minorEastAsia"/>
        </w:rPr>
        <w:t xml:space="preserve">,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6464B9">
        <w:rPr>
          <w:rFonts w:eastAsiaTheme="minorEastAsia"/>
        </w:rPr>
        <w:t xml:space="preserve">, and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CO</m:t>
                </m:r>
              </m:e>
              <m:sub>
                <m:r>
                  <m:rPr>
                    <m:nor/>
                  </m:rPr>
                  <w:rPr>
                    <w:rFonts w:ascii="Cambria Math" w:hAnsi="Cambria Math"/>
                  </w:rPr>
                  <m:t>2</m:t>
                </m:r>
              </m:sub>
            </m:sSub>
            <m:r>
              <w:rPr>
                <w:rFonts w:ascii="Cambria Math" w:hAnsi="Cambria Math"/>
              </w:rPr>
              <m:t>,</m:t>
            </m:r>
            <m:r>
              <m:rPr>
                <m:nor/>
              </m:rPr>
              <w:rPr>
                <w:rFonts w:ascii="Cambria Math" w:hAnsi="Cambria Math"/>
              </w:rPr>
              <m:t>Therm</m:t>
            </m:r>
          </m:sub>
        </m:sSub>
      </m:oMath>
      <w:r w:rsidR="006464B9">
        <w:rPr>
          <w:rFonts w:eastAsiaTheme="minorEastAsia"/>
        </w:rPr>
        <w:t xml:space="preserve"> are as defined for </w:t>
      </w:r>
      <w:r w:rsidR="006464B9">
        <w:rPr>
          <w:rFonts w:eastAsiaTheme="minorEastAsia"/>
        </w:rPr>
        <w:fldChar w:fldCharType="begin"/>
      </w:r>
      <w:r w:rsidR="006464B9">
        <w:rPr>
          <w:rFonts w:eastAsiaTheme="minorEastAsia"/>
        </w:rPr>
        <w:instrText xml:space="preserve"> REF _Ref37779223 \h </w:instrText>
      </w:r>
      <w:r w:rsidR="006464B9">
        <w:rPr>
          <w:rFonts w:eastAsiaTheme="minorEastAsia"/>
        </w:rPr>
      </w:r>
      <w:r w:rsidR="006464B9">
        <w:rPr>
          <w:rFonts w:eastAsiaTheme="minorEastAsia"/>
        </w:rPr>
        <w:fldChar w:fldCharType="separate"/>
      </w:r>
      <w:r w:rsidR="00552F8C">
        <w:t xml:space="preserve">Equation </w:t>
      </w:r>
      <w:r w:rsidR="00552F8C">
        <w:rPr>
          <w:noProof/>
        </w:rPr>
        <w:t>2</w:t>
      </w:r>
      <w:r w:rsidR="006464B9">
        <w:rPr>
          <w:rFonts w:eastAsiaTheme="minorEastAsia"/>
        </w:rPr>
        <w:fldChar w:fldCharType="end"/>
      </w:r>
      <w:r w:rsidR="006464B9">
        <w:rPr>
          <w:rFonts w:eastAsiaTheme="minorEastAsia"/>
        </w:rPr>
        <w:t>.</w:t>
      </w:r>
    </w:p>
    <w:p w14:paraId="0CDBB434" w14:textId="6EAFDDE0" w:rsidR="006464B9" w:rsidRDefault="009A4DF2" w:rsidP="006464B9">
      <w:pPr>
        <w:ind w:left="720"/>
        <w:rPr>
          <w:rFonts w:eastAsiaTheme="minorEastAsia"/>
        </w:rPr>
      </w:p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w:r w:rsidR="006464B9">
        <w:rPr>
          <w:rFonts w:eastAsiaTheme="minorEastAsia"/>
        </w:rPr>
        <w:t xml:space="preserve"> is as defined for </w:t>
      </w:r>
      <w:r w:rsidR="006464B9">
        <w:rPr>
          <w:rFonts w:eastAsiaTheme="minorEastAsia"/>
        </w:rPr>
        <w:fldChar w:fldCharType="begin"/>
      </w:r>
      <w:r w:rsidR="006464B9">
        <w:rPr>
          <w:rFonts w:eastAsiaTheme="minorEastAsia"/>
        </w:rPr>
        <w:instrText xml:space="preserve"> REF _Ref38576748 \h </w:instrText>
      </w:r>
      <w:r w:rsidR="006464B9">
        <w:rPr>
          <w:rFonts w:eastAsiaTheme="minorEastAsia"/>
        </w:rPr>
      </w:r>
      <w:r w:rsidR="006464B9">
        <w:rPr>
          <w:rFonts w:eastAsiaTheme="minorEastAsia"/>
        </w:rPr>
        <w:fldChar w:fldCharType="separate"/>
      </w:r>
      <w:r w:rsidR="00552F8C">
        <w:t xml:space="preserve">Equation </w:t>
      </w:r>
      <w:r w:rsidR="00552F8C">
        <w:rPr>
          <w:noProof/>
        </w:rPr>
        <w:t>6</w:t>
      </w:r>
      <w:r w:rsidR="006464B9">
        <w:rPr>
          <w:rFonts w:eastAsiaTheme="minorEastAsia"/>
        </w:rPr>
        <w:fldChar w:fldCharType="end"/>
      </w:r>
      <w:r w:rsidR="006464B9">
        <w:rPr>
          <w:rFonts w:eastAsiaTheme="minorEastAsia"/>
        </w:rPr>
        <w:t>.</w:t>
      </w:r>
    </w:p>
    <w:p w14:paraId="4CC10228" w14:textId="77777777" w:rsidR="009A35C6" w:rsidRDefault="009A35C6" w:rsidP="009A35C6"/>
    <w:p w14:paraId="160413BC" w14:textId="7727CBC3" w:rsidR="009A35C6" w:rsidRDefault="009A35C6" w:rsidP="009A35C6">
      <w:pPr>
        <w:sectPr w:rsidR="009A35C6">
          <w:pgSz w:w="12240" w:h="15840"/>
          <w:pgMar w:top="1440" w:right="1440" w:bottom="1440" w:left="1440" w:header="720" w:footer="720" w:gutter="0"/>
          <w:cols w:space="720"/>
          <w:docGrid w:linePitch="360"/>
        </w:sectPr>
      </w:pPr>
    </w:p>
    <w:p w14:paraId="3D54587E" w14:textId="42410092" w:rsidR="004B7E0D" w:rsidRDefault="00BA3D10" w:rsidP="00BA3D10">
      <w:pPr>
        <w:pStyle w:val="Heading2"/>
      </w:pPr>
      <w:r>
        <w:lastRenderedPageBreak/>
        <w:t>NOx</w:t>
      </w:r>
    </w:p>
    <w:p w14:paraId="52BFCAB0" w14:textId="03C7108B" w:rsidR="00BA3D10" w:rsidRDefault="00BA3D10" w:rsidP="00BA3D10">
      <w:r>
        <w:t xml:space="preserve">The </w:t>
      </w:r>
      <w:proofErr w:type="spellStart"/>
      <w:r>
        <w:t>CalcEmissions</w:t>
      </w:r>
      <w:proofErr w:type="spellEnd"/>
      <w:r>
        <w:t xml:space="preserve"> procedure calculates NOx (i.e., NO</w:t>
      </w:r>
      <w:r w:rsidRPr="00BA3D10">
        <w:rPr>
          <w:vertAlign w:val="subscript"/>
        </w:rPr>
        <w:t>2</w:t>
      </w:r>
      <w:r>
        <w:t xml:space="preserve"> and NO</w:t>
      </w:r>
      <w:r w:rsidRPr="00BA3D10">
        <w:rPr>
          <w:vertAlign w:val="subscript"/>
        </w:rPr>
        <w:t>3</w:t>
      </w:r>
      <w:r>
        <w:t xml:space="preserve">) emissions reductions in units of </w:t>
      </w:r>
      <w:proofErr w:type="spellStart"/>
      <w:r>
        <w:t>lbs</w:t>
      </w:r>
      <w:proofErr w:type="spellEnd"/>
      <w:r>
        <w:t xml:space="preserve"> of NO</w:t>
      </w:r>
      <w:r w:rsidRPr="00BA3D10">
        <w:rPr>
          <w:vertAlign w:val="subscript"/>
        </w:rPr>
        <w:t>x</w:t>
      </w:r>
      <w:r>
        <w:t xml:space="preserve">. Emissions reductions are </w:t>
      </w:r>
      <w:proofErr w:type="spellStart"/>
      <w:r>
        <w:t>calcuted</w:t>
      </w:r>
      <w:proofErr w:type="spellEnd"/>
      <w:r>
        <w:t xml:space="preserve"> based on user input electric and natural gas energy savings, stored NOx emissions rates for electric and natural gas energy usage, and several energy efficiency measure parameters: Realization Rate, Installation Rate, Net-to-Gross Ratio and Market Effects Benefits, and Remaining and Expected Useful Life. Net and gross </w:t>
      </w:r>
      <w:r w:rsidR="00136349">
        <w:t>quarterly electric energy</w:t>
      </w:r>
      <w:r>
        <w:t xml:space="preserve"> savings rate values are evaluated for each quarter</w:t>
      </w:r>
      <w:r w:rsidR="00136349">
        <w:t xml:space="preserve"> throughout the measure’s lifecycle—for single baseline measures, the savings rate is constant throughout; for dual baseline measures (i.e., Accelerated Replacement), the calculations apply the appropriate annual savings rate based on the measure’s Remaining Useful Life. In cases where the Remaining or Expected Useful Life is not divisible evenly into quarters, the applicable quarter’s quarterly electric energy savings rate is interpolated based on the fraction of the quarter within the first or second baseline, or after. </w:t>
      </w:r>
      <w:r w:rsidR="00532D11">
        <w:t>In contrast to the electric calculations, NO</w:t>
      </w:r>
      <w:r w:rsidR="00532D11">
        <w:rPr>
          <w:vertAlign w:val="subscript"/>
        </w:rPr>
        <w:t>x</w:t>
      </w:r>
      <w:r w:rsidR="00532D11">
        <w:t xml:space="preserve"> emissions reductions due to natural gas energy savings are calculated based on a single emission rate for a given input measure, applicable for the measure’s lifecycle. The NO</w:t>
      </w:r>
      <w:r w:rsidR="00532D11">
        <w:rPr>
          <w:vertAlign w:val="subscript"/>
        </w:rPr>
        <w:t>x</w:t>
      </w:r>
      <w:r w:rsidR="00532D11">
        <w:t xml:space="preserve"> emissions rate for a measure is simply multiplied by the total net or gross natural gas energy savings in </w:t>
      </w:r>
      <w:proofErr w:type="spellStart"/>
      <w:r w:rsidR="00532D11">
        <w:t>Therms</w:t>
      </w:r>
      <w:proofErr w:type="spellEnd"/>
      <w:r w:rsidR="00532D11">
        <w:t xml:space="preserve"> for the first year or the measure’s lifecycle.</w:t>
      </w:r>
    </w:p>
    <w:p w14:paraId="4BD6BC0A" w14:textId="3575BF95" w:rsidR="00532D11" w:rsidRDefault="00532D11" w:rsidP="00532D11">
      <w:r>
        <w:t xml:space="preserve">The equations for each emissions reduction calculation are presented below. Each equation is applied to a single row in the </w:t>
      </w:r>
      <w:proofErr w:type="spellStart"/>
      <w:r w:rsidRPr="000B5693">
        <w:rPr>
          <w:rStyle w:val="CodeObjectChar"/>
        </w:rPr>
        <w:t>InputMeasure</w:t>
      </w:r>
      <w:proofErr w:type="spellEnd"/>
      <w:r>
        <w:t xml:space="preserve"> table. This table contains a unique identifier in the field </w:t>
      </w:r>
      <w:r w:rsidRPr="00C032A8">
        <w:rPr>
          <w:rStyle w:val="CodeObjectChar"/>
        </w:rPr>
        <w:t>CET_ID</w:t>
      </w:r>
      <w:r>
        <w:t xml:space="preserve">, copied to the </w:t>
      </w:r>
      <w:proofErr w:type="spellStart"/>
      <w:r w:rsidRPr="00C032A8">
        <w:rPr>
          <w:rStyle w:val="CodeObjectChar"/>
        </w:rPr>
        <w:t>OutputTable</w:t>
      </w:r>
      <w:proofErr w:type="spellEnd"/>
      <w:r>
        <w:t>. The CET uses the unique identifier to match various procedure results in the final CET outputs.</w:t>
      </w:r>
    </w:p>
    <w:p w14:paraId="4558BA01" w14:textId="77777777" w:rsidR="009A35C6" w:rsidRDefault="009A35C6" w:rsidP="00532D11">
      <w:pPr>
        <w:sectPr w:rsidR="009A35C6">
          <w:pgSz w:w="12240" w:h="15840"/>
          <w:pgMar w:top="1440" w:right="1440" w:bottom="1440" w:left="1440" w:header="720" w:footer="720" w:gutter="0"/>
          <w:cols w:space="720"/>
          <w:docGrid w:linePitch="360"/>
        </w:sectPr>
      </w:pPr>
    </w:p>
    <w:p w14:paraId="3DAD1615" w14:textId="58AA8638" w:rsidR="004B7E0D" w:rsidRDefault="006E1519" w:rsidP="004B7E0D">
      <w:pPr>
        <w:pStyle w:val="Heading3"/>
      </w:pPr>
      <w:bookmarkStart w:id="16" w:name="_Net_First_Year_3"/>
      <w:bookmarkEnd w:id="16"/>
      <w:r>
        <w:lastRenderedPageBreak/>
        <w:t xml:space="preserve">Net </w:t>
      </w:r>
      <w:r w:rsidR="004B7E0D">
        <w:t>First Year Electric NO</w:t>
      </w:r>
      <w:r w:rsidR="004B7E0D" w:rsidRPr="004B7E0D">
        <w:rPr>
          <w:vertAlign w:val="subscript"/>
        </w:rPr>
        <w:t>x</w:t>
      </w:r>
      <w:r w:rsidR="004B7E0D">
        <w:t xml:space="preserve"> Emissions Reductions (</w:t>
      </w:r>
      <w:proofErr w:type="spellStart"/>
      <w:r w:rsidR="004B7E0D" w:rsidRPr="004B7E0D">
        <w:rPr>
          <w:rStyle w:val="CodeObjectChar"/>
        </w:rPr>
        <w:t>NetElecNOx</w:t>
      </w:r>
      <w:proofErr w:type="spellEnd"/>
      <w:r w:rsidR="004B7E0D">
        <w:t>):</w:t>
      </w:r>
    </w:p>
    <w:p w14:paraId="4E68F083" w14:textId="431915E9" w:rsidR="005B6904" w:rsidRPr="00EF60B0" w:rsidRDefault="009A4DF2" w:rsidP="005B6904">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2ADFB0D3" w14:textId="703B492C" w:rsidR="005B6904" w:rsidRDefault="005B6904" w:rsidP="005B6904">
      <w:pPr>
        <w:pStyle w:val="Caption"/>
      </w:pPr>
      <w:bookmarkStart w:id="17" w:name="_Ref38576746"/>
      <w:r>
        <w:t xml:space="preserve">Equation </w:t>
      </w:r>
      <w:fldSimple w:instr=" SEQ Equation \* ARABIC ">
        <w:r w:rsidR="00552F8C">
          <w:rPr>
            <w:noProof/>
          </w:rPr>
          <w:t>9</w:t>
        </w:r>
      </w:fldSimple>
      <w:bookmarkEnd w:id="17"/>
    </w:p>
    <w:p w14:paraId="55EE7180" w14:textId="711C07E5" w:rsidR="004B7E0D" w:rsidRDefault="00F43453" w:rsidP="00B45E9B">
      <w:r>
        <w:t>Where</w:t>
      </w:r>
    </w:p>
    <w:p w14:paraId="1C70712E" w14:textId="6CD1796E" w:rsidR="00F43453" w:rsidRDefault="009A4DF2" w:rsidP="00F43453">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F43453">
        <w:rPr>
          <w:rFonts w:eastAsiaTheme="minorEastAsia"/>
        </w:rPr>
        <w:t xml:space="preserve"> is the net NO</w:t>
      </w:r>
      <w:r w:rsidR="00F43453" w:rsidRPr="00F43453">
        <w:rPr>
          <w:rFonts w:eastAsiaTheme="minorEastAsia"/>
          <w:vertAlign w:val="subscript"/>
        </w:rPr>
        <w:t>x</w:t>
      </w:r>
      <w:r w:rsidR="00F43453">
        <w:rPr>
          <w:rFonts w:eastAsiaTheme="minorEastAsia"/>
        </w:rPr>
        <w:t xml:space="preserve"> emissions reductions in </w:t>
      </w:r>
      <w:proofErr w:type="spellStart"/>
      <w:r w:rsidR="00450087">
        <w:rPr>
          <w:rFonts w:eastAsiaTheme="minorEastAsia"/>
        </w:rPr>
        <w:t>lbs</w:t>
      </w:r>
      <w:proofErr w:type="spellEnd"/>
      <w:r w:rsidR="00F43453">
        <w:rPr>
          <w:rFonts w:eastAsiaTheme="minorEastAsia"/>
        </w:rPr>
        <w:t xml:space="preserve"> of NO</w:t>
      </w:r>
      <w:r w:rsidR="00F43453" w:rsidRPr="00F43453">
        <w:rPr>
          <w:rFonts w:eastAsiaTheme="minorEastAsia"/>
          <w:vertAlign w:val="subscript"/>
        </w:rPr>
        <w:t>x</w:t>
      </w:r>
      <w:r w:rsidR="00F43453">
        <w:rPr>
          <w:rFonts w:eastAsiaTheme="minorEastAsia"/>
        </w:rPr>
        <w:t xml:space="preserve"> due to </w:t>
      </w:r>
      <w:r w:rsidR="00450087">
        <w:rPr>
          <w:rFonts w:eastAsiaTheme="minorEastAsia"/>
        </w:rPr>
        <w:t>electric</w:t>
      </w:r>
      <w:r w:rsidR="006E1519">
        <w:rPr>
          <w:rFonts w:eastAsiaTheme="minorEastAsia"/>
        </w:rPr>
        <w:t xml:space="preserve"> energy</w:t>
      </w:r>
      <w:r w:rsidR="00F43453">
        <w:rPr>
          <w:rFonts w:eastAsiaTheme="minorEastAsia"/>
        </w:rPr>
        <w:t xml:space="preserve"> savings</w:t>
      </w:r>
      <w:r w:rsidR="00005937">
        <w:rPr>
          <w:rFonts w:eastAsiaTheme="minorEastAsia"/>
        </w:rPr>
        <w:t xml:space="preserve"> in the first year after </w:t>
      </w:r>
      <w:proofErr w:type="gramStart"/>
      <w:r w:rsidR="00005937">
        <w:rPr>
          <w:rFonts w:eastAsiaTheme="minorEastAsia"/>
        </w:rPr>
        <w:t>installation</w:t>
      </w:r>
      <w:r w:rsidR="00F43453">
        <w:rPr>
          <w:rFonts w:eastAsiaTheme="minorEastAsia"/>
        </w:rPr>
        <w:t>.</w:t>
      </w:r>
      <w:proofErr w:type="gramEnd"/>
      <w:r w:rsidR="00F43453">
        <w:rPr>
          <w:rFonts w:eastAsiaTheme="minorEastAsia"/>
        </w:rPr>
        <w:t xml:space="preserve"> The </w:t>
      </w:r>
      <w:proofErr w:type="spellStart"/>
      <w:r w:rsidR="00F43453" w:rsidRPr="00BD3B41">
        <w:rPr>
          <w:rStyle w:val="CodeObjectChar"/>
        </w:rPr>
        <w:t>CalcEmissions</w:t>
      </w:r>
      <w:proofErr w:type="spellEnd"/>
      <w:r w:rsidR="00F43453">
        <w:rPr>
          <w:rFonts w:eastAsiaTheme="minorEastAsia"/>
        </w:rPr>
        <w:t xml:space="preserve"> procedure stores the calculated value to the </w:t>
      </w:r>
      <w:proofErr w:type="spellStart"/>
      <w:r w:rsidR="00F43453">
        <w:rPr>
          <w:rStyle w:val="CodeObjectChar"/>
        </w:rPr>
        <w:t>NetElecNOx</w:t>
      </w:r>
      <w:proofErr w:type="spellEnd"/>
      <w:r w:rsidR="00F43453">
        <w:rPr>
          <w:rFonts w:eastAsiaTheme="minorEastAsia"/>
        </w:rPr>
        <w:t xml:space="preserve"> field in the table </w:t>
      </w:r>
      <w:proofErr w:type="spellStart"/>
      <w:r w:rsidR="00F43453" w:rsidRPr="00BD3B41">
        <w:rPr>
          <w:rStyle w:val="CodeObjectChar"/>
        </w:rPr>
        <w:t>OutputEmissions</w:t>
      </w:r>
      <w:proofErr w:type="spellEnd"/>
      <w:r w:rsidR="00F43453">
        <w:rPr>
          <w:rFonts w:eastAsiaTheme="minorEastAsia"/>
        </w:rPr>
        <w:t>.</w:t>
      </w:r>
    </w:p>
    <w:p w14:paraId="5B8E3ACB" w14:textId="32BA5D81" w:rsidR="00033B8C" w:rsidRDefault="00033B8C" w:rsidP="00033B8C">
      <w:pPr>
        <w:ind w:left="720"/>
        <w:rPr>
          <w:rFonts w:eastAsiaTheme="minorEastAsia"/>
        </w:rPr>
      </w:pP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ME</m:t>
            </m:r>
          </m:sub>
        </m:sSub>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5B67D559" w14:textId="23EBEDA8" w:rsidR="00F43453" w:rsidRDefault="009A4DF2" w:rsidP="00F43453">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oMath>
      <w:r w:rsidR="00F43453">
        <w:rPr>
          <w:rFonts w:eastAsiaTheme="minorEastAsia"/>
        </w:rPr>
        <w:t xml:space="preserve"> is the NO</w:t>
      </w:r>
      <w:r w:rsidR="00F43453">
        <w:rPr>
          <w:rFonts w:eastAsiaTheme="minorEastAsia"/>
          <w:vertAlign w:val="subscript"/>
        </w:rPr>
        <w:t>x</w:t>
      </w:r>
      <w:r w:rsidR="00F43453">
        <w:rPr>
          <w:rFonts w:eastAsiaTheme="minorEastAsia"/>
        </w:rPr>
        <w:t xml:space="preserve"> Emissions Rate for quarter </w:t>
      </w:r>
      <m:oMath>
        <m:r>
          <w:rPr>
            <w:rFonts w:ascii="Cambria Math" w:hAnsi="Cambria Math"/>
          </w:rPr>
          <m:t>q</m:t>
        </m:r>
      </m:oMath>
      <w:r w:rsidR="00F43453">
        <w:rPr>
          <w:rFonts w:eastAsiaTheme="minorEastAsia"/>
        </w:rPr>
        <w:t xml:space="preserve">, normalized for quarterly electric </w:t>
      </w:r>
      <w:proofErr w:type="gramStart"/>
      <w:r w:rsidR="00F43453">
        <w:rPr>
          <w:rFonts w:eastAsiaTheme="minorEastAsia"/>
        </w:rPr>
        <w:t>savings.</w:t>
      </w:r>
      <w:proofErr w:type="gramEnd"/>
      <w:r w:rsidR="00F43453">
        <w:rPr>
          <w:rFonts w:eastAsiaTheme="minorEastAsia"/>
        </w:rPr>
        <w:t xml:space="preserve"> The NO</w:t>
      </w:r>
      <w:r w:rsidR="00F43453" w:rsidRPr="00F43453">
        <w:rPr>
          <w:rFonts w:eastAsiaTheme="minorEastAsia"/>
          <w:vertAlign w:val="subscript"/>
        </w:rPr>
        <w:t>x</w:t>
      </w:r>
      <w:r w:rsidR="00F43453">
        <w:rPr>
          <w:rFonts w:eastAsiaTheme="minorEastAsia"/>
        </w:rPr>
        <w:t xml:space="preserve"> Emissions Rate is provided in units of </w:t>
      </w:r>
      <w:proofErr w:type="spellStart"/>
      <w:r w:rsidR="00F43453">
        <w:rPr>
          <w:rFonts w:eastAsiaTheme="minorEastAsia"/>
        </w:rPr>
        <w:t>lbs</w:t>
      </w:r>
      <w:proofErr w:type="spellEnd"/>
      <w:r w:rsidR="00F43453">
        <w:rPr>
          <w:rFonts w:eastAsiaTheme="minorEastAsia"/>
        </w:rPr>
        <w:t xml:space="preserve"> of NO</w:t>
      </w:r>
      <w:r w:rsidR="00F43453">
        <w:rPr>
          <w:rFonts w:eastAsiaTheme="minorEastAsia"/>
          <w:vertAlign w:val="subscript"/>
        </w:rPr>
        <w:t>x</w:t>
      </w:r>
      <w:r w:rsidR="00F43453">
        <w:rPr>
          <w:rFonts w:eastAsiaTheme="minorEastAsia"/>
        </w:rPr>
        <w:t xml:space="preserve"> per kWh saved during the applicable quarter. Values for </w:t>
      </w: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oMath>
      <w:r w:rsidR="00F43453">
        <w:rPr>
          <w:rFonts w:eastAsiaTheme="minorEastAsia"/>
        </w:rPr>
        <w:t xml:space="preserve"> are provided for each valid combination of Program Administrator, Target Sector, End Use, and Climate Zone for each quarter from 2017 through 2049 in the </w:t>
      </w:r>
      <w:r w:rsidR="00F43453">
        <w:rPr>
          <w:rStyle w:val="CodeObjectChar"/>
        </w:rPr>
        <w:t>NOx</w:t>
      </w:r>
      <w:r w:rsidR="00F43453">
        <w:rPr>
          <w:rFonts w:eastAsiaTheme="minorEastAsia"/>
        </w:rPr>
        <w:t xml:space="preserve"> column returned through the </w:t>
      </w:r>
      <w:r w:rsidR="00F43453" w:rsidRPr="000055C2">
        <w:rPr>
          <w:rStyle w:val="CodeObjectChar"/>
        </w:rPr>
        <w:t>E3EmissionsSourcevw</w:t>
      </w:r>
      <w:r w:rsidR="00F43453">
        <w:rPr>
          <w:rFonts w:eastAsiaTheme="minorEastAsia"/>
        </w:rPr>
        <w:t xml:space="preserve"> stored query.</w:t>
      </w:r>
    </w:p>
    <w:p w14:paraId="36811EC8" w14:textId="34387290" w:rsidR="00033B8C" w:rsidRDefault="009A4DF2" w:rsidP="00F43453">
      <w:pPr>
        <w:ind w:left="720"/>
        <w:rPr>
          <w:rFonts w:eastAsiaTheme="minorEastAsia"/>
        </w:rPr>
      </w:pPr>
      <m:oMath>
        <m:sSub>
          <m:sSubPr>
            <m:ctrlPr>
              <w:rPr>
                <w:rFonts w:ascii="Cambria Math" w:hAnsi="Cambria Math"/>
                <w:i/>
              </w:rPr>
            </m:ctrlPr>
          </m:sSubPr>
          <m:e>
            <m:r>
              <w:rPr>
                <w:rFonts w:ascii="Cambria Math" w:hAnsi="Cambria Math"/>
              </w:rPr>
              <m:t>QS</m:t>
            </m:r>
          </m:e>
          <m:sub>
            <m:r>
              <w:rPr>
                <w:rFonts w:ascii="Cambria Math" w:hAnsi="Cambria Math"/>
              </w:rPr>
              <m:t>q</m:t>
            </m:r>
          </m:sub>
        </m:sSub>
      </m:oMath>
      <w:r w:rsidR="00033B8C">
        <w:rPr>
          <w:rFonts w:eastAsiaTheme="minorEastAsia"/>
        </w:rPr>
        <w:t xml:space="preserve"> is the applicable quarterly electric energy savings rate for the quarter </w:t>
      </w:r>
      <m:oMath>
        <m:r>
          <w:rPr>
            <w:rFonts w:ascii="Cambria Math" w:hAnsi="Cambria Math"/>
          </w:rPr>
          <m:t>q</m:t>
        </m:r>
      </m:oMath>
      <w:r w:rsidR="00033B8C">
        <w:rPr>
          <w:rFonts w:eastAsiaTheme="minorEastAsia"/>
        </w:rPr>
        <w:t xml:space="preserve">, in kWh per quarter of a year. </w:t>
      </w:r>
      <m:oMath>
        <m:sSub>
          <m:sSubPr>
            <m:ctrlPr>
              <w:rPr>
                <w:rFonts w:ascii="Cambria Math" w:hAnsi="Cambria Math"/>
                <w:i/>
              </w:rPr>
            </m:ctrlPr>
          </m:sSubPr>
          <m:e>
            <m:r>
              <w:rPr>
                <w:rFonts w:ascii="Cambria Math" w:hAnsi="Cambria Math"/>
              </w:rPr>
              <m:t>QS</m:t>
            </m:r>
          </m:e>
          <m:sub>
            <m:r>
              <w:rPr>
                <w:rFonts w:ascii="Cambria Math" w:hAnsi="Cambria Math"/>
              </w:rPr>
              <m:t>q</m:t>
            </m:r>
          </m:sub>
        </m:sSub>
      </m:oMath>
      <w:r w:rsidR="00033B8C">
        <w:rPr>
          <w:rFonts w:eastAsiaTheme="minorEastAsia"/>
        </w:rPr>
        <w:t xml:space="preserve"> is one quarter of the applicable annual electric energy savings rate:</w:t>
      </w:r>
    </w:p>
    <w:p w14:paraId="23FE07D6" w14:textId="2B7E36C0" w:rsidR="00033B8C" w:rsidRPr="00033B8C" w:rsidRDefault="009A4DF2" w:rsidP="00F43453">
      <w:pPr>
        <w:ind w:left="720"/>
        <w:rPr>
          <w:rFonts w:eastAsiaTheme="minorEastAsia"/>
        </w:rPr>
      </w:pPr>
      <m:oMathPara>
        <m:oMath>
          <m:sSub>
            <m:sSubPr>
              <m:ctrlPr>
                <w:rPr>
                  <w:rFonts w:ascii="Cambria Math" w:hAnsi="Cambria Math"/>
                  <w:i/>
                </w:rPr>
              </m:ctrlPr>
            </m:sSubPr>
            <m:e>
              <m:r>
                <w:rPr>
                  <w:rFonts w:ascii="Cambria Math" w:hAnsi="Cambria Math"/>
                </w:rPr>
                <m:t>QS</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AS</m:t>
                  </m:r>
                </m:e>
                <m:sub>
                  <m:r>
                    <w:rPr>
                      <w:rFonts w:ascii="Cambria Math" w:hAnsi="Cambria Math"/>
                    </w:rPr>
                    <m:t>q</m:t>
                  </m:r>
                </m:sub>
              </m:sSub>
            </m:num>
            <m:den>
              <m:r>
                <w:rPr>
                  <w:rFonts w:ascii="Cambria Math" w:hAnsi="Cambria Math"/>
                </w:rPr>
                <m:t>4</m:t>
              </m:r>
            </m:den>
          </m:f>
        </m:oMath>
      </m:oMathPara>
    </w:p>
    <w:p w14:paraId="24073593" w14:textId="74596B76" w:rsidR="00033B8C" w:rsidRDefault="00033B8C" w:rsidP="00F43453">
      <w:pPr>
        <w:ind w:left="720"/>
        <w:rPr>
          <w:rFonts w:eastAsiaTheme="minorEastAsia"/>
        </w:rPr>
      </w:pPr>
      <w:r>
        <w:rPr>
          <w:rFonts w:eastAsiaTheme="minorEastAsia"/>
        </w:rPr>
        <w:t>Where</w:t>
      </w:r>
    </w:p>
    <w:p w14:paraId="1552877B" w14:textId="2225FD3B" w:rsidR="009A35C6" w:rsidRDefault="009A4DF2" w:rsidP="009A35C6">
      <w:pPr>
        <w:ind w:left="1440"/>
        <w:rPr>
          <w:rFonts w:eastAsiaTheme="minorEastAsia"/>
        </w:rPr>
      </w:pPr>
      <m:oMath>
        <m:sSub>
          <m:sSubPr>
            <m:ctrlPr>
              <w:rPr>
                <w:rFonts w:ascii="Cambria Math" w:hAnsi="Cambria Math"/>
                <w:i/>
              </w:rPr>
            </m:ctrlPr>
          </m:sSubPr>
          <m:e>
            <m:r>
              <w:rPr>
                <w:rFonts w:ascii="Cambria Math" w:hAnsi="Cambria Math"/>
              </w:rPr>
              <m:t>AS</m:t>
            </m:r>
          </m:e>
          <m:sub>
            <m:r>
              <w:rPr>
                <w:rFonts w:ascii="Cambria Math" w:hAnsi="Cambria Math"/>
              </w:rPr>
              <m:t>q</m:t>
            </m:r>
          </m:sub>
        </m:sSub>
      </m:oMath>
      <w:r w:rsidR="00033B8C">
        <w:rPr>
          <w:rFonts w:eastAsiaTheme="minorEastAsia"/>
        </w:rPr>
        <w:t xml:space="preserve"> is as defined for </w:t>
      </w:r>
      <w:r w:rsidR="00033B8C">
        <w:rPr>
          <w:rFonts w:eastAsiaTheme="minorEastAsia"/>
        </w:rPr>
        <w:fldChar w:fldCharType="begin"/>
      </w:r>
      <w:r w:rsidR="00033B8C">
        <w:rPr>
          <w:rFonts w:eastAsiaTheme="minorEastAsia"/>
        </w:rPr>
        <w:instrText xml:space="preserve"> REF _Ref37692307 \h </w:instrText>
      </w:r>
      <w:r w:rsidR="00033B8C">
        <w:rPr>
          <w:rFonts w:eastAsiaTheme="minorEastAsia"/>
        </w:rPr>
      </w:r>
      <w:r w:rsidR="00033B8C">
        <w:rPr>
          <w:rFonts w:eastAsiaTheme="minorEastAsia"/>
        </w:rPr>
        <w:fldChar w:fldCharType="separate"/>
      </w:r>
      <w:r w:rsidR="00552F8C">
        <w:t xml:space="preserve">Equation </w:t>
      </w:r>
      <w:r w:rsidR="00552F8C">
        <w:rPr>
          <w:noProof/>
        </w:rPr>
        <w:t>1</w:t>
      </w:r>
      <w:r w:rsidR="00033B8C">
        <w:rPr>
          <w:rFonts w:eastAsiaTheme="minorEastAsia"/>
        </w:rPr>
        <w:fldChar w:fldCharType="end"/>
      </w:r>
      <w:r w:rsidR="00033B8C">
        <w:rPr>
          <w:rFonts w:eastAsiaTheme="minorEastAsia"/>
        </w:rPr>
        <w:t>.</w:t>
      </w:r>
    </w:p>
    <w:p w14:paraId="32266352" w14:textId="77777777" w:rsidR="009A35C6" w:rsidRDefault="009A35C6" w:rsidP="009A35C6">
      <w:pPr>
        <w:rPr>
          <w:rFonts w:eastAsiaTheme="minorEastAsia"/>
        </w:rPr>
      </w:pPr>
    </w:p>
    <w:p w14:paraId="70574B4D"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08B2CF38" w14:textId="54947445" w:rsidR="004B7E0D" w:rsidRDefault="006E1519" w:rsidP="004B7E0D">
      <w:pPr>
        <w:pStyle w:val="Heading3"/>
      </w:pPr>
      <w:bookmarkStart w:id="18" w:name="_Net_First_Year_4"/>
      <w:bookmarkEnd w:id="18"/>
      <w:r>
        <w:lastRenderedPageBreak/>
        <w:t xml:space="preserve">Net </w:t>
      </w:r>
      <w:r w:rsidR="004B7E0D">
        <w:t>First Year Natural Gas NO</w:t>
      </w:r>
      <w:r w:rsidR="004B7E0D" w:rsidRPr="004B7E0D">
        <w:rPr>
          <w:vertAlign w:val="subscript"/>
        </w:rPr>
        <w:t>x</w:t>
      </w:r>
      <w:r w:rsidR="004B7E0D">
        <w:t xml:space="preserve"> Emissions Reductions (</w:t>
      </w:r>
      <w:proofErr w:type="spellStart"/>
      <w:r w:rsidR="004B7E0D" w:rsidRPr="004B7E0D">
        <w:rPr>
          <w:rStyle w:val="CodeObjectChar"/>
        </w:rPr>
        <w:t>NetGasNOx</w:t>
      </w:r>
      <w:proofErr w:type="spellEnd"/>
      <w:r w:rsidR="004B7E0D">
        <w:t>):</w:t>
      </w:r>
    </w:p>
    <w:p w14:paraId="23A04B95" w14:textId="4CD4185E" w:rsidR="00E91377" w:rsidRPr="00EF60B0" w:rsidRDefault="009A4DF2" w:rsidP="00E91377">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B</m:t>
                  </m:r>
                </m:e>
                <m:sub>
                  <m:r>
                    <m:rPr>
                      <m:nor/>
                    </m:rP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m:oMathPara>
    </w:p>
    <w:p w14:paraId="57804DA6" w14:textId="72331EBA" w:rsidR="00E91377" w:rsidRDefault="00E91377" w:rsidP="00E91377">
      <w:pPr>
        <w:pStyle w:val="Caption"/>
      </w:pPr>
      <w:bookmarkStart w:id="19" w:name="_Ref38576750"/>
      <w:r>
        <w:t xml:space="preserve">Equation </w:t>
      </w:r>
      <w:fldSimple w:instr=" SEQ Equation \* ARABIC ">
        <w:r w:rsidR="00552F8C">
          <w:rPr>
            <w:noProof/>
          </w:rPr>
          <w:t>10</w:t>
        </w:r>
      </w:fldSimple>
      <w:bookmarkEnd w:id="19"/>
    </w:p>
    <w:p w14:paraId="702C4D4B" w14:textId="46A27F1F" w:rsidR="00E91377" w:rsidRDefault="00E91377" w:rsidP="00B45E9B">
      <w:r>
        <w:t>Where</w:t>
      </w:r>
    </w:p>
    <w:p w14:paraId="62F39942" w14:textId="1F48C563" w:rsidR="00E91377" w:rsidRDefault="009A4DF2" w:rsidP="00E91377">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D32190">
        <w:rPr>
          <w:rFonts w:eastAsiaTheme="minorEastAsia"/>
        </w:rPr>
        <w:t xml:space="preserve"> is the net NO</w:t>
      </w:r>
      <w:r w:rsidR="00D32190">
        <w:rPr>
          <w:rFonts w:eastAsiaTheme="minorEastAsia"/>
          <w:vertAlign w:val="subscript"/>
        </w:rPr>
        <w:t>x</w:t>
      </w:r>
      <w:r w:rsidR="00D32190">
        <w:rPr>
          <w:rFonts w:eastAsiaTheme="minorEastAsia"/>
        </w:rPr>
        <w:t xml:space="preserve"> emissions reductions in </w:t>
      </w:r>
      <w:proofErr w:type="spellStart"/>
      <w:r w:rsidR="00033B8C">
        <w:rPr>
          <w:rFonts w:eastAsiaTheme="minorEastAsia"/>
        </w:rPr>
        <w:t>lbs</w:t>
      </w:r>
      <w:proofErr w:type="spellEnd"/>
      <w:r w:rsidR="00D32190">
        <w:rPr>
          <w:rFonts w:eastAsiaTheme="minorEastAsia"/>
        </w:rPr>
        <w:t xml:space="preserve"> of NO</w:t>
      </w:r>
      <w:r w:rsidR="00D32190">
        <w:rPr>
          <w:rFonts w:eastAsiaTheme="minorEastAsia"/>
          <w:vertAlign w:val="subscript"/>
        </w:rPr>
        <w:t>x</w:t>
      </w:r>
      <w:r w:rsidR="00D32190">
        <w:rPr>
          <w:rFonts w:eastAsiaTheme="minorEastAsia"/>
        </w:rPr>
        <w:t xml:space="preserve"> due to natural gas consumption savings</w:t>
      </w:r>
      <w:r w:rsidR="00005937">
        <w:rPr>
          <w:rFonts w:eastAsiaTheme="minorEastAsia"/>
        </w:rPr>
        <w:t xml:space="preserve"> in the first year after </w:t>
      </w:r>
      <w:proofErr w:type="gramStart"/>
      <w:r w:rsidR="00005937">
        <w:rPr>
          <w:rFonts w:eastAsiaTheme="minorEastAsia"/>
        </w:rPr>
        <w:t>installation</w:t>
      </w:r>
      <w:r w:rsidR="00D32190">
        <w:rPr>
          <w:rFonts w:eastAsiaTheme="minorEastAsia"/>
        </w:rPr>
        <w:t>.</w:t>
      </w:r>
      <w:proofErr w:type="gramEnd"/>
      <w:r w:rsidR="00D32190">
        <w:rPr>
          <w:rFonts w:eastAsiaTheme="minorEastAsia"/>
        </w:rPr>
        <w:t xml:space="preserve"> The </w:t>
      </w:r>
      <w:proofErr w:type="spellStart"/>
      <w:r w:rsidR="00D32190" w:rsidRPr="00BD3B41">
        <w:rPr>
          <w:rStyle w:val="CodeObjectChar"/>
        </w:rPr>
        <w:t>CalcEmissions</w:t>
      </w:r>
      <w:proofErr w:type="spellEnd"/>
      <w:r w:rsidR="00D32190">
        <w:rPr>
          <w:rFonts w:eastAsiaTheme="minorEastAsia"/>
        </w:rPr>
        <w:t xml:space="preserve"> procedure stores the calculated value to the </w:t>
      </w:r>
      <w:proofErr w:type="spellStart"/>
      <w:r w:rsidR="00D32190" w:rsidRPr="00BD3B41">
        <w:rPr>
          <w:rStyle w:val="CodeObjectChar"/>
        </w:rPr>
        <w:t>NetGas</w:t>
      </w:r>
      <w:r w:rsidR="00005937">
        <w:rPr>
          <w:rStyle w:val="CodeObjectChar"/>
        </w:rPr>
        <w:t>NOx</w:t>
      </w:r>
      <w:proofErr w:type="spellEnd"/>
      <w:r w:rsidR="00D32190">
        <w:rPr>
          <w:rFonts w:eastAsiaTheme="minorEastAsia"/>
        </w:rPr>
        <w:t xml:space="preserve"> field in the table </w:t>
      </w:r>
      <w:proofErr w:type="spellStart"/>
      <w:r w:rsidR="00D32190" w:rsidRPr="00BD3B41">
        <w:rPr>
          <w:rStyle w:val="CodeObjectChar"/>
        </w:rPr>
        <w:t>OutputEmissions</w:t>
      </w:r>
      <w:proofErr w:type="spellEnd"/>
      <w:r w:rsidR="00D32190">
        <w:rPr>
          <w:rFonts w:eastAsiaTheme="minorEastAsia"/>
        </w:rPr>
        <w:t>.</w:t>
      </w:r>
    </w:p>
    <w:p w14:paraId="3B3F74F9" w14:textId="72CCCA59" w:rsidR="00D32190" w:rsidRDefault="00D32190" w:rsidP="00E91377">
      <w:pPr>
        <w:ind w:left="720"/>
        <w:rPr>
          <w:rFonts w:eastAsiaTheme="minorEastAsia"/>
        </w:rPr>
      </w:pPr>
      <m:oMath>
        <m:r>
          <w:rPr>
            <w:rFonts w:ascii="Cambria Math" w:hAnsi="Cambria Math"/>
          </w:rPr>
          <m:t>IN</m:t>
        </m:r>
      </m:oMath>
      <w:r>
        <w:rPr>
          <w:rFonts w:eastAsiaTheme="minorEastAsia"/>
        </w:rPr>
        <w:t xml:space="preserve"> and </w:t>
      </w:r>
      <m:oMath>
        <m:sSub>
          <m:sSubPr>
            <m:ctrlPr>
              <w:rPr>
                <w:rFonts w:ascii="Cambria Math" w:hAnsi="Cambria Math"/>
                <w:i/>
              </w:rPr>
            </m:ctrlPr>
          </m:sSubPr>
          <m:e>
            <m:r>
              <w:rPr>
                <w:rFonts w:ascii="Cambria Math" w:hAnsi="Cambria Math"/>
              </w:rPr>
              <m:t>B</m:t>
            </m:r>
          </m:e>
          <m:sub>
            <m:r>
              <m:rPr>
                <m:nor/>
              </m:rPr>
              <w:rPr>
                <w:rFonts w:ascii="Cambria Math" w:hAnsi="Cambria Math"/>
              </w:rPr>
              <m:t>ME</m:t>
            </m:r>
          </m:sub>
        </m:sSub>
      </m:oMath>
      <w: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569F3FB5" w14:textId="17DDD9F3" w:rsidR="00D32190" w:rsidRDefault="009A4DF2" w:rsidP="00E91377">
      <w:pPr>
        <w:ind w:left="720"/>
        <w:rPr>
          <w:rFonts w:eastAsiaTheme="minorEastAsia"/>
        </w:rPr>
      </w:pPr>
      <m:oMath>
        <m:sSub>
          <m:sSubPr>
            <m:ctrlPr>
              <w:rPr>
                <w:rFonts w:ascii="Cambria Math" w:hAnsi="Cambria Math"/>
                <w:i/>
              </w:rPr>
            </m:ctrlPr>
          </m:sSubPr>
          <m:e>
            <m:r>
              <w:rPr>
                <w:rFonts w:ascii="Cambria Math" w:hAnsi="Cambria Math"/>
              </w:rPr>
              <m:t>NTGR</m:t>
            </m:r>
          </m:e>
          <m:sub>
            <m:r>
              <m:rPr>
                <m:nor/>
              </m:rPr>
              <w:rPr>
                <w:rFonts w:ascii="Cambria Math" w:hAnsi="Cambria Math"/>
              </w:rPr>
              <m:t>Therm</m:t>
            </m:r>
          </m:sub>
        </m:sSub>
      </m:oMath>
      <w:r w:rsidR="00D32190">
        <w:rPr>
          <w:rFonts w:eastAsiaTheme="minorEastAsia"/>
        </w:rPr>
        <w:t xml:space="preserve">, </w:t>
      </w: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D32190">
        <w:rPr>
          <w:rFonts w:eastAsiaTheme="minorEastAsia"/>
        </w:rPr>
        <w:t xml:space="preserve">,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D32190">
        <w:rPr>
          <w:rFonts w:eastAsiaTheme="minorEastAsia"/>
        </w:rPr>
        <w:t xml:space="preserve">, and </w:t>
      </w: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w:r w:rsidR="00D32190">
        <w:rPr>
          <w:rFonts w:eastAsiaTheme="minorEastAsia"/>
        </w:rPr>
        <w:t xml:space="preserve"> are as defined for </w:t>
      </w:r>
      <w:r w:rsidR="00D32190">
        <w:rPr>
          <w:rFonts w:eastAsiaTheme="minorEastAsia"/>
        </w:rPr>
        <w:fldChar w:fldCharType="begin"/>
      </w:r>
      <w:r w:rsidR="00D32190">
        <w:rPr>
          <w:rFonts w:eastAsiaTheme="minorEastAsia"/>
        </w:rPr>
        <w:instrText xml:space="preserve"> REF _Ref37779223 \h </w:instrText>
      </w:r>
      <w:r w:rsidR="00D32190">
        <w:rPr>
          <w:rFonts w:eastAsiaTheme="minorEastAsia"/>
        </w:rPr>
      </w:r>
      <w:r w:rsidR="00D32190">
        <w:rPr>
          <w:rFonts w:eastAsiaTheme="minorEastAsia"/>
        </w:rPr>
        <w:fldChar w:fldCharType="separate"/>
      </w:r>
      <w:r w:rsidR="00552F8C">
        <w:t xml:space="preserve">Equation </w:t>
      </w:r>
      <w:r w:rsidR="00552F8C">
        <w:rPr>
          <w:noProof/>
        </w:rPr>
        <w:t>2</w:t>
      </w:r>
      <w:r w:rsidR="00D32190">
        <w:rPr>
          <w:rFonts w:eastAsiaTheme="minorEastAsia"/>
        </w:rPr>
        <w:fldChar w:fldCharType="end"/>
      </w:r>
      <w:r w:rsidR="00D32190">
        <w:rPr>
          <w:rFonts w:eastAsiaTheme="minorEastAsia"/>
        </w:rPr>
        <w:t>.</w:t>
      </w:r>
    </w:p>
    <w:p w14:paraId="6E5FE16A" w14:textId="05BD1A1C" w:rsidR="00D32190" w:rsidRDefault="009A4DF2" w:rsidP="00E91377">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oMath>
      <w:r w:rsidR="00D32190">
        <w:rPr>
          <w:rFonts w:eastAsiaTheme="minorEastAsia"/>
        </w:rPr>
        <w:t xml:space="preserve"> is the NO</w:t>
      </w:r>
      <w:r w:rsidR="00D32190" w:rsidRPr="00D32190">
        <w:rPr>
          <w:rFonts w:eastAsiaTheme="minorEastAsia"/>
          <w:vertAlign w:val="subscript"/>
        </w:rPr>
        <w:t>x</w:t>
      </w:r>
      <w:r w:rsidR="00D32190">
        <w:rPr>
          <w:rFonts w:eastAsiaTheme="minorEastAsia"/>
        </w:rPr>
        <w:t xml:space="preserve"> Emissions Rate for annual natural gas savings. The NO</w:t>
      </w:r>
      <w:r w:rsidR="00D32190" w:rsidRPr="00D32190">
        <w:rPr>
          <w:rFonts w:eastAsiaTheme="minorEastAsia"/>
          <w:vertAlign w:val="subscript"/>
        </w:rPr>
        <w:t>x</w:t>
      </w:r>
      <w:r w:rsidR="00D32190">
        <w:rPr>
          <w:rFonts w:eastAsiaTheme="minorEastAsia"/>
        </w:rPr>
        <w:t xml:space="preserve"> Emissions Rate is provided in units of </w:t>
      </w:r>
      <w:proofErr w:type="spellStart"/>
      <w:r w:rsidR="00033B8C">
        <w:rPr>
          <w:rFonts w:eastAsiaTheme="minorEastAsia"/>
        </w:rPr>
        <w:t>lbs</w:t>
      </w:r>
      <w:proofErr w:type="spellEnd"/>
      <w:r w:rsidR="00D32190">
        <w:rPr>
          <w:rFonts w:eastAsiaTheme="minorEastAsia"/>
        </w:rPr>
        <w:t xml:space="preserve"> of NO</w:t>
      </w:r>
      <w:r w:rsidR="00D32190" w:rsidRPr="00D32190">
        <w:rPr>
          <w:rFonts w:eastAsiaTheme="minorEastAsia"/>
          <w:vertAlign w:val="subscript"/>
        </w:rPr>
        <w:t>x</w:t>
      </w:r>
      <w:r w:rsidR="00D32190">
        <w:rPr>
          <w:rFonts w:eastAsiaTheme="minorEastAsia"/>
        </w:rPr>
        <w:t xml:space="preserve"> per </w:t>
      </w:r>
      <w:proofErr w:type="spellStart"/>
      <w:r w:rsidR="00D32190">
        <w:rPr>
          <w:rFonts w:eastAsiaTheme="minorEastAsia"/>
        </w:rPr>
        <w:t>Therm</w:t>
      </w:r>
      <w:proofErr w:type="spellEnd"/>
      <w:r w:rsidR="00D32190">
        <w:rPr>
          <w:rFonts w:eastAsiaTheme="minorEastAsia"/>
        </w:rPr>
        <w:t xml:space="preserve"> of natural gas savings.</w:t>
      </w:r>
    </w:p>
    <w:p w14:paraId="0CA0E396" w14:textId="77777777" w:rsidR="009A35C6" w:rsidRDefault="009A35C6" w:rsidP="009A35C6"/>
    <w:p w14:paraId="17495754" w14:textId="73A7EFA1" w:rsidR="009A35C6" w:rsidRDefault="009A35C6" w:rsidP="009A35C6">
      <w:pPr>
        <w:sectPr w:rsidR="009A35C6">
          <w:pgSz w:w="12240" w:h="15840"/>
          <w:pgMar w:top="1440" w:right="1440" w:bottom="1440" w:left="1440" w:header="720" w:footer="720" w:gutter="0"/>
          <w:cols w:space="720"/>
          <w:docGrid w:linePitch="360"/>
        </w:sectPr>
      </w:pPr>
    </w:p>
    <w:p w14:paraId="2A981C45" w14:textId="53878590" w:rsidR="004B7E0D" w:rsidRDefault="006E1519" w:rsidP="004B7E0D">
      <w:pPr>
        <w:pStyle w:val="Heading3"/>
      </w:pPr>
      <w:bookmarkStart w:id="20" w:name="_Gross_First_Year_2"/>
      <w:bookmarkEnd w:id="20"/>
      <w:r>
        <w:lastRenderedPageBreak/>
        <w:t xml:space="preserve">Gross </w:t>
      </w:r>
      <w:r w:rsidR="004B7E0D">
        <w:t>First Year Electric NO</w:t>
      </w:r>
      <w:r w:rsidR="004B7E0D" w:rsidRPr="004B7E0D">
        <w:rPr>
          <w:vertAlign w:val="subscript"/>
        </w:rPr>
        <w:t>x</w:t>
      </w:r>
      <w:r w:rsidR="004B7E0D">
        <w:t xml:space="preserve"> Emissions </w:t>
      </w:r>
      <w:proofErr w:type="gramStart"/>
      <w:r w:rsidR="004B7E0D">
        <w:t>Reductions(</w:t>
      </w:r>
      <w:proofErr w:type="spellStart"/>
      <w:proofErr w:type="gramEnd"/>
      <w:r w:rsidR="004B7E0D" w:rsidRPr="004B7E0D">
        <w:rPr>
          <w:rStyle w:val="CodeObjectChar"/>
        </w:rPr>
        <w:t>GrossElecNOx</w:t>
      </w:r>
      <w:proofErr w:type="spellEnd"/>
      <w:r w:rsidR="004B7E0D">
        <w:t>):</w:t>
      </w:r>
    </w:p>
    <w:p w14:paraId="494538CE" w14:textId="68EFD33C" w:rsidR="00AC7B86" w:rsidRPr="00EF60B0" w:rsidRDefault="009A4DF2" w:rsidP="00AC7B86">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7FA11637" w14:textId="7DA97E24" w:rsidR="00AC7B86" w:rsidRDefault="00AC7B86" w:rsidP="00AC7B86">
      <w:pPr>
        <w:pStyle w:val="Caption"/>
      </w:pPr>
      <w:bookmarkStart w:id="21" w:name="_Ref38576747"/>
      <w:r>
        <w:t xml:space="preserve">Equation </w:t>
      </w:r>
      <w:fldSimple w:instr=" SEQ Equation \* ARABIC ">
        <w:r w:rsidR="00552F8C">
          <w:rPr>
            <w:noProof/>
          </w:rPr>
          <w:t>11</w:t>
        </w:r>
      </w:fldSimple>
      <w:bookmarkEnd w:id="21"/>
    </w:p>
    <w:p w14:paraId="635D087D" w14:textId="2CB99DC8" w:rsidR="004B7E0D" w:rsidRDefault="00033B8C" w:rsidP="00B45E9B">
      <w:r>
        <w:t>Where</w:t>
      </w:r>
    </w:p>
    <w:p w14:paraId="67E6B98D" w14:textId="6658B49B" w:rsidR="00033B8C" w:rsidRDefault="009A4DF2" w:rsidP="00033B8C">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oMath>
      <w:r w:rsidR="00033B8C">
        <w:rPr>
          <w:rFonts w:eastAsiaTheme="minorEastAsia"/>
        </w:rPr>
        <w:t xml:space="preserve"> is the net NO</w:t>
      </w:r>
      <w:r w:rsidR="00033B8C">
        <w:rPr>
          <w:rFonts w:eastAsiaTheme="minorEastAsia"/>
          <w:vertAlign w:val="subscript"/>
        </w:rPr>
        <w:t>x</w:t>
      </w:r>
      <w:r w:rsidR="00033B8C">
        <w:rPr>
          <w:rFonts w:eastAsiaTheme="minorEastAsia"/>
        </w:rPr>
        <w:t xml:space="preserve"> emissions reductions in </w:t>
      </w:r>
      <w:proofErr w:type="spellStart"/>
      <w:r w:rsidR="00033B8C">
        <w:rPr>
          <w:rFonts w:eastAsiaTheme="minorEastAsia"/>
        </w:rPr>
        <w:t>lbs</w:t>
      </w:r>
      <w:proofErr w:type="spellEnd"/>
      <w:r w:rsidR="00033B8C">
        <w:rPr>
          <w:rFonts w:eastAsiaTheme="minorEastAsia"/>
        </w:rPr>
        <w:t xml:space="preserve"> of NO</w:t>
      </w:r>
      <w:r w:rsidR="00033B8C">
        <w:rPr>
          <w:rFonts w:eastAsiaTheme="minorEastAsia"/>
          <w:vertAlign w:val="subscript"/>
        </w:rPr>
        <w:t>x</w:t>
      </w:r>
      <w:r w:rsidR="00033B8C">
        <w:rPr>
          <w:rFonts w:eastAsiaTheme="minorEastAsia"/>
        </w:rPr>
        <w:t xml:space="preserve"> due to electric </w:t>
      </w:r>
      <w:r w:rsidR="00FD0557">
        <w:rPr>
          <w:rFonts w:eastAsiaTheme="minorEastAsia"/>
        </w:rPr>
        <w:t xml:space="preserve">energy </w:t>
      </w:r>
      <w:r w:rsidR="00033B8C">
        <w:rPr>
          <w:rFonts w:eastAsiaTheme="minorEastAsia"/>
        </w:rPr>
        <w:t>savings</w:t>
      </w:r>
      <w:r w:rsidR="00005937">
        <w:rPr>
          <w:rFonts w:eastAsiaTheme="minorEastAsia"/>
        </w:rPr>
        <w:t xml:space="preserve"> in the first year after </w:t>
      </w:r>
      <w:proofErr w:type="gramStart"/>
      <w:r w:rsidR="00005937">
        <w:rPr>
          <w:rFonts w:eastAsiaTheme="minorEastAsia"/>
        </w:rPr>
        <w:t>installation</w:t>
      </w:r>
      <w:r w:rsidR="00033B8C">
        <w:rPr>
          <w:rFonts w:eastAsiaTheme="minorEastAsia"/>
        </w:rPr>
        <w:t>.</w:t>
      </w:r>
      <w:proofErr w:type="gramEnd"/>
      <w:r w:rsidR="00033B8C">
        <w:rPr>
          <w:rFonts w:eastAsiaTheme="minorEastAsia"/>
        </w:rPr>
        <w:t xml:space="preserve"> The </w:t>
      </w:r>
      <w:proofErr w:type="spellStart"/>
      <w:r w:rsidR="00033B8C" w:rsidRPr="00BD3B41">
        <w:rPr>
          <w:rStyle w:val="CodeObjectChar"/>
        </w:rPr>
        <w:t>CalcEmissions</w:t>
      </w:r>
      <w:proofErr w:type="spellEnd"/>
      <w:r w:rsidR="00033B8C">
        <w:rPr>
          <w:rFonts w:eastAsiaTheme="minorEastAsia"/>
        </w:rPr>
        <w:t xml:space="preserve"> procedure stores the calculated value to the </w:t>
      </w:r>
      <w:proofErr w:type="spellStart"/>
      <w:r w:rsidR="00005937">
        <w:rPr>
          <w:rStyle w:val="CodeObjectChar"/>
        </w:rPr>
        <w:t>Gross</w:t>
      </w:r>
      <w:r w:rsidR="00033B8C">
        <w:rPr>
          <w:rStyle w:val="CodeObjectChar"/>
        </w:rPr>
        <w:t>Elec</w:t>
      </w:r>
      <w:r w:rsidR="00005937">
        <w:rPr>
          <w:rStyle w:val="CodeObjectChar"/>
        </w:rPr>
        <w:t>NOx</w:t>
      </w:r>
      <w:proofErr w:type="spellEnd"/>
      <w:r w:rsidR="00033B8C">
        <w:rPr>
          <w:rFonts w:eastAsiaTheme="minorEastAsia"/>
        </w:rPr>
        <w:t xml:space="preserve"> field in the table </w:t>
      </w:r>
      <w:proofErr w:type="spellStart"/>
      <w:r w:rsidR="00033B8C" w:rsidRPr="00BD3B41">
        <w:rPr>
          <w:rStyle w:val="CodeObjectChar"/>
        </w:rPr>
        <w:t>OutputEmissions</w:t>
      </w:r>
      <w:proofErr w:type="spellEnd"/>
      <w:r w:rsidR="00033B8C">
        <w:rPr>
          <w:rFonts w:eastAsiaTheme="minorEastAsia"/>
        </w:rPr>
        <w:t>.</w:t>
      </w:r>
    </w:p>
    <w:p w14:paraId="4818A30E" w14:textId="527E90BD" w:rsidR="00033B8C" w:rsidRDefault="00033B8C" w:rsidP="00033B8C">
      <w:pPr>
        <w:ind w:left="720"/>
        <w:rPr>
          <w:rFonts w:eastAsiaTheme="minorEastAsia"/>
        </w:rPr>
      </w:pP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04E3FEC6" w14:textId="6649CEA3" w:rsidR="00033B8C" w:rsidRDefault="009A4DF2" w:rsidP="00033B8C">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,q</m:t>
            </m:r>
          </m:sub>
        </m:sSub>
      </m:oMath>
      <w:r w:rsidR="00033B8C">
        <w:rPr>
          <w:rFonts w:eastAsiaTheme="minorEastAsia"/>
        </w:rPr>
        <w:t xml:space="preserve"> and </w:t>
      </w:r>
      <m:oMath>
        <m:sSub>
          <m:sSubPr>
            <m:ctrlPr>
              <w:rPr>
                <w:rFonts w:ascii="Cambria Math" w:hAnsi="Cambria Math"/>
                <w:i/>
              </w:rPr>
            </m:ctrlPr>
          </m:sSubPr>
          <m:e>
            <m:r>
              <w:rPr>
                <w:rFonts w:ascii="Cambria Math" w:hAnsi="Cambria Math"/>
              </w:rPr>
              <m:t>QS</m:t>
            </m:r>
          </m:e>
          <m:sub>
            <m:r>
              <w:rPr>
                <w:rFonts w:ascii="Cambria Math" w:hAnsi="Cambria Math"/>
              </w:rPr>
              <m:t>q</m:t>
            </m:r>
          </m:sub>
        </m:sSub>
      </m:oMath>
      <w:r w:rsidR="00033B8C">
        <w:rPr>
          <w:rFonts w:eastAsiaTheme="minorEastAsia"/>
        </w:rPr>
        <w:t xml:space="preserve"> are as defined for</w:t>
      </w:r>
      <w:r w:rsidR="005F0C49">
        <w:rPr>
          <w:rFonts w:eastAsiaTheme="minorEastAsia"/>
        </w:rPr>
        <w:t xml:space="preserve"> </w:t>
      </w:r>
      <w:r w:rsidR="005F0C49">
        <w:rPr>
          <w:rFonts w:eastAsiaTheme="minorEastAsia"/>
        </w:rPr>
        <w:fldChar w:fldCharType="begin"/>
      </w:r>
      <w:r w:rsidR="005F0C49">
        <w:rPr>
          <w:rFonts w:eastAsiaTheme="minorEastAsia"/>
        </w:rPr>
        <w:instrText xml:space="preserve"> REF _Ref38576746 \h </w:instrText>
      </w:r>
      <w:r w:rsidR="005F0C49">
        <w:rPr>
          <w:rFonts w:eastAsiaTheme="minorEastAsia"/>
        </w:rPr>
      </w:r>
      <w:r w:rsidR="005F0C49">
        <w:rPr>
          <w:rFonts w:eastAsiaTheme="minorEastAsia"/>
        </w:rPr>
        <w:fldChar w:fldCharType="separate"/>
      </w:r>
      <w:r w:rsidR="00552F8C">
        <w:t xml:space="preserve">Equation </w:t>
      </w:r>
      <w:r w:rsidR="00552F8C">
        <w:rPr>
          <w:noProof/>
        </w:rPr>
        <w:t>9</w:t>
      </w:r>
      <w:r w:rsidR="005F0C49">
        <w:rPr>
          <w:rFonts w:eastAsiaTheme="minorEastAsia"/>
        </w:rPr>
        <w:fldChar w:fldCharType="end"/>
      </w:r>
      <w:r w:rsidR="00033B8C">
        <w:rPr>
          <w:rFonts w:eastAsiaTheme="minorEastAsia"/>
        </w:rPr>
        <w:t>.</w:t>
      </w:r>
    </w:p>
    <w:p w14:paraId="7ED4037D" w14:textId="2696CAF9" w:rsidR="009A35C6" w:rsidRPr="009A35C6" w:rsidRDefault="009A35C6" w:rsidP="009A35C6">
      <w:pPr>
        <w:rPr>
          <w:rFonts w:eastAsiaTheme="minorEastAsia"/>
        </w:rPr>
      </w:pPr>
    </w:p>
    <w:p w14:paraId="55DCE817"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6B2C3CB8" w14:textId="6A050FFA" w:rsidR="004B7E0D" w:rsidRDefault="006E1519" w:rsidP="004B7E0D">
      <w:pPr>
        <w:pStyle w:val="Heading3"/>
      </w:pPr>
      <w:bookmarkStart w:id="22" w:name="_Gross_First_Year_3"/>
      <w:bookmarkEnd w:id="22"/>
      <w:r>
        <w:lastRenderedPageBreak/>
        <w:t xml:space="preserve">Gross </w:t>
      </w:r>
      <w:r w:rsidR="004B7E0D">
        <w:t>First Year Natural Gas NO</w:t>
      </w:r>
      <w:r w:rsidR="004B7E0D" w:rsidRPr="004B7E0D">
        <w:rPr>
          <w:vertAlign w:val="subscript"/>
        </w:rPr>
        <w:t>x</w:t>
      </w:r>
      <w:r w:rsidR="004B7E0D">
        <w:t xml:space="preserve"> Emissions Reductions (</w:t>
      </w:r>
      <w:proofErr w:type="spellStart"/>
      <w:r w:rsidR="004B7E0D" w:rsidRPr="004B7E0D">
        <w:rPr>
          <w:rStyle w:val="CodeObjectChar"/>
        </w:rPr>
        <w:t>GrossGasNOx</w:t>
      </w:r>
      <w:proofErr w:type="spellEnd"/>
      <w:r w:rsidR="004B7E0D">
        <w:t>):</w:t>
      </w:r>
    </w:p>
    <w:p w14:paraId="43BEB6F0" w14:textId="65CC34EE" w:rsidR="006E1519" w:rsidRPr="00EF60B0" w:rsidRDefault="009A4DF2" w:rsidP="006E151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B</m:t>
                  </m:r>
                </m:e>
                <m:sub>
                  <m:r>
                    <m:rPr>
                      <m:nor/>
                    </m:rP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m:oMathPara>
    </w:p>
    <w:p w14:paraId="067CFEFD" w14:textId="6E63A7E6" w:rsidR="006E1519" w:rsidRDefault="006E1519" w:rsidP="006E1519">
      <w:pPr>
        <w:pStyle w:val="Caption"/>
      </w:pPr>
      <w:r>
        <w:t xml:space="preserve">Equation </w:t>
      </w:r>
      <w:fldSimple w:instr=" SEQ Equation \* ARABIC ">
        <w:r w:rsidR="00552F8C">
          <w:rPr>
            <w:noProof/>
          </w:rPr>
          <w:t>12</w:t>
        </w:r>
      </w:fldSimple>
    </w:p>
    <w:p w14:paraId="044EF5AC" w14:textId="77777777" w:rsidR="006E1519" w:rsidRDefault="006E1519" w:rsidP="006E1519">
      <w:r>
        <w:t>Where</w:t>
      </w:r>
    </w:p>
    <w:p w14:paraId="64337F14" w14:textId="5827677C" w:rsidR="006E1519" w:rsidRDefault="009A4DF2" w:rsidP="006E1519">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sidR="006E1519">
        <w:rPr>
          <w:rFonts w:eastAsiaTheme="minorEastAsia"/>
        </w:rPr>
        <w:t xml:space="preserve"> is the net NO</w:t>
      </w:r>
      <w:r w:rsidR="006E1519">
        <w:rPr>
          <w:rFonts w:eastAsiaTheme="minorEastAsia"/>
          <w:vertAlign w:val="subscript"/>
        </w:rPr>
        <w:t>x</w:t>
      </w:r>
      <w:r w:rsidR="006E1519">
        <w:rPr>
          <w:rFonts w:eastAsiaTheme="minorEastAsia"/>
        </w:rPr>
        <w:t xml:space="preserve"> emissions reductions in tons of NO</w:t>
      </w:r>
      <w:r w:rsidR="006E1519">
        <w:rPr>
          <w:rFonts w:eastAsiaTheme="minorEastAsia"/>
          <w:vertAlign w:val="subscript"/>
        </w:rPr>
        <w:t>x</w:t>
      </w:r>
      <w:r w:rsidR="006E1519">
        <w:rPr>
          <w:rFonts w:eastAsiaTheme="minorEastAsia"/>
        </w:rPr>
        <w:t xml:space="preserve"> due to natural gas consumption savings</w:t>
      </w:r>
      <w:r w:rsidR="00FD0557">
        <w:rPr>
          <w:rFonts w:eastAsiaTheme="minorEastAsia"/>
        </w:rPr>
        <w:t xml:space="preserve"> in the first year after </w:t>
      </w:r>
      <w:proofErr w:type="gramStart"/>
      <w:r w:rsidR="00FD0557">
        <w:rPr>
          <w:rFonts w:eastAsiaTheme="minorEastAsia"/>
        </w:rPr>
        <w:t>installation</w:t>
      </w:r>
      <w:r w:rsidR="006E1519">
        <w:rPr>
          <w:rFonts w:eastAsiaTheme="minorEastAsia"/>
        </w:rPr>
        <w:t>.</w:t>
      </w:r>
      <w:proofErr w:type="gramEnd"/>
      <w:r w:rsidR="006E1519">
        <w:rPr>
          <w:rFonts w:eastAsiaTheme="minorEastAsia"/>
        </w:rPr>
        <w:t xml:space="preserve"> The </w:t>
      </w:r>
      <w:proofErr w:type="spellStart"/>
      <w:r w:rsidR="006E1519" w:rsidRPr="00BD3B41">
        <w:rPr>
          <w:rStyle w:val="CodeObjectChar"/>
        </w:rPr>
        <w:t>CalcEmissions</w:t>
      </w:r>
      <w:proofErr w:type="spellEnd"/>
      <w:r w:rsidR="006E1519">
        <w:rPr>
          <w:rFonts w:eastAsiaTheme="minorEastAsia"/>
        </w:rPr>
        <w:t xml:space="preserve"> procedure stores the calculated value to the </w:t>
      </w:r>
      <w:proofErr w:type="spellStart"/>
      <w:r w:rsidR="00005937">
        <w:rPr>
          <w:rStyle w:val="CodeObjectChar"/>
        </w:rPr>
        <w:t>Gross</w:t>
      </w:r>
      <w:r w:rsidR="006E1519" w:rsidRPr="00BD3B41">
        <w:rPr>
          <w:rStyle w:val="CodeObjectChar"/>
        </w:rPr>
        <w:t>Gas</w:t>
      </w:r>
      <w:r w:rsidR="00005937">
        <w:rPr>
          <w:rStyle w:val="CodeObjectChar"/>
        </w:rPr>
        <w:t>NOx</w:t>
      </w:r>
      <w:proofErr w:type="spellEnd"/>
      <w:r w:rsidR="006E1519">
        <w:rPr>
          <w:rFonts w:eastAsiaTheme="minorEastAsia"/>
        </w:rPr>
        <w:t xml:space="preserve"> field in the table </w:t>
      </w:r>
      <w:proofErr w:type="spellStart"/>
      <w:r w:rsidR="006E1519" w:rsidRPr="00BD3B41">
        <w:rPr>
          <w:rStyle w:val="CodeObjectChar"/>
        </w:rPr>
        <w:t>OutputEmissions</w:t>
      </w:r>
      <w:proofErr w:type="spellEnd"/>
      <w:r w:rsidR="006E1519">
        <w:rPr>
          <w:rFonts w:eastAsiaTheme="minorEastAsia"/>
        </w:rPr>
        <w:t>.</w:t>
      </w:r>
    </w:p>
    <w:p w14:paraId="35103F29" w14:textId="358DE392" w:rsidR="006E1519" w:rsidRDefault="006E1519" w:rsidP="006E1519">
      <w:pPr>
        <w:ind w:left="720"/>
        <w:rPr>
          <w:rFonts w:eastAsiaTheme="minorEastAsia"/>
        </w:rPr>
      </w:pPr>
      <m:oMath>
        <m:r>
          <w:rPr>
            <w:rFonts w:ascii="Cambria Math" w:hAnsi="Cambria Math"/>
          </w:rPr>
          <m:t>IN</m:t>
        </m:r>
      </m:oMath>
      <w:r>
        <w:rPr>
          <w:rFonts w:eastAsiaTheme="minorEastAsia"/>
        </w:rPr>
        <w:t xml:space="preserve"> and </w:t>
      </w:r>
      <m:oMath>
        <m:sSub>
          <m:sSubPr>
            <m:ctrlPr>
              <w:rPr>
                <w:rFonts w:ascii="Cambria Math" w:hAnsi="Cambria Math"/>
                <w:i/>
              </w:rPr>
            </m:ctrlPr>
          </m:sSubPr>
          <m:e>
            <m:r>
              <w:rPr>
                <w:rFonts w:ascii="Cambria Math" w:hAnsi="Cambria Math"/>
              </w:rPr>
              <m:t>B</m:t>
            </m:r>
          </m:e>
          <m:sub>
            <m:r>
              <m:rPr>
                <m:nor/>
              </m:rPr>
              <w:rPr>
                <w:rFonts w:ascii="Cambria Math" w:hAnsi="Cambria Math"/>
              </w:rPr>
              <m:t>ME</m:t>
            </m:r>
          </m:sub>
        </m:sSub>
      </m:oMath>
      <w: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4B53E627" w14:textId="5F1B83CC" w:rsidR="006E1519" w:rsidRDefault="009A4DF2" w:rsidP="006E1519">
      <w:pPr>
        <w:ind w:left="720"/>
        <w:rPr>
          <w:rFonts w:eastAsiaTheme="minorEastAsia"/>
        </w:rPr>
      </w:pPr>
      <m:oMath>
        <m:sSub>
          <m:sSubPr>
            <m:ctrlPr>
              <w:rPr>
                <w:rFonts w:ascii="Cambria Math" w:hAnsi="Cambria Math"/>
                <w:i/>
              </w:rPr>
            </m:ctrlPr>
          </m:sSubPr>
          <m:e>
            <m:r>
              <w:rPr>
                <w:rFonts w:ascii="Cambria Math" w:hAnsi="Cambria Math"/>
              </w:rPr>
              <m:t>NTGR</m:t>
            </m:r>
          </m:e>
          <m:sub>
            <m:r>
              <m:rPr>
                <m:nor/>
              </m:rPr>
              <w:rPr>
                <w:rFonts w:ascii="Cambria Math" w:hAnsi="Cambria Math"/>
              </w:rPr>
              <m:t>Therm</m:t>
            </m:r>
          </m:sub>
        </m:sSub>
      </m:oMath>
      <w:r w:rsidR="006E1519">
        <w:rPr>
          <w:rFonts w:eastAsiaTheme="minorEastAsia"/>
        </w:rPr>
        <w:t xml:space="preserve">, </w:t>
      </w: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6E1519">
        <w:rPr>
          <w:rFonts w:eastAsiaTheme="minorEastAsia"/>
        </w:rPr>
        <w:t xml:space="preserve">,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6E1519">
        <w:rPr>
          <w:rFonts w:eastAsiaTheme="minorEastAsia"/>
        </w:rPr>
        <w:t xml:space="preserve">, and </w:t>
      </w: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Y1</m:t>
            </m:r>
          </m:sub>
        </m:sSub>
      </m:oMath>
      <w:r w:rsidR="006E1519">
        <w:rPr>
          <w:rFonts w:eastAsiaTheme="minorEastAsia"/>
        </w:rPr>
        <w:t xml:space="preserve"> are as defined for </w:t>
      </w:r>
      <w:r w:rsidR="006E1519">
        <w:rPr>
          <w:rFonts w:eastAsiaTheme="minorEastAsia"/>
        </w:rPr>
        <w:fldChar w:fldCharType="begin"/>
      </w:r>
      <w:r w:rsidR="006E1519">
        <w:rPr>
          <w:rFonts w:eastAsiaTheme="minorEastAsia"/>
        </w:rPr>
        <w:instrText xml:space="preserve"> REF _Ref37779223 \h </w:instrText>
      </w:r>
      <w:r w:rsidR="006E1519">
        <w:rPr>
          <w:rFonts w:eastAsiaTheme="minorEastAsia"/>
        </w:rPr>
      </w:r>
      <w:r w:rsidR="006E1519">
        <w:rPr>
          <w:rFonts w:eastAsiaTheme="minorEastAsia"/>
        </w:rPr>
        <w:fldChar w:fldCharType="separate"/>
      </w:r>
      <w:r w:rsidR="00552F8C">
        <w:t xml:space="preserve">Equation </w:t>
      </w:r>
      <w:r w:rsidR="00552F8C">
        <w:rPr>
          <w:noProof/>
        </w:rPr>
        <w:t>2</w:t>
      </w:r>
      <w:r w:rsidR="006E1519">
        <w:rPr>
          <w:rFonts w:eastAsiaTheme="minorEastAsia"/>
        </w:rPr>
        <w:fldChar w:fldCharType="end"/>
      </w:r>
      <w:r w:rsidR="006E1519">
        <w:rPr>
          <w:rFonts w:eastAsiaTheme="minorEastAsia"/>
        </w:rPr>
        <w:t>.</w:t>
      </w:r>
    </w:p>
    <w:p w14:paraId="51B6B464" w14:textId="1BDE7DE6" w:rsidR="006E1519" w:rsidRDefault="009A4DF2" w:rsidP="006E1519">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oMath>
      <w:r w:rsidR="006E1519">
        <w:rPr>
          <w:rFonts w:eastAsiaTheme="minorEastAsia"/>
        </w:rPr>
        <w:t xml:space="preserve"> is as defined for </w:t>
      </w:r>
      <w:r w:rsidR="006E1519">
        <w:rPr>
          <w:rFonts w:eastAsiaTheme="minorEastAsia"/>
        </w:rPr>
        <w:fldChar w:fldCharType="begin"/>
      </w:r>
      <w:r w:rsidR="006E1519">
        <w:rPr>
          <w:rFonts w:eastAsiaTheme="minorEastAsia"/>
        </w:rPr>
        <w:instrText xml:space="preserve"> REF _Ref38576750 \h </w:instrText>
      </w:r>
      <w:r w:rsidR="006E1519">
        <w:rPr>
          <w:rFonts w:eastAsiaTheme="minorEastAsia"/>
        </w:rPr>
      </w:r>
      <w:r w:rsidR="006E1519">
        <w:rPr>
          <w:rFonts w:eastAsiaTheme="minorEastAsia"/>
        </w:rPr>
        <w:fldChar w:fldCharType="separate"/>
      </w:r>
      <w:r w:rsidR="00552F8C">
        <w:t xml:space="preserve">Equation </w:t>
      </w:r>
      <w:r w:rsidR="00552F8C">
        <w:rPr>
          <w:noProof/>
        </w:rPr>
        <w:t>10</w:t>
      </w:r>
      <w:r w:rsidR="006E1519">
        <w:rPr>
          <w:rFonts w:eastAsiaTheme="minorEastAsia"/>
        </w:rPr>
        <w:fldChar w:fldCharType="end"/>
      </w:r>
      <w:r w:rsidR="006E1519">
        <w:rPr>
          <w:rFonts w:eastAsiaTheme="minorEastAsia"/>
        </w:rPr>
        <w:t>.</w:t>
      </w:r>
    </w:p>
    <w:p w14:paraId="7395659F" w14:textId="16C09A91" w:rsidR="004B7E0D" w:rsidRDefault="004B7E0D" w:rsidP="00B45E9B"/>
    <w:p w14:paraId="5143D1F6" w14:textId="77777777" w:rsidR="009A35C6" w:rsidRDefault="009A35C6" w:rsidP="00B45E9B">
      <w:pPr>
        <w:sectPr w:rsidR="009A35C6">
          <w:pgSz w:w="12240" w:h="15840"/>
          <w:pgMar w:top="1440" w:right="1440" w:bottom="1440" w:left="1440" w:header="720" w:footer="720" w:gutter="0"/>
          <w:cols w:space="720"/>
          <w:docGrid w:linePitch="360"/>
        </w:sectPr>
      </w:pPr>
    </w:p>
    <w:p w14:paraId="1C0BB3F7" w14:textId="77C4BA64" w:rsidR="004B7E0D" w:rsidRDefault="006E1519" w:rsidP="004B7E0D">
      <w:pPr>
        <w:pStyle w:val="Heading3"/>
      </w:pPr>
      <w:bookmarkStart w:id="23" w:name="_Net_Lifecycle_Electric_1"/>
      <w:bookmarkEnd w:id="23"/>
      <w:r>
        <w:lastRenderedPageBreak/>
        <w:t xml:space="preserve">Net </w:t>
      </w:r>
      <w:r w:rsidR="004B7E0D">
        <w:t>Lifecycle Electric NO</w:t>
      </w:r>
      <w:r w:rsidR="004B7E0D" w:rsidRPr="004B7E0D">
        <w:rPr>
          <w:vertAlign w:val="subscript"/>
        </w:rPr>
        <w:t>x</w:t>
      </w:r>
      <w:r w:rsidR="004B7E0D">
        <w:t xml:space="preserve"> Emissions Reductions (</w:t>
      </w:r>
      <w:proofErr w:type="spellStart"/>
      <w:r w:rsidR="004B7E0D" w:rsidRPr="004B7E0D">
        <w:rPr>
          <w:rStyle w:val="CodeObjectChar"/>
        </w:rPr>
        <w:t>NetElecNOxLifecycle</w:t>
      </w:r>
      <w:proofErr w:type="spellEnd"/>
      <w:r w:rsidR="004B7E0D">
        <w:t>):</w:t>
      </w:r>
    </w:p>
    <w:p w14:paraId="705F01C7" w14:textId="1E325D46" w:rsidR="00FD3299" w:rsidRPr="00EF60B0" w:rsidRDefault="009A4DF2" w:rsidP="00FD329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07D4242F" w14:textId="6D058771" w:rsidR="00FD3299" w:rsidRDefault="00FD3299" w:rsidP="00FD3299">
      <w:pPr>
        <w:pStyle w:val="Caption"/>
      </w:pPr>
      <w:r>
        <w:t xml:space="preserve">Equation </w:t>
      </w:r>
      <w:fldSimple w:instr=" SEQ Equation \* ARABIC ">
        <w:r w:rsidR="00552F8C">
          <w:rPr>
            <w:noProof/>
          </w:rPr>
          <w:t>13</w:t>
        </w:r>
      </w:fldSimple>
    </w:p>
    <w:p w14:paraId="0803DBE2" w14:textId="6F88FF4B" w:rsidR="004B7E0D" w:rsidRDefault="006E1519" w:rsidP="004B7E0D">
      <w:r>
        <w:t>Where</w:t>
      </w:r>
    </w:p>
    <w:p w14:paraId="75B6C519" w14:textId="22FE5ACC" w:rsidR="006E1519" w:rsidRDefault="009A4DF2" w:rsidP="006E1519">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oMath>
      <w:r w:rsidR="006E1519">
        <w:rPr>
          <w:rFonts w:eastAsiaTheme="minorEastAsia"/>
        </w:rPr>
        <w:t xml:space="preserve"> is the net NO</w:t>
      </w:r>
      <w:r w:rsidR="006E1519">
        <w:rPr>
          <w:rFonts w:eastAsiaTheme="minorEastAsia"/>
          <w:vertAlign w:val="subscript"/>
        </w:rPr>
        <w:t>x</w:t>
      </w:r>
      <w:r w:rsidR="006E1519">
        <w:rPr>
          <w:rFonts w:eastAsiaTheme="minorEastAsia"/>
        </w:rPr>
        <w:t xml:space="preserve"> emissions reductions in </w:t>
      </w:r>
      <w:proofErr w:type="spellStart"/>
      <w:r w:rsidR="006E1519">
        <w:rPr>
          <w:rFonts w:eastAsiaTheme="minorEastAsia"/>
        </w:rPr>
        <w:t>lbs</w:t>
      </w:r>
      <w:proofErr w:type="spellEnd"/>
      <w:r w:rsidR="006E1519">
        <w:rPr>
          <w:rFonts w:eastAsiaTheme="minorEastAsia"/>
        </w:rPr>
        <w:t xml:space="preserve"> of NO</w:t>
      </w:r>
      <w:r w:rsidR="006E1519">
        <w:rPr>
          <w:rFonts w:eastAsiaTheme="minorEastAsia"/>
          <w:vertAlign w:val="subscript"/>
        </w:rPr>
        <w:t>x</w:t>
      </w:r>
      <w:r w:rsidR="006E1519">
        <w:rPr>
          <w:rFonts w:eastAsiaTheme="minorEastAsia"/>
        </w:rPr>
        <w:t xml:space="preserve"> due to electric </w:t>
      </w:r>
      <w:r w:rsidR="00FD0557">
        <w:rPr>
          <w:rFonts w:eastAsiaTheme="minorEastAsia"/>
        </w:rPr>
        <w:t xml:space="preserve">energy </w:t>
      </w:r>
      <w:r w:rsidR="006E1519">
        <w:rPr>
          <w:rFonts w:eastAsiaTheme="minorEastAsia"/>
        </w:rPr>
        <w:t>savings</w:t>
      </w:r>
      <w:r w:rsidR="00FD0557">
        <w:rPr>
          <w:rFonts w:eastAsiaTheme="minorEastAsia"/>
        </w:rPr>
        <w:t xml:space="preserve"> throughout the measure’s </w:t>
      </w:r>
      <w:proofErr w:type="gramStart"/>
      <w:r w:rsidR="00FD0557">
        <w:rPr>
          <w:rFonts w:eastAsiaTheme="minorEastAsia"/>
        </w:rPr>
        <w:t>lifecycle</w:t>
      </w:r>
      <w:r w:rsidR="006E1519">
        <w:rPr>
          <w:rFonts w:eastAsiaTheme="minorEastAsia"/>
        </w:rPr>
        <w:t>.</w:t>
      </w:r>
      <w:proofErr w:type="gramEnd"/>
      <w:r w:rsidR="006E1519">
        <w:rPr>
          <w:rFonts w:eastAsiaTheme="minorEastAsia"/>
        </w:rPr>
        <w:t xml:space="preserve"> The </w:t>
      </w:r>
      <w:proofErr w:type="spellStart"/>
      <w:r w:rsidR="006E1519" w:rsidRPr="00BD3B41">
        <w:rPr>
          <w:rStyle w:val="CodeObjectChar"/>
        </w:rPr>
        <w:t>CalcEmissions</w:t>
      </w:r>
      <w:proofErr w:type="spellEnd"/>
      <w:r w:rsidR="006E1519">
        <w:rPr>
          <w:rFonts w:eastAsiaTheme="minorEastAsia"/>
        </w:rPr>
        <w:t xml:space="preserve"> procedure stores the calculated value to the </w:t>
      </w:r>
      <w:proofErr w:type="spellStart"/>
      <w:r w:rsidR="006E1519" w:rsidRPr="00BD3B41">
        <w:rPr>
          <w:rStyle w:val="CodeObjectChar"/>
        </w:rPr>
        <w:t>Net</w:t>
      </w:r>
      <w:r w:rsidR="00005937">
        <w:rPr>
          <w:rStyle w:val="CodeObjectChar"/>
        </w:rPr>
        <w:t>ElecNOxLifecycle</w:t>
      </w:r>
      <w:proofErr w:type="spellEnd"/>
      <w:r w:rsidR="006E1519">
        <w:rPr>
          <w:rFonts w:eastAsiaTheme="minorEastAsia"/>
        </w:rPr>
        <w:t xml:space="preserve"> field in the table </w:t>
      </w:r>
      <w:proofErr w:type="spellStart"/>
      <w:r w:rsidR="006E1519" w:rsidRPr="00BD3B41">
        <w:rPr>
          <w:rStyle w:val="CodeObjectChar"/>
        </w:rPr>
        <w:t>OutputEmissions</w:t>
      </w:r>
      <w:proofErr w:type="spellEnd"/>
      <w:r w:rsidR="006E1519">
        <w:rPr>
          <w:rFonts w:eastAsiaTheme="minorEastAsia"/>
        </w:rPr>
        <w:t>.</w:t>
      </w:r>
    </w:p>
    <w:p w14:paraId="0FF3AF67" w14:textId="44C6B75E" w:rsidR="00295C1E" w:rsidRDefault="009A4DF2" w:rsidP="006E1519">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295C1E">
        <w:rPr>
          <w:rFonts w:eastAsiaTheme="minorEastAsia"/>
        </w:rPr>
        <w:t>,</w:t>
      </w:r>
      <w:r w:rsidR="00874DDF">
        <w:rPr>
          <w:rFonts w:eastAsiaTheme="minorEastAsia"/>
        </w:rPr>
        <w:t xml:space="preserve"> </w:t>
      </w:r>
      <m:oMath>
        <m:r>
          <w:rPr>
            <w:rFonts w:ascii="Cambria Math" w:hAnsi="Cambria Math"/>
          </w:rPr>
          <m:t>q</m:t>
        </m:r>
      </m:oMath>
      <w:r w:rsidR="00874DDF">
        <w:rPr>
          <w:rFonts w:eastAsiaTheme="minorEastAsia"/>
        </w:rPr>
        <w:t>,</w:t>
      </w:r>
      <w:r w:rsidR="00295C1E">
        <w:rPr>
          <w:rFonts w:eastAsiaTheme="minorEastAsia"/>
        </w:rPr>
        <w:t xml:space="preserve"> </w:t>
      </w:r>
      <m:oMath>
        <m:r>
          <w:rPr>
            <w:rFonts w:ascii="Cambria Math" w:hAnsi="Cambria Math"/>
          </w:rPr>
          <m:t>IN</m:t>
        </m:r>
      </m:oMath>
      <w:r w:rsidR="00295C1E">
        <w:rPr>
          <w:rFonts w:eastAsiaTheme="minorEastAsia"/>
        </w:rPr>
        <w:t xml:space="preserve">, </w:t>
      </w: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sidR="00295C1E">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ME</m:t>
            </m:r>
          </m:sub>
        </m:sSub>
      </m:oMath>
      <w:r w:rsidR="00295C1E">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sidR="00295C1E">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sidR="00295C1E">
        <w:rPr>
          <w:rFonts w:eastAsiaTheme="minorEastAsia"/>
        </w:rPr>
        <w:t xml:space="preserve"> are as defined for </w:t>
      </w:r>
      <w:r w:rsidR="00295C1E">
        <w:rPr>
          <w:rFonts w:eastAsiaTheme="minorEastAsia"/>
        </w:rPr>
        <w:fldChar w:fldCharType="begin"/>
      </w:r>
      <w:r w:rsidR="00295C1E">
        <w:rPr>
          <w:rFonts w:eastAsiaTheme="minorEastAsia"/>
        </w:rPr>
        <w:instrText xml:space="preserve"> REF _Ref37692307 \h </w:instrText>
      </w:r>
      <w:r w:rsidR="00295C1E">
        <w:rPr>
          <w:rFonts w:eastAsiaTheme="minorEastAsia"/>
        </w:rPr>
      </w:r>
      <w:r w:rsidR="00295C1E">
        <w:rPr>
          <w:rFonts w:eastAsiaTheme="minorEastAsia"/>
        </w:rPr>
        <w:fldChar w:fldCharType="separate"/>
      </w:r>
      <w:r w:rsidR="00552F8C">
        <w:t xml:space="preserve">Equation </w:t>
      </w:r>
      <w:r w:rsidR="00552F8C">
        <w:rPr>
          <w:noProof/>
        </w:rPr>
        <w:t>1</w:t>
      </w:r>
      <w:r w:rsidR="00295C1E">
        <w:rPr>
          <w:rFonts w:eastAsiaTheme="minorEastAsia"/>
        </w:rPr>
        <w:fldChar w:fldCharType="end"/>
      </w:r>
      <w:r w:rsidR="00295C1E">
        <w:rPr>
          <w:rFonts w:eastAsiaTheme="minorEastAsia"/>
        </w:rPr>
        <w:t>.</w:t>
      </w:r>
    </w:p>
    <w:p w14:paraId="65EDFEBC" w14:textId="7F4D452E" w:rsidR="00295C1E" w:rsidRDefault="009A4DF2" w:rsidP="006E1519">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oMath>
      <w:r w:rsidR="00295C1E">
        <w:rPr>
          <w:rFonts w:eastAsiaTheme="minorEastAsia"/>
        </w:rPr>
        <w:t xml:space="preserve"> and </w:t>
      </w:r>
      <m:oMath>
        <m:sSub>
          <m:sSubPr>
            <m:ctrlPr>
              <w:rPr>
                <w:rFonts w:ascii="Cambria Math" w:hAnsi="Cambria Math"/>
                <w:i/>
              </w:rPr>
            </m:ctrlPr>
          </m:sSubPr>
          <m:e>
            <m:r>
              <w:rPr>
                <w:rFonts w:ascii="Cambria Math" w:hAnsi="Cambria Math"/>
              </w:rPr>
              <m:t>QS</m:t>
            </m:r>
          </m:e>
          <m:sub>
            <m:r>
              <w:rPr>
                <w:rFonts w:ascii="Cambria Math" w:hAnsi="Cambria Math"/>
              </w:rPr>
              <m:t>q</m:t>
            </m:r>
          </m:sub>
        </m:sSub>
      </m:oMath>
      <w:r w:rsidR="00295C1E">
        <w:rPr>
          <w:rFonts w:eastAsiaTheme="minorEastAsia"/>
        </w:rPr>
        <w:t xml:space="preserve"> are as defined for </w:t>
      </w:r>
      <w:r w:rsidR="00610A10">
        <w:rPr>
          <w:rFonts w:eastAsiaTheme="minorEastAsia"/>
        </w:rPr>
        <w:fldChar w:fldCharType="begin"/>
      </w:r>
      <w:r w:rsidR="00610A10">
        <w:rPr>
          <w:rFonts w:eastAsiaTheme="minorEastAsia"/>
        </w:rPr>
        <w:instrText xml:space="preserve"> REF _Ref38576746 \h </w:instrText>
      </w:r>
      <w:r w:rsidR="00610A10">
        <w:rPr>
          <w:rFonts w:eastAsiaTheme="minorEastAsia"/>
        </w:rPr>
      </w:r>
      <w:r w:rsidR="00610A10">
        <w:rPr>
          <w:rFonts w:eastAsiaTheme="minorEastAsia"/>
        </w:rPr>
        <w:fldChar w:fldCharType="separate"/>
      </w:r>
      <w:r w:rsidR="00552F8C">
        <w:t xml:space="preserve">Equation </w:t>
      </w:r>
      <w:r w:rsidR="00552F8C">
        <w:rPr>
          <w:noProof/>
        </w:rPr>
        <w:t>9</w:t>
      </w:r>
      <w:r w:rsidR="00610A10">
        <w:rPr>
          <w:rFonts w:eastAsiaTheme="minorEastAsia"/>
        </w:rPr>
        <w:fldChar w:fldCharType="end"/>
      </w:r>
      <w:r w:rsidR="00295C1E">
        <w:rPr>
          <w:rFonts w:eastAsiaTheme="minorEastAsia"/>
        </w:rPr>
        <w:t>.</w:t>
      </w:r>
    </w:p>
    <w:p w14:paraId="2CF6EA20" w14:textId="17808EAA" w:rsidR="009A35C6" w:rsidRPr="009A35C6" w:rsidRDefault="009A35C6" w:rsidP="009A35C6">
      <w:pPr>
        <w:rPr>
          <w:rFonts w:eastAsiaTheme="minorEastAsia"/>
        </w:rPr>
      </w:pPr>
    </w:p>
    <w:p w14:paraId="25EEC5D0"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171715B7" w14:textId="31FC16F3" w:rsidR="004B7E0D" w:rsidRDefault="006E1519" w:rsidP="004B7E0D">
      <w:pPr>
        <w:pStyle w:val="Heading3"/>
      </w:pPr>
      <w:bookmarkStart w:id="24" w:name="_Net_Lifecycle_Natural_1"/>
      <w:bookmarkEnd w:id="24"/>
      <w:r>
        <w:lastRenderedPageBreak/>
        <w:t xml:space="preserve">Net </w:t>
      </w:r>
      <w:r w:rsidR="004B7E0D">
        <w:t>Lifecycle Natural Gas NO</w:t>
      </w:r>
      <w:r w:rsidR="004B7E0D" w:rsidRPr="004B7E0D">
        <w:rPr>
          <w:vertAlign w:val="subscript"/>
        </w:rPr>
        <w:t>x</w:t>
      </w:r>
      <w:r w:rsidR="004B7E0D">
        <w:t xml:space="preserve"> Emissions Reductions (</w:t>
      </w:r>
      <w:proofErr w:type="spellStart"/>
      <w:r w:rsidR="004B7E0D" w:rsidRPr="004B7E0D">
        <w:rPr>
          <w:rStyle w:val="CodeObjectChar"/>
        </w:rPr>
        <w:t>NetGasNOxLifecycle</w:t>
      </w:r>
      <w:proofErr w:type="spellEnd"/>
      <w:r w:rsidR="004B7E0D">
        <w:t>):</w:t>
      </w:r>
    </w:p>
    <w:p w14:paraId="3F806810" w14:textId="374B9733" w:rsidR="00295C1E" w:rsidRPr="00EF60B0" w:rsidRDefault="009A4DF2" w:rsidP="00295C1E">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NTGR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B</m:t>
                          </m:r>
                        </m:e>
                        <m:sub>
                          <m:r>
                            <m:rPr>
                              <m:nor/>
                            </m:rPr>
                            <w:rPr>
                              <w:rFonts w:ascii="Cambria Math" w:hAnsi="Cambria Math"/>
                            </w:rPr>
                            <m:t>ME</m:t>
                          </m:r>
                        </m:sub>
                      </m:sSub>
                    </m:e>
                  </m:d>
                  <m:r>
                    <w:rPr>
                      <w:rFonts w:ascii="Cambria Math" w:hAnsi="Cambria Math"/>
                    </w:rPr>
                    <m:t>×</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e>
              </m:d>
            </m:e>
          </m:nary>
        </m:oMath>
      </m:oMathPara>
    </w:p>
    <w:p w14:paraId="3C25015C" w14:textId="4AD3C12C" w:rsidR="00295C1E" w:rsidRDefault="00295C1E" w:rsidP="00295C1E">
      <w:pPr>
        <w:pStyle w:val="Caption"/>
      </w:pPr>
      <w:r>
        <w:t xml:space="preserve">Equation </w:t>
      </w:r>
      <w:fldSimple w:instr=" SEQ Equation \* ARABIC ">
        <w:r w:rsidR="00552F8C">
          <w:rPr>
            <w:noProof/>
          </w:rPr>
          <w:t>14</w:t>
        </w:r>
      </w:fldSimple>
    </w:p>
    <w:p w14:paraId="72B1EE33" w14:textId="77777777" w:rsidR="00295C1E" w:rsidRDefault="00295C1E" w:rsidP="00295C1E">
      <w:r>
        <w:t>Where</w:t>
      </w:r>
    </w:p>
    <w:p w14:paraId="2F0C1B2E" w14:textId="14A9EAED" w:rsidR="00295C1E" w:rsidRDefault="009A4DF2" w:rsidP="00295C1E">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oMath>
      <w:r w:rsidR="00295C1E">
        <w:rPr>
          <w:rFonts w:eastAsiaTheme="minorEastAsia"/>
        </w:rPr>
        <w:t xml:space="preserve"> is the net NO</w:t>
      </w:r>
      <w:r w:rsidR="00295C1E">
        <w:rPr>
          <w:rFonts w:eastAsiaTheme="minorEastAsia"/>
          <w:vertAlign w:val="subscript"/>
        </w:rPr>
        <w:t>x</w:t>
      </w:r>
      <w:r w:rsidR="00295C1E">
        <w:rPr>
          <w:rFonts w:eastAsiaTheme="minorEastAsia"/>
        </w:rPr>
        <w:t xml:space="preserve"> emissions reductions in </w:t>
      </w:r>
      <w:proofErr w:type="spellStart"/>
      <w:r w:rsidR="00295C1E">
        <w:rPr>
          <w:rFonts w:eastAsiaTheme="minorEastAsia"/>
        </w:rPr>
        <w:t>lbs</w:t>
      </w:r>
      <w:proofErr w:type="spellEnd"/>
      <w:r w:rsidR="00295C1E">
        <w:rPr>
          <w:rFonts w:eastAsiaTheme="minorEastAsia"/>
        </w:rPr>
        <w:t xml:space="preserve"> of NO</w:t>
      </w:r>
      <w:r w:rsidR="00295C1E">
        <w:rPr>
          <w:rFonts w:eastAsiaTheme="minorEastAsia"/>
          <w:vertAlign w:val="subscript"/>
        </w:rPr>
        <w:t>x</w:t>
      </w:r>
      <w:r w:rsidR="00295C1E">
        <w:rPr>
          <w:rFonts w:eastAsiaTheme="minorEastAsia"/>
        </w:rPr>
        <w:t xml:space="preserve"> due to </w:t>
      </w:r>
      <w:r w:rsidR="007E5DF5">
        <w:rPr>
          <w:rFonts w:eastAsiaTheme="minorEastAsia"/>
        </w:rPr>
        <w:t>natural gas</w:t>
      </w:r>
      <w:r w:rsidR="00295C1E">
        <w:rPr>
          <w:rFonts w:eastAsiaTheme="minorEastAsia"/>
        </w:rPr>
        <w:t xml:space="preserve"> consumption savings</w:t>
      </w:r>
      <w:r w:rsidR="00FD0557">
        <w:rPr>
          <w:rFonts w:eastAsiaTheme="minorEastAsia"/>
        </w:rPr>
        <w:t xml:space="preserve"> throughout the measure’s </w:t>
      </w:r>
      <w:proofErr w:type="gramStart"/>
      <w:r w:rsidR="00FD0557">
        <w:rPr>
          <w:rFonts w:eastAsiaTheme="minorEastAsia"/>
        </w:rPr>
        <w:t>lifecycle</w:t>
      </w:r>
      <w:r w:rsidR="00295C1E">
        <w:rPr>
          <w:rFonts w:eastAsiaTheme="minorEastAsia"/>
        </w:rPr>
        <w:t>.</w:t>
      </w:r>
      <w:proofErr w:type="gramEnd"/>
      <w:r w:rsidR="00295C1E">
        <w:rPr>
          <w:rFonts w:eastAsiaTheme="minorEastAsia"/>
        </w:rPr>
        <w:t xml:space="preserve"> The </w:t>
      </w:r>
      <w:proofErr w:type="spellStart"/>
      <w:r w:rsidR="00295C1E" w:rsidRPr="00BD3B41">
        <w:rPr>
          <w:rStyle w:val="CodeObjectChar"/>
        </w:rPr>
        <w:t>CalcEmissions</w:t>
      </w:r>
      <w:proofErr w:type="spellEnd"/>
      <w:r w:rsidR="00295C1E">
        <w:rPr>
          <w:rFonts w:eastAsiaTheme="minorEastAsia"/>
        </w:rPr>
        <w:t xml:space="preserve"> procedure stores the calculated value to the </w:t>
      </w:r>
      <w:proofErr w:type="spellStart"/>
      <w:r w:rsidR="00295C1E" w:rsidRPr="00BD3B41">
        <w:rPr>
          <w:rStyle w:val="CodeObjectChar"/>
        </w:rPr>
        <w:t>NetGas</w:t>
      </w:r>
      <w:r w:rsidR="00005937">
        <w:rPr>
          <w:rStyle w:val="CodeObjectChar"/>
        </w:rPr>
        <w:t>NOxLifecycle</w:t>
      </w:r>
      <w:proofErr w:type="spellEnd"/>
      <w:r w:rsidR="00295C1E">
        <w:rPr>
          <w:rFonts w:eastAsiaTheme="minorEastAsia"/>
        </w:rPr>
        <w:t xml:space="preserve"> field in the table </w:t>
      </w:r>
      <w:proofErr w:type="spellStart"/>
      <w:r w:rsidR="00295C1E" w:rsidRPr="00BD3B41">
        <w:rPr>
          <w:rStyle w:val="CodeObjectChar"/>
        </w:rPr>
        <w:t>OutputEmissions</w:t>
      </w:r>
      <w:proofErr w:type="spellEnd"/>
      <w:r w:rsidR="00295C1E">
        <w:rPr>
          <w:rFonts w:eastAsiaTheme="minorEastAsia"/>
        </w:rPr>
        <w:t>.</w:t>
      </w:r>
    </w:p>
    <w:p w14:paraId="1C6172C9" w14:textId="5D97B666" w:rsidR="00610A10" w:rsidRDefault="009A4DF2" w:rsidP="00295C1E">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610A10">
        <w:rPr>
          <w:rFonts w:eastAsiaTheme="minorEastAsia"/>
        </w:rPr>
        <w:t xml:space="preserve">, </w:t>
      </w:r>
      <m:oMath>
        <m:r>
          <w:rPr>
            <w:rFonts w:ascii="Cambria Math" w:hAnsi="Cambria Math"/>
          </w:rPr>
          <m:t>q</m:t>
        </m:r>
      </m:oMath>
      <w:r w:rsidR="00610A10">
        <w:rPr>
          <w:rFonts w:eastAsiaTheme="minorEastAsia"/>
        </w:rPr>
        <w:t xml:space="preserve">, </w:t>
      </w:r>
      <m:oMath>
        <m:r>
          <w:rPr>
            <w:rFonts w:ascii="Cambria Math" w:hAnsi="Cambria Math"/>
          </w:rPr>
          <m:t>IN</m:t>
        </m:r>
      </m:oMath>
      <w:r w:rsidR="00610A10">
        <w:rPr>
          <w:rFonts w:eastAsiaTheme="minorEastAsia"/>
        </w:rPr>
        <w:t xml:space="preserve">, </w:t>
      </w:r>
      <w:r w:rsidR="007E5DF5">
        <w:rPr>
          <w:rFonts w:eastAsiaTheme="minorEastAsia"/>
        </w:rPr>
        <w:t xml:space="preserve">and </w:t>
      </w:r>
      <m:oMath>
        <m:sSub>
          <m:sSubPr>
            <m:ctrlPr>
              <w:rPr>
                <w:rFonts w:ascii="Cambria Math" w:hAnsi="Cambria Math"/>
                <w:i/>
              </w:rPr>
            </m:ctrlPr>
          </m:sSubPr>
          <m:e>
            <m:r>
              <w:rPr>
                <w:rFonts w:ascii="Cambria Math" w:hAnsi="Cambria Math"/>
              </w:rPr>
              <m:t>B</m:t>
            </m:r>
          </m:e>
          <m:sub>
            <m:r>
              <m:rPr>
                <m:nor/>
              </m:rPr>
              <w:rPr>
                <w:rFonts w:ascii="Cambria Math" w:hAnsi="Cambria Math"/>
              </w:rPr>
              <m:t>ME</m:t>
            </m:r>
          </m:sub>
        </m:sSub>
      </m:oMath>
      <w:r w:rsidR="007E5DF5">
        <w:rPr>
          <w:rFonts w:eastAsiaTheme="minorEastAsia"/>
        </w:rPr>
        <w:t xml:space="preserve"> are as defined for </w:t>
      </w:r>
      <w:r w:rsidR="007E5DF5">
        <w:rPr>
          <w:rFonts w:eastAsiaTheme="minorEastAsia"/>
        </w:rPr>
        <w:fldChar w:fldCharType="begin"/>
      </w:r>
      <w:r w:rsidR="007E5DF5">
        <w:rPr>
          <w:rFonts w:eastAsiaTheme="minorEastAsia"/>
        </w:rPr>
        <w:instrText xml:space="preserve"> REF _Ref37692307 \h </w:instrText>
      </w:r>
      <w:r w:rsidR="007E5DF5">
        <w:rPr>
          <w:rFonts w:eastAsiaTheme="minorEastAsia"/>
        </w:rPr>
      </w:r>
      <w:r w:rsidR="007E5DF5">
        <w:rPr>
          <w:rFonts w:eastAsiaTheme="minorEastAsia"/>
        </w:rPr>
        <w:fldChar w:fldCharType="separate"/>
      </w:r>
      <w:r w:rsidR="00552F8C">
        <w:t xml:space="preserve">Equation </w:t>
      </w:r>
      <w:r w:rsidR="00552F8C">
        <w:rPr>
          <w:noProof/>
        </w:rPr>
        <w:t>1</w:t>
      </w:r>
      <w:r w:rsidR="007E5DF5">
        <w:rPr>
          <w:rFonts w:eastAsiaTheme="minorEastAsia"/>
        </w:rPr>
        <w:fldChar w:fldCharType="end"/>
      </w:r>
      <w:r w:rsidR="007E5DF5">
        <w:rPr>
          <w:rFonts w:eastAsiaTheme="minorEastAsia"/>
        </w:rPr>
        <w:t>.</w:t>
      </w:r>
    </w:p>
    <w:p w14:paraId="6BA8D230" w14:textId="3D999DE0" w:rsidR="004B7E0D" w:rsidRDefault="009A4DF2" w:rsidP="007E5DF5">
      <w:pPr>
        <w:ind w:left="720"/>
        <w:rPr>
          <w:rFonts w:eastAsiaTheme="minorEastAsia"/>
        </w:rPr>
      </w:pPr>
      <m:oMath>
        <m:sSub>
          <m:sSubPr>
            <m:ctrlPr>
              <w:rPr>
                <w:rFonts w:ascii="Cambria Math" w:hAnsi="Cambria Math"/>
                <w:i/>
              </w:rPr>
            </m:ctrlPr>
          </m:sSubPr>
          <m:e>
            <m:r>
              <w:rPr>
                <w:rFonts w:ascii="Cambria Math" w:hAnsi="Cambria Math"/>
              </w:rPr>
              <m:t>NTGR</m:t>
            </m:r>
          </m:e>
          <m:sub>
            <m:r>
              <m:rPr>
                <m:nor/>
              </m:rPr>
              <w:rPr>
                <w:rFonts w:ascii="Cambria Math" w:hAnsi="Cambria Math"/>
              </w:rPr>
              <m:t>Therm</m:t>
            </m:r>
          </m:sub>
        </m:sSub>
      </m:oMath>
      <w:r w:rsidR="007E5DF5">
        <w:rPr>
          <w:rFonts w:eastAsiaTheme="minorEastAsia"/>
        </w:rPr>
        <w:t xml:space="preserve">, </w:t>
      </w: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7E5DF5">
        <w:rPr>
          <w:rFonts w:eastAsiaTheme="minorEastAsia"/>
        </w:rPr>
        <w:t xml:space="preserve">, and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7E5DF5">
        <w:rPr>
          <w:rFonts w:eastAsiaTheme="minorEastAsia"/>
        </w:rPr>
        <w:t xml:space="preserve"> are as defined for </w:t>
      </w:r>
      <w:r w:rsidR="007E5DF5">
        <w:rPr>
          <w:rFonts w:eastAsiaTheme="minorEastAsia"/>
        </w:rPr>
        <w:fldChar w:fldCharType="begin"/>
      </w:r>
      <w:r w:rsidR="007E5DF5">
        <w:rPr>
          <w:rFonts w:eastAsiaTheme="minorEastAsia"/>
        </w:rPr>
        <w:instrText xml:space="preserve"> REF _Ref37779223 \h </w:instrText>
      </w:r>
      <w:r w:rsidR="007E5DF5">
        <w:rPr>
          <w:rFonts w:eastAsiaTheme="minorEastAsia"/>
        </w:rPr>
      </w:r>
      <w:r w:rsidR="007E5DF5">
        <w:rPr>
          <w:rFonts w:eastAsiaTheme="minorEastAsia"/>
        </w:rPr>
        <w:fldChar w:fldCharType="separate"/>
      </w:r>
      <w:r w:rsidR="00552F8C">
        <w:t xml:space="preserve">Equation </w:t>
      </w:r>
      <w:r w:rsidR="00552F8C">
        <w:rPr>
          <w:noProof/>
        </w:rPr>
        <w:t>2</w:t>
      </w:r>
      <w:r w:rsidR="007E5DF5">
        <w:rPr>
          <w:rFonts w:eastAsiaTheme="minorEastAsia"/>
        </w:rPr>
        <w:fldChar w:fldCharType="end"/>
      </w:r>
      <w:r w:rsidR="007E5DF5">
        <w:rPr>
          <w:rFonts w:eastAsiaTheme="minorEastAsia"/>
        </w:rPr>
        <w:t>.</w:t>
      </w:r>
    </w:p>
    <w:p w14:paraId="34C04210" w14:textId="60505F06" w:rsidR="007E5DF5" w:rsidRDefault="009A4DF2" w:rsidP="007E5DF5">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oMath>
      <w:r w:rsidR="007E5DF5">
        <w:rPr>
          <w:rFonts w:eastAsiaTheme="minorEastAsia"/>
        </w:rPr>
        <w:t xml:space="preserve"> is as defined for </w:t>
      </w:r>
      <w:r w:rsidR="007E5DF5">
        <w:rPr>
          <w:rFonts w:eastAsiaTheme="minorEastAsia"/>
        </w:rPr>
        <w:fldChar w:fldCharType="begin"/>
      </w:r>
      <w:r w:rsidR="007E5DF5">
        <w:rPr>
          <w:rFonts w:eastAsiaTheme="minorEastAsia"/>
        </w:rPr>
        <w:instrText xml:space="preserve"> REF _Ref38576750 \h </w:instrText>
      </w:r>
      <w:r w:rsidR="007E5DF5">
        <w:rPr>
          <w:rFonts w:eastAsiaTheme="minorEastAsia"/>
        </w:rPr>
      </w:r>
      <w:r w:rsidR="007E5DF5">
        <w:rPr>
          <w:rFonts w:eastAsiaTheme="minorEastAsia"/>
        </w:rPr>
        <w:fldChar w:fldCharType="separate"/>
      </w:r>
      <w:r w:rsidR="00552F8C">
        <w:t xml:space="preserve">Equation </w:t>
      </w:r>
      <w:r w:rsidR="00552F8C">
        <w:rPr>
          <w:noProof/>
        </w:rPr>
        <w:t>10</w:t>
      </w:r>
      <w:r w:rsidR="007E5DF5">
        <w:rPr>
          <w:rFonts w:eastAsiaTheme="minorEastAsia"/>
        </w:rPr>
        <w:fldChar w:fldCharType="end"/>
      </w:r>
      <w:r w:rsidR="007E5DF5">
        <w:rPr>
          <w:rFonts w:eastAsiaTheme="minorEastAsia"/>
        </w:rPr>
        <w:t>.</w:t>
      </w:r>
    </w:p>
    <w:p w14:paraId="1BAD8165" w14:textId="6CCDF79E" w:rsidR="007E5DF5" w:rsidRDefault="009A4DF2" w:rsidP="007E5DF5">
      <w:pPr>
        <w:ind w:left="720"/>
        <w:rPr>
          <w:rFonts w:eastAsiaTheme="minorEastAsia"/>
        </w:rPr>
      </w:p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w:r w:rsidR="007E5DF5">
        <w:rPr>
          <w:rFonts w:eastAsiaTheme="minorEastAsia"/>
        </w:rPr>
        <w:t xml:space="preserve"> is as defined for </w:t>
      </w:r>
      <w:r w:rsidR="007E5DF5">
        <w:rPr>
          <w:rFonts w:eastAsiaTheme="minorEastAsia"/>
        </w:rPr>
        <w:fldChar w:fldCharType="begin"/>
      </w:r>
      <w:r w:rsidR="007E5DF5">
        <w:rPr>
          <w:rFonts w:eastAsiaTheme="minorEastAsia"/>
        </w:rPr>
        <w:instrText xml:space="preserve"> REF _Ref38576748 \h </w:instrText>
      </w:r>
      <w:r w:rsidR="007E5DF5">
        <w:rPr>
          <w:rFonts w:eastAsiaTheme="minorEastAsia"/>
        </w:rPr>
      </w:r>
      <w:r w:rsidR="007E5DF5">
        <w:rPr>
          <w:rFonts w:eastAsiaTheme="minorEastAsia"/>
        </w:rPr>
        <w:fldChar w:fldCharType="separate"/>
      </w:r>
      <w:r w:rsidR="00552F8C">
        <w:t xml:space="preserve">Equation </w:t>
      </w:r>
      <w:r w:rsidR="00552F8C">
        <w:rPr>
          <w:noProof/>
        </w:rPr>
        <w:t>6</w:t>
      </w:r>
      <w:r w:rsidR="007E5DF5">
        <w:rPr>
          <w:rFonts w:eastAsiaTheme="minorEastAsia"/>
        </w:rPr>
        <w:fldChar w:fldCharType="end"/>
      </w:r>
      <w:r w:rsidR="007E5DF5">
        <w:rPr>
          <w:rFonts w:eastAsiaTheme="minorEastAsia"/>
        </w:rPr>
        <w:t>.</w:t>
      </w:r>
    </w:p>
    <w:p w14:paraId="081EC004" w14:textId="1EB909A2" w:rsidR="009A35C6" w:rsidRPr="009A35C6" w:rsidRDefault="009A35C6" w:rsidP="009A35C6">
      <w:pPr>
        <w:rPr>
          <w:rFonts w:eastAsiaTheme="minorEastAsia"/>
        </w:rPr>
      </w:pPr>
    </w:p>
    <w:p w14:paraId="40F0A354"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46946AEE" w14:textId="1EECFB98" w:rsidR="004B7E0D" w:rsidRDefault="006E1519" w:rsidP="004B7E0D">
      <w:pPr>
        <w:pStyle w:val="Heading3"/>
      </w:pPr>
      <w:bookmarkStart w:id="25" w:name="_Gross_Lifecycle_Electric_1"/>
      <w:bookmarkEnd w:id="25"/>
      <w:r>
        <w:lastRenderedPageBreak/>
        <w:t xml:space="preserve">Gross </w:t>
      </w:r>
      <w:r w:rsidR="004B7E0D">
        <w:t>Lifecycle Electric NO</w:t>
      </w:r>
      <w:r w:rsidR="004B7E0D" w:rsidRPr="004B7E0D">
        <w:rPr>
          <w:vertAlign w:val="subscript"/>
        </w:rPr>
        <w:t>x</w:t>
      </w:r>
      <w:r w:rsidR="004B7E0D">
        <w:t xml:space="preserve"> Emissions </w:t>
      </w:r>
      <w:proofErr w:type="gramStart"/>
      <w:r w:rsidR="004B7E0D">
        <w:t>Reductions(</w:t>
      </w:r>
      <w:proofErr w:type="spellStart"/>
      <w:proofErr w:type="gramEnd"/>
      <w:r w:rsidR="004B7E0D" w:rsidRPr="004B7E0D">
        <w:rPr>
          <w:rStyle w:val="CodeObjectChar"/>
        </w:rPr>
        <w:t>GrossElecNOxLifecycle</w:t>
      </w:r>
      <w:proofErr w:type="spellEnd"/>
      <w:r w:rsidR="004B7E0D">
        <w:t>):</w:t>
      </w:r>
    </w:p>
    <w:p w14:paraId="707CE056" w14:textId="0302D047" w:rsidR="00FD3299" w:rsidRPr="00EF60B0" w:rsidRDefault="009A4DF2" w:rsidP="00FD329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sSub>
                    <m:sSubPr>
                      <m:ctrlPr>
                        <w:rPr>
                          <w:rFonts w:ascii="Cambria Math" w:hAnsi="Cambria Math"/>
                          <w:i/>
                        </w:rPr>
                      </m:ctrlPr>
                    </m:sSubPr>
                    <m:e>
                      <m:r>
                        <w:rPr>
                          <w:rFonts w:ascii="Cambria Math" w:hAnsi="Cambria Math"/>
                        </w:rPr>
                        <m:t>IR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kWh</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01B7251A" w14:textId="056FECF6" w:rsidR="00FD3299" w:rsidRDefault="00FD3299" w:rsidP="00FD3299">
      <w:pPr>
        <w:pStyle w:val="Caption"/>
      </w:pPr>
      <w:r>
        <w:t xml:space="preserve">Equation </w:t>
      </w:r>
      <w:fldSimple w:instr=" SEQ Equation \* ARABIC ">
        <w:r w:rsidR="00552F8C">
          <w:rPr>
            <w:noProof/>
          </w:rPr>
          <w:t>15</w:t>
        </w:r>
      </w:fldSimple>
    </w:p>
    <w:p w14:paraId="46D71117" w14:textId="3993DA82" w:rsidR="004B7E0D" w:rsidRDefault="00610A10" w:rsidP="004B7E0D">
      <w:r>
        <w:t>Where</w:t>
      </w:r>
    </w:p>
    <w:p w14:paraId="783275D4" w14:textId="340B54BB"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oMath>
      <w:r w:rsidR="00005937">
        <w:rPr>
          <w:rFonts w:eastAsiaTheme="minorEastAsia"/>
        </w:rPr>
        <w:t xml:space="preserve"> is the gross NO</w:t>
      </w:r>
      <w:r w:rsidR="00005937">
        <w:rPr>
          <w:rFonts w:eastAsiaTheme="minorEastAsia"/>
          <w:vertAlign w:val="subscript"/>
        </w:rPr>
        <w:t>x</w:t>
      </w:r>
      <w:r w:rsidR="00005937">
        <w:rPr>
          <w:rFonts w:eastAsiaTheme="minorEastAsia"/>
        </w:rPr>
        <w:t xml:space="preserve"> emissions reductions in </w:t>
      </w:r>
      <w:proofErr w:type="spellStart"/>
      <w:r w:rsidR="00005937">
        <w:rPr>
          <w:rFonts w:eastAsiaTheme="minorEastAsia"/>
        </w:rPr>
        <w:t>lbs</w:t>
      </w:r>
      <w:proofErr w:type="spellEnd"/>
      <w:r w:rsidR="00005937">
        <w:rPr>
          <w:rFonts w:eastAsiaTheme="minorEastAsia"/>
        </w:rPr>
        <w:t xml:space="preserve"> of NO</w:t>
      </w:r>
      <w:r w:rsidR="00005937">
        <w:rPr>
          <w:rFonts w:eastAsiaTheme="minorEastAsia"/>
          <w:vertAlign w:val="subscript"/>
        </w:rPr>
        <w:t>x</w:t>
      </w:r>
      <w:r w:rsidR="00005937">
        <w:rPr>
          <w:rFonts w:eastAsiaTheme="minorEastAsia"/>
        </w:rPr>
        <w:t xml:space="preserve"> due to electric energy savings</w:t>
      </w:r>
      <w:r w:rsidR="00FD0557">
        <w:rPr>
          <w:rFonts w:eastAsiaTheme="minorEastAsia"/>
        </w:rPr>
        <w:t xml:space="preserve"> throughout the measure’s </w:t>
      </w:r>
      <w:proofErr w:type="gramStart"/>
      <w:r w:rsidR="00FD0557">
        <w:rPr>
          <w:rFonts w:eastAsiaTheme="minorEastAsia"/>
        </w:rPr>
        <w:t>lifecycle</w:t>
      </w:r>
      <w:r w:rsidR="00005937">
        <w:rPr>
          <w:rFonts w:eastAsiaTheme="minorEastAsia"/>
        </w:rPr>
        <w:t>.</w:t>
      </w:r>
      <w:proofErr w:type="gramEnd"/>
      <w:r w:rsidR="00005937">
        <w:rPr>
          <w:rFonts w:eastAsiaTheme="minorEastAsia"/>
        </w:rPr>
        <w:t xml:space="preserve"> The </w:t>
      </w:r>
      <w:proofErr w:type="spellStart"/>
      <w:r w:rsidR="00005937" w:rsidRPr="00BD3B41">
        <w:rPr>
          <w:rStyle w:val="CodeObjectChar"/>
        </w:rPr>
        <w:t>CalcEmissions</w:t>
      </w:r>
      <w:proofErr w:type="spellEnd"/>
      <w:r w:rsidR="00005937">
        <w:rPr>
          <w:rFonts w:eastAsiaTheme="minorEastAsia"/>
        </w:rPr>
        <w:t xml:space="preserve"> procedure stores the calculated value to the </w:t>
      </w:r>
      <w:proofErr w:type="spellStart"/>
      <w:r w:rsidR="00005937">
        <w:rPr>
          <w:rStyle w:val="CodeObjectChar"/>
        </w:rPr>
        <w:t>GrossElecNOxLifecycle</w:t>
      </w:r>
      <w:proofErr w:type="spellEnd"/>
      <w:r w:rsidR="00005937">
        <w:rPr>
          <w:rFonts w:eastAsiaTheme="minorEastAsia"/>
        </w:rPr>
        <w:t xml:space="preserve"> field in the table </w:t>
      </w:r>
      <w:proofErr w:type="spellStart"/>
      <w:r w:rsidR="00005937" w:rsidRPr="00BD3B41">
        <w:rPr>
          <w:rStyle w:val="CodeObjectChar"/>
        </w:rPr>
        <w:t>OutputEmissions</w:t>
      </w:r>
      <w:proofErr w:type="spellEnd"/>
      <w:r w:rsidR="00005937">
        <w:rPr>
          <w:rFonts w:eastAsiaTheme="minorEastAsia"/>
        </w:rPr>
        <w:t>.</w:t>
      </w:r>
    </w:p>
    <w:p w14:paraId="65A92F8A" w14:textId="55C7A9CD" w:rsidR="00874DDF" w:rsidRDefault="009A4DF2" w:rsidP="00874DDF">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874DDF">
        <w:rPr>
          <w:rFonts w:eastAsiaTheme="minorEastAsia"/>
        </w:rPr>
        <w:t xml:space="preserve">, </w:t>
      </w:r>
      <m:oMath>
        <m:r>
          <w:rPr>
            <w:rFonts w:ascii="Cambria Math" w:hAnsi="Cambria Math"/>
          </w:rPr>
          <m:t>q</m:t>
        </m:r>
      </m:oMath>
      <w:r w:rsidR="00874DDF">
        <w:rPr>
          <w:rFonts w:eastAsiaTheme="minorEastAsia"/>
        </w:rPr>
        <w:t xml:space="preserve">, </w:t>
      </w:r>
      <m:oMath>
        <m:r>
          <w:rPr>
            <w:rFonts w:ascii="Cambria Math" w:hAnsi="Cambria Math"/>
          </w:rPr>
          <m:t>IN</m:t>
        </m:r>
      </m:oMath>
      <w:r w:rsidR="00874DDF">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sidR="00874DDF">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sidR="00874DDF">
        <w:rPr>
          <w:rFonts w:eastAsiaTheme="minorEastAsia"/>
        </w:rPr>
        <w:t xml:space="preserve"> are as defined for </w:t>
      </w:r>
      <w:r w:rsidR="00874DDF">
        <w:rPr>
          <w:rFonts w:eastAsiaTheme="minorEastAsia"/>
        </w:rPr>
        <w:fldChar w:fldCharType="begin"/>
      </w:r>
      <w:r w:rsidR="00874DDF">
        <w:rPr>
          <w:rFonts w:eastAsiaTheme="minorEastAsia"/>
        </w:rPr>
        <w:instrText xml:space="preserve"> REF _Ref37692307 \h </w:instrText>
      </w:r>
      <w:r w:rsidR="00874DDF">
        <w:rPr>
          <w:rFonts w:eastAsiaTheme="minorEastAsia"/>
        </w:rPr>
      </w:r>
      <w:r w:rsidR="00874DDF">
        <w:rPr>
          <w:rFonts w:eastAsiaTheme="minorEastAsia"/>
        </w:rPr>
        <w:fldChar w:fldCharType="separate"/>
      </w:r>
      <w:r w:rsidR="00552F8C">
        <w:t xml:space="preserve">Equation </w:t>
      </w:r>
      <w:r w:rsidR="00552F8C">
        <w:rPr>
          <w:noProof/>
        </w:rPr>
        <w:t>1</w:t>
      </w:r>
      <w:r w:rsidR="00874DDF">
        <w:rPr>
          <w:rFonts w:eastAsiaTheme="minorEastAsia"/>
        </w:rPr>
        <w:fldChar w:fldCharType="end"/>
      </w:r>
      <w:r w:rsidR="00874DDF">
        <w:rPr>
          <w:rFonts w:eastAsiaTheme="minorEastAsia"/>
        </w:rPr>
        <w:t>.</w:t>
      </w:r>
    </w:p>
    <w:p w14:paraId="31BE6798" w14:textId="5365FEC3" w:rsidR="00874DDF" w:rsidRDefault="009A4DF2" w:rsidP="00874DDF">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Elec</m:t>
            </m:r>
            <m:r>
              <w:rPr>
                <w:rFonts w:ascii="Cambria Math" w:hAnsi="Cambria Math"/>
              </w:rPr>
              <m:t>,q</m:t>
            </m:r>
          </m:sub>
        </m:sSub>
      </m:oMath>
      <w:r w:rsidR="00874DDF">
        <w:rPr>
          <w:rFonts w:eastAsiaTheme="minorEastAsia"/>
        </w:rPr>
        <w:t xml:space="preserve"> and </w:t>
      </w:r>
      <m:oMath>
        <m:sSub>
          <m:sSubPr>
            <m:ctrlPr>
              <w:rPr>
                <w:rFonts w:ascii="Cambria Math" w:hAnsi="Cambria Math"/>
                <w:i/>
              </w:rPr>
            </m:ctrlPr>
          </m:sSubPr>
          <m:e>
            <m:r>
              <w:rPr>
                <w:rFonts w:ascii="Cambria Math" w:hAnsi="Cambria Math"/>
              </w:rPr>
              <m:t>QS</m:t>
            </m:r>
          </m:e>
          <m:sub>
            <m:r>
              <w:rPr>
                <w:rFonts w:ascii="Cambria Math" w:hAnsi="Cambria Math"/>
              </w:rPr>
              <m:t>q</m:t>
            </m:r>
          </m:sub>
        </m:sSub>
      </m:oMath>
      <w:r w:rsidR="00874DDF">
        <w:rPr>
          <w:rFonts w:eastAsiaTheme="minorEastAsia"/>
        </w:rPr>
        <w:t xml:space="preserve"> are as defined for </w:t>
      </w:r>
      <w:r w:rsidR="00874DDF">
        <w:rPr>
          <w:rFonts w:eastAsiaTheme="minorEastAsia"/>
        </w:rPr>
        <w:fldChar w:fldCharType="begin"/>
      </w:r>
      <w:r w:rsidR="00874DDF">
        <w:rPr>
          <w:rFonts w:eastAsiaTheme="minorEastAsia"/>
        </w:rPr>
        <w:instrText xml:space="preserve"> REF _Ref38576746 \h </w:instrText>
      </w:r>
      <w:r w:rsidR="00874DDF">
        <w:rPr>
          <w:rFonts w:eastAsiaTheme="minorEastAsia"/>
        </w:rPr>
      </w:r>
      <w:r w:rsidR="00874DDF">
        <w:rPr>
          <w:rFonts w:eastAsiaTheme="minorEastAsia"/>
        </w:rPr>
        <w:fldChar w:fldCharType="separate"/>
      </w:r>
      <w:r w:rsidR="00552F8C">
        <w:t xml:space="preserve">Equation </w:t>
      </w:r>
      <w:r w:rsidR="00552F8C">
        <w:rPr>
          <w:noProof/>
        </w:rPr>
        <w:t>9</w:t>
      </w:r>
      <w:r w:rsidR="00874DDF">
        <w:rPr>
          <w:rFonts w:eastAsiaTheme="minorEastAsia"/>
        </w:rPr>
        <w:fldChar w:fldCharType="end"/>
      </w:r>
      <w:r w:rsidR="00874DDF">
        <w:rPr>
          <w:rFonts w:eastAsiaTheme="minorEastAsia"/>
        </w:rPr>
        <w:t>.</w:t>
      </w:r>
    </w:p>
    <w:p w14:paraId="7A5C3574" w14:textId="3E7BA4B1" w:rsidR="009A35C6" w:rsidRPr="009A35C6" w:rsidRDefault="009A35C6" w:rsidP="009A35C6">
      <w:pPr>
        <w:rPr>
          <w:rFonts w:eastAsiaTheme="minorEastAsia"/>
        </w:rPr>
      </w:pPr>
    </w:p>
    <w:p w14:paraId="116039DD"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43B77706" w14:textId="10014975" w:rsidR="004B7E0D" w:rsidRDefault="006E1519" w:rsidP="004B7E0D">
      <w:pPr>
        <w:pStyle w:val="Heading3"/>
      </w:pPr>
      <w:bookmarkStart w:id="26" w:name="_Gross_Lifecycle_Natural_1"/>
      <w:bookmarkEnd w:id="26"/>
      <w:r>
        <w:lastRenderedPageBreak/>
        <w:t xml:space="preserve">Gross </w:t>
      </w:r>
      <w:r w:rsidR="004B7E0D">
        <w:t>Lifecycle Natural Gas NO</w:t>
      </w:r>
      <w:r w:rsidR="004B7E0D" w:rsidRPr="004B7E0D">
        <w:rPr>
          <w:vertAlign w:val="subscript"/>
        </w:rPr>
        <w:t>x</w:t>
      </w:r>
      <w:r w:rsidR="004B7E0D">
        <w:t xml:space="preserve"> Emissions Reductions (</w:t>
      </w:r>
      <w:proofErr w:type="spellStart"/>
      <w:r w:rsidR="004B7E0D" w:rsidRPr="004B7E0D">
        <w:rPr>
          <w:rStyle w:val="CodeObjectChar"/>
        </w:rPr>
        <w:t>GrossGasNOxLifecycle</w:t>
      </w:r>
      <w:proofErr w:type="spellEnd"/>
      <w:r w:rsidR="004B7E0D">
        <w:t>):</w:t>
      </w:r>
    </w:p>
    <w:p w14:paraId="6A71634A" w14:textId="0EE49794" w:rsidR="00005937" w:rsidRPr="00EF60B0" w:rsidRDefault="009A4DF2" w:rsidP="00005937">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sSub>
                    <m:sSubPr>
                      <m:ctrlPr>
                        <w:rPr>
                          <w:rFonts w:ascii="Cambria Math" w:hAnsi="Cambria Math"/>
                          <w:i/>
                        </w:rPr>
                      </m:ctrlPr>
                    </m:sSubPr>
                    <m:e>
                      <m:r>
                        <w:rPr>
                          <w:rFonts w:ascii="Cambria Math" w:hAnsi="Cambria Math"/>
                        </w:rPr>
                        <m:t>IR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RR</m:t>
                      </m:r>
                    </m:e>
                    <m:sub>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Therm</m:t>
                      </m:r>
                    </m:sub>
                  </m:sSub>
                  <m:r>
                    <w:rPr>
                      <w:rFonts w:ascii="Cambria Math" w:hAnsi="Cambria Math"/>
                    </w:rPr>
                    <m:t>×</m:t>
                  </m:r>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e>
              </m:d>
            </m:e>
          </m:nary>
        </m:oMath>
      </m:oMathPara>
    </w:p>
    <w:p w14:paraId="1AFB0805" w14:textId="33FD0F85" w:rsidR="00005937" w:rsidRDefault="00005937" w:rsidP="00005937">
      <w:pPr>
        <w:pStyle w:val="Caption"/>
      </w:pPr>
      <w:r>
        <w:t xml:space="preserve">Equation </w:t>
      </w:r>
      <w:fldSimple w:instr=" SEQ Equation \* ARABIC ">
        <w:r w:rsidR="00552F8C">
          <w:rPr>
            <w:noProof/>
          </w:rPr>
          <w:t>16</w:t>
        </w:r>
      </w:fldSimple>
    </w:p>
    <w:p w14:paraId="2B6F5E24" w14:textId="77777777" w:rsidR="00005937" w:rsidRDefault="00005937" w:rsidP="00005937">
      <w:r>
        <w:t>Where</w:t>
      </w:r>
    </w:p>
    <w:p w14:paraId="6A7B5900" w14:textId="19BE06B2"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oMath>
      <w:r w:rsidR="00005937">
        <w:rPr>
          <w:rFonts w:eastAsiaTheme="minorEastAsia"/>
        </w:rPr>
        <w:t xml:space="preserve"> is the net NO</w:t>
      </w:r>
      <w:r w:rsidR="00005937">
        <w:rPr>
          <w:rFonts w:eastAsiaTheme="minorEastAsia"/>
          <w:vertAlign w:val="subscript"/>
        </w:rPr>
        <w:t>x</w:t>
      </w:r>
      <w:r w:rsidR="00005937">
        <w:rPr>
          <w:rFonts w:eastAsiaTheme="minorEastAsia"/>
        </w:rPr>
        <w:t xml:space="preserve"> emissions reductions in </w:t>
      </w:r>
      <w:proofErr w:type="spellStart"/>
      <w:r w:rsidR="00005937">
        <w:rPr>
          <w:rFonts w:eastAsiaTheme="minorEastAsia"/>
        </w:rPr>
        <w:t>lbs</w:t>
      </w:r>
      <w:proofErr w:type="spellEnd"/>
      <w:r w:rsidR="00005937">
        <w:rPr>
          <w:rFonts w:eastAsiaTheme="minorEastAsia"/>
        </w:rPr>
        <w:t xml:space="preserve"> of NO</w:t>
      </w:r>
      <w:r w:rsidR="00005937">
        <w:rPr>
          <w:rFonts w:eastAsiaTheme="minorEastAsia"/>
          <w:vertAlign w:val="subscript"/>
        </w:rPr>
        <w:t>x</w:t>
      </w:r>
      <w:r w:rsidR="00005937">
        <w:rPr>
          <w:rFonts w:eastAsiaTheme="minorEastAsia"/>
        </w:rPr>
        <w:t xml:space="preserve"> due to natural gas consumption savings</w:t>
      </w:r>
      <w:r w:rsidR="00FD0557">
        <w:rPr>
          <w:rFonts w:eastAsiaTheme="minorEastAsia"/>
        </w:rPr>
        <w:t xml:space="preserve"> throughout the measure’s </w:t>
      </w:r>
      <w:proofErr w:type="gramStart"/>
      <w:r w:rsidR="00FD0557">
        <w:rPr>
          <w:rFonts w:eastAsiaTheme="minorEastAsia"/>
        </w:rPr>
        <w:t>lifecycle</w:t>
      </w:r>
      <w:r w:rsidR="00005937">
        <w:rPr>
          <w:rFonts w:eastAsiaTheme="minorEastAsia"/>
        </w:rPr>
        <w:t>.</w:t>
      </w:r>
      <w:proofErr w:type="gramEnd"/>
      <w:r w:rsidR="00005937">
        <w:rPr>
          <w:rFonts w:eastAsiaTheme="minorEastAsia"/>
        </w:rPr>
        <w:t xml:space="preserve"> The </w:t>
      </w:r>
      <w:proofErr w:type="spellStart"/>
      <w:r w:rsidR="00005937" w:rsidRPr="00BD3B41">
        <w:rPr>
          <w:rStyle w:val="CodeObjectChar"/>
        </w:rPr>
        <w:t>CalcEmissions</w:t>
      </w:r>
      <w:proofErr w:type="spellEnd"/>
      <w:r w:rsidR="00005937">
        <w:rPr>
          <w:rFonts w:eastAsiaTheme="minorEastAsia"/>
        </w:rPr>
        <w:t xml:space="preserve"> procedure stores the calculated value to the </w:t>
      </w:r>
      <w:proofErr w:type="spellStart"/>
      <w:r w:rsidR="00005937">
        <w:rPr>
          <w:rStyle w:val="CodeObjectChar"/>
        </w:rPr>
        <w:t>Gross</w:t>
      </w:r>
      <w:r w:rsidR="00005937" w:rsidRPr="00BD3B41">
        <w:rPr>
          <w:rStyle w:val="CodeObjectChar"/>
        </w:rPr>
        <w:t>Gas</w:t>
      </w:r>
      <w:r w:rsidR="00005937">
        <w:rPr>
          <w:rStyle w:val="CodeObjectChar"/>
        </w:rPr>
        <w:t>NOxLifecycle</w:t>
      </w:r>
      <w:proofErr w:type="spellEnd"/>
      <w:r w:rsidR="00005937">
        <w:rPr>
          <w:rFonts w:eastAsiaTheme="minorEastAsia"/>
        </w:rPr>
        <w:t xml:space="preserve"> field in the table </w:t>
      </w:r>
      <w:proofErr w:type="spellStart"/>
      <w:r w:rsidR="00005937" w:rsidRPr="00BD3B41">
        <w:rPr>
          <w:rStyle w:val="CodeObjectChar"/>
        </w:rPr>
        <w:t>OutputEmissions</w:t>
      </w:r>
      <w:proofErr w:type="spellEnd"/>
      <w:r w:rsidR="00005937">
        <w:rPr>
          <w:rFonts w:eastAsiaTheme="minorEastAsia"/>
        </w:rPr>
        <w:t>.</w:t>
      </w:r>
    </w:p>
    <w:p w14:paraId="1912519C" w14:textId="045BB9E3"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sidR="00005937">
        <w:rPr>
          <w:rFonts w:eastAsiaTheme="minorEastAsia"/>
        </w:rPr>
        <w:t xml:space="preserve">, </w:t>
      </w:r>
      <m:oMath>
        <m:r>
          <w:rPr>
            <w:rFonts w:ascii="Cambria Math" w:hAnsi="Cambria Math"/>
          </w:rPr>
          <m:t>q</m:t>
        </m:r>
      </m:oMath>
      <w:r w:rsidR="00005937">
        <w:rPr>
          <w:rFonts w:eastAsiaTheme="minorEastAsia"/>
        </w:rPr>
        <w:t xml:space="preserve">, and </w:t>
      </w:r>
      <m:oMath>
        <m:r>
          <w:rPr>
            <w:rFonts w:ascii="Cambria Math" w:hAnsi="Cambria Math"/>
          </w:rPr>
          <m:t>IN</m:t>
        </m:r>
      </m:oMath>
      <w:r w:rsidR="00005937">
        <w:rPr>
          <w:rFonts w:eastAsiaTheme="minorEastAsia"/>
        </w:rPr>
        <w:t xml:space="preserve"> are as defined for </w:t>
      </w:r>
      <w:r w:rsidR="00005937">
        <w:rPr>
          <w:rFonts w:eastAsiaTheme="minorEastAsia"/>
        </w:rPr>
        <w:fldChar w:fldCharType="begin"/>
      </w:r>
      <w:r w:rsidR="00005937">
        <w:rPr>
          <w:rFonts w:eastAsiaTheme="minorEastAsia"/>
        </w:rPr>
        <w:instrText xml:space="preserve"> REF _Ref37692307 \h </w:instrText>
      </w:r>
      <w:r w:rsidR="00005937">
        <w:rPr>
          <w:rFonts w:eastAsiaTheme="minorEastAsia"/>
        </w:rPr>
      </w:r>
      <w:r w:rsidR="00005937">
        <w:rPr>
          <w:rFonts w:eastAsiaTheme="minorEastAsia"/>
        </w:rPr>
        <w:fldChar w:fldCharType="separate"/>
      </w:r>
      <w:r w:rsidR="00552F8C">
        <w:t xml:space="preserve">Equation </w:t>
      </w:r>
      <w:r w:rsidR="00552F8C">
        <w:rPr>
          <w:noProof/>
        </w:rPr>
        <w:t>1</w:t>
      </w:r>
      <w:r w:rsidR="00005937">
        <w:rPr>
          <w:rFonts w:eastAsiaTheme="minorEastAsia"/>
        </w:rPr>
        <w:fldChar w:fldCharType="end"/>
      </w:r>
      <w:r w:rsidR="00005937">
        <w:rPr>
          <w:rFonts w:eastAsiaTheme="minorEastAsia"/>
        </w:rPr>
        <w:t>.</w:t>
      </w:r>
    </w:p>
    <w:p w14:paraId="6ED183C4" w14:textId="4579C3EC"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IR</m:t>
            </m:r>
          </m:e>
          <m:sub>
            <m:r>
              <m:rPr>
                <m:nor/>
              </m:rPr>
              <w:rPr>
                <w:rFonts w:ascii="Cambria Math" w:hAnsi="Cambria Math"/>
              </w:rPr>
              <m:t>Therm</m:t>
            </m:r>
          </m:sub>
        </m:sSub>
      </m:oMath>
      <w:r w:rsidR="00005937">
        <w:rPr>
          <w:rFonts w:eastAsiaTheme="minorEastAsia"/>
        </w:rPr>
        <w:t xml:space="preserve">, and </w:t>
      </w:r>
      <m:oMath>
        <m:sSub>
          <m:sSubPr>
            <m:ctrlPr>
              <w:rPr>
                <w:rFonts w:ascii="Cambria Math" w:hAnsi="Cambria Math"/>
                <w:i/>
              </w:rPr>
            </m:ctrlPr>
          </m:sSubPr>
          <m:e>
            <m:r>
              <w:rPr>
                <w:rFonts w:ascii="Cambria Math" w:hAnsi="Cambria Math"/>
              </w:rPr>
              <m:t>RR</m:t>
            </m:r>
          </m:e>
          <m:sub>
            <m:r>
              <m:rPr>
                <m:nor/>
              </m:rPr>
              <w:rPr>
                <w:rFonts w:ascii="Cambria Math" w:hAnsi="Cambria Math"/>
              </w:rPr>
              <m:t>Therm</m:t>
            </m:r>
          </m:sub>
        </m:sSub>
      </m:oMath>
      <w:r w:rsidR="00005937">
        <w:rPr>
          <w:rFonts w:eastAsiaTheme="minorEastAsia"/>
        </w:rPr>
        <w:t xml:space="preserve"> are as defined for </w:t>
      </w:r>
      <w:r w:rsidR="00005937">
        <w:rPr>
          <w:rFonts w:eastAsiaTheme="minorEastAsia"/>
        </w:rPr>
        <w:fldChar w:fldCharType="begin"/>
      </w:r>
      <w:r w:rsidR="00005937">
        <w:rPr>
          <w:rFonts w:eastAsiaTheme="minorEastAsia"/>
        </w:rPr>
        <w:instrText xml:space="preserve"> REF _Ref37779223 \h </w:instrText>
      </w:r>
      <w:r w:rsidR="00005937">
        <w:rPr>
          <w:rFonts w:eastAsiaTheme="minorEastAsia"/>
        </w:rPr>
      </w:r>
      <w:r w:rsidR="00005937">
        <w:rPr>
          <w:rFonts w:eastAsiaTheme="minorEastAsia"/>
        </w:rPr>
        <w:fldChar w:fldCharType="separate"/>
      </w:r>
      <w:r w:rsidR="00552F8C">
        <w:t xml:space="preserve">Equation </w:t>
      </w:r>
      <w:r w:rsidR="00552F8C">
        <w:rPr>
          <w:noProof/>
        </w:rPr>
        <w:t>2</w:t>
      </w:r>
      <w:r w:rsidR="00005937">
        <w:rPr>
          <w:rFonts w:eastAsiaTheme="minorEastAsia"/>
        </w:rPr>
        <w:fldChar w:fldCharType="end"/>
      </w:r>
      <w:r w:rsidR="00005937">
        <w:rPr>
          <w:rFonts w:eastAsiaTheme="minorEastAsia"/>
        </w:rPr>
        <w:t>.</w:t>
      </w:r>
    </w:p>
    <w:p w14:paraId="76B8FBF2" w14:textId="07D91C9E"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ER</m:t>
            </m:r>
          </m:e>
          <m:sub>
            <m:sSub>
              <m:sSubPr>
                <m:ctrlPr>
                  <w:rPr>
                    <w:rFonts w:ascii="Cambria Math" w:hAnsi="Cambria Math"/>
                    <w:i/>
                  </w:rPr>
                </m:ctrlPr>
              </m:sSubPr>
              <m:e>
                <m:r>
                  <m:rPr>
                    <m:nor/>
                  </m:rPr>
                  <w:rPr>
                    <w:rFonts w:ascii="Cambria Math" w:hAnsi="Cambria Math"/>
                  </w:rPr>
                  <m:t>NO</m:t>
                </m:r>
              </m:e>
              <m:sub>
                <m:r>
                  <m:rPr>
                    <m:nor/>
                  </m:rPr>
                  <w:rPr>
                    <w:rFonts w:ascii="Cambria Math" w:hAnsi="Cambria Math"/>
                  </w:rPr>
                  <m:t>x</m:t>
                </m:r>
              </m:sub>
            </m:sSub>
            <m:r>
              <w:rPr>
                <w:rFonts w:ascii="Cambria Math" w:hAnsi="Cambria Math"/>
              </w:rPr>
              <m:t>,</m:t>
            </m:r>
            <m:r>
              <m:rPr>
                <m:nor/>
              </m:rPr>
              <w:rPr>
                <w:rFonts w:ascii="Cambria Math" w:hAnsi="Cambria Math"/>
              </w:rPr>
              <m:t>NG</m:t>
            </m:r>
          </m:sub>
        </m:sSub>
      </m:oMath>
      <w:r w:rsidR="00005937">
        <w:rPr>
          <w:rFonts w:eastAsiaTheme="minorEastAsia"/>
        </w:rPr>
        <w:t xml:space="preserve"> is as defined for </w:t>
      </w:r>
      <w:r w:rsidR="00005937">
        <w:rPr>
          <w:rFonts w:eastAsiaTheme="minorEastAsia"/>
        </w:rPr>
        <w:fldChar w:fldCharType="begin"/>
      </w:r>
      <w:r w:rsidR="00005937">
        <w:rPr>
          <w:rFonts w:eastAsiaTheme="minorEastAsia"/>
        </w:rPr>
        <w:instrText xml:space="preserve"> REF _Ref38576750 \h </w:instrText>
      </w:r>
      <w:r w:rsidR="00005937">
        <w:rPr>
          <w:rFonts w:eastAsiaTheme="minorEastAsia"/>
        </w:rPr>
      </w:r>
      <w:r w:rsidR="00005937">
        <w:rPr>
          <w:rFonts w:eastAsiaTheme="minorEastAsia"/>
        </w:rPr>
        <w:fldChar w:fldCharType="separate"/>
      </w:r>
      <w:r w:rsidR="00552F8C">
        <w:t xml:space="preserve">Equation </w:t>
      </w:r>
      <w:r w:rsidR="00552F8C">
        <w:rPr>
          <w:noProof/>
        </w:rPr>
        <w:t>10</w:t>
      </w:r>
      <w:r w:rsidR="00005937">
        <w:rPr>
          <w:rFonts w:eastAsiaTheme="minorEastAsia"/>
        </w:rPr>
        <w:fldChar w:fldCharType="end"/>
      </w:r>
      <w:r w:rsidR="00005937">
        <w:rPr>
          <w:rFonts w:eastAsiaTheme="minorEastAsia"/>
        </w:rPr>
        <w:t>.</w:t>
      </w:r>
    </w:p>
    <w:p w14:paraId="31A67BF6" w14:textId="05E4BD0A" w:rsidR="00005937" w:rsidRDefault="009A4DF2" w:rsidP="00005937">
      <w:pPr>
        <w:ind w:left="720"/>
        <w:rPr>
          <w:rFonts w:eastAsiaTheme="minorEastAsia"/>
        </w:rPr>
      </w:pPr>
      <m:oMath>
        <m:sSub>
          <m:sSubPr>
            <m:ctrlPr>
              <w:rPr>
                <w:rFonts w:ascii="Cambria Math" w:hAnsi="Cambria Math"/>
                <w:i/>
              </w:rPr>
            </m:ctrlPr>
          </m:sSubPr>
          <m:e>
            <m:r>
              <w:rPr>
                <w:rFonts w:ascii="Cambria Math" w:hAnsi="Cambria Math"/>
              </w:rPr>
              <m:t>S</m:t>
            </m:r>
          </m:e>
          <m:sub>
            <m:r>
              <m:rPr>
                <m:nor/>
              </m:rPr>
              <w:rPr>
                <w:rFonts w:ascii="Cambria Math" w:hAnsi="Cambria Math"/>
              </w:rPr>
              <m:t>NG</m:t>
            </m:r>
            <m:r>
              <w:rPr>
                <w:rFonts w:ascii="Cambria Math" w:hAnsi="Cambria Math"/>
              </w:rPr>
              <m:t>,</m:t>
            </m:r>
            <m:r>
              <m:rPr>
                <m:nor/>
              </m:rPr>
              <w:rPr>
                <w:rFonts w:ascii="Cambria Math" w:hAnsi="Cambria Math"/>
              </w:rPr>
              <m:t>LC</m:t>
            </m:r>
          </m:sub>
        </m:sSub>
      </m:oMath>
      <w:r w:rsidR="00005937">
        <w:rPr>
          <w:rFonts w:eastAsiaTheme="minorEastAsia"/>
        </w:rPr>
        <w:t xml:space="preserve"> is as defined for </w:t>
      </w:r>
      <w:r w:rsidR="00005937">
        <w:rPr>
          <w:rFonts w:eastAsiaTheme="minorEastAsia"/>
        </w:rPr>
        <w:fldChar w:fldCharType="begin"/>
      </w:r>
      <w:r w:rsidR="00005937">
        <w:rPr>
          <w:rFonts w:eastAsiaTheme="minorEastAsia"/>
        </w:rPr>
        <w:instrText xml:space="preserve"> REF _Ref38576748 \h </w:instrText>
      </w:r>
      <w:r w:rsidR="00005937">
        <w:rPr>
          <w:rFonts w:eastAsiaTheme="minorEastAsia"/>
        </w:rPr>
      </w:r>
      <w:r w:rsidR="00005937">
        <w:rPr>
          <w:rFonts w:eastAsiaTheme="minorEastAsia"/>
        </w:rPr>
        <w:fldChar w:fldCharType="separate"/>
      </w:r>
      <w:r w:rsidR="00552F8C">
        <w:t xml:space="preserve">Equation </w:t>
      </w:r>
      <w:r w:rsidR="00552F8C">
        <w:rPr>
          <w:noProof/>
        </w:rPr>
        <w:t>6</w:t>
      </w:r>
      <w:r w:rsidR="00005937">
        <w:rPr>
          <w:rFonts w:eastAsiaTheme="minorEastAsia"/>
        </w:rPr>
        <w:fldChar w:fldCharType="end"/>
      </w:r>
      <w:r w:rsidR="00005937">
        <w:rPr>
          <w:rFonts w:eastAsiaTheme="minorEastAsia"/>
        </w:rPr>
        <w:t>.</w:t>
      </w:r>
    </w:p>
    <w:p w14:paraId="7D685928" w14:textId="27314187" w:rsidR="009A35C6" w:rsidRPr="009A35C6" w:rsidRDefault="009A35C6" w:rsidP="009A35C6">
      <w:pPr>
        <w:rPr>
          <w:rFonts w:eastAsiaTheme="minorEastAsia"/>
        </w:rPr>
      </w:pPr>
    </w:p>
    <w:p w14:paraId="56129D00"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657CD204" w14:textId="77777777" w:rsidR="00594DB0" w:rsidRDefault="00594DB0" w:rsidP="00594DB0">
      <w:pPr>
        <w:pStyle w:val="Heading2"/>
      </w:pPr>
      <w:r>
        <w:lastRenderedPageBreak/>
        <w:t>NOx</w:t>
      </w:r>
    </w:p>
    <w:p w14:paraId="0091D593" w14:textId="52CB6440" w:rsidR="00594DB0" w:rsidRDefault="00594DB0" w:rsidP="00594DB0">
      <w:r>
        <w:t xml:space="preserve">The </w:t>
      </w:r>
      <w:proofErr w:type="spellStart"/>
      <w:r>
        <w:t>CalcEmissions</w:t>
      </w:r>
      <w:proofErr w:type="spellEnd"/>
      <w:r>
        <w:t xml:space="preserve"> procedure calculates </w:t>
      </w:r>
      <w:r>
        <w:t>10-micron particulate matter</w:t>
      </w:r>
      <w:r>
        <w:t xml:space="preserve"> </w:t>
      </w:r>
      <w:r>
        <w:t xml:space="preserve">(PM-10) </w:t>
      </w:r>
      <w:r>
        <w:t xml:space="preserve">emissions reductions in units of </w:t>
      </w:r>
      <w:proofErr w:type="spellStart"/>
      <w:r>
        <w:t>lbs</w:t>
      </w:r>
      <w:proofErr w:type="spellEnd"/>
      <w:r>
        <w:t xml:space="preserve"> of </w:t>
      </w:r>
      <w:r>
        <w:t>PM-10</w:t>
      </w:r>
      <w:r>
        <w:t xml:space="preserve">. Emissions reductions are </w:t>
      </w:r>
      <w:proofErr w:type="spellStart"/>
      <w:r>
        <w:t>calcuted</w:t>
      </w:r>
      <w:proofErr w:type="spellEnd"/>
      <w:r>
        <w:t xml:space="preserve"> based on user input electric energy savings, stored </w:t>
      </w:r>
      <w:r>
        <w:t>PM-10</w:t>
      </w:r>
      <w:r>
        <w:t xml:space="preserve"> emissions rates for electric energy usage, and several energy efficiency measure parameters: Realization Rate, Installation Rate, Net-to-Gross Ratio and Market Effects </w:t>
      </w:r>
      <w:proofErr w:type="gramStart"/>
      <w:r>
        <w:t>Benefits, and</w:t>
      </w:r>
      <w:proofErr w:type="gramEnd"/>
      <w:r>
        <w:t xml:space="preserve"> Remaining and Expected Useful Life. Net and gross quarterly electric energy savings rate values are evaluated for each quarter throughout the measure’s lifecycle—for single baseline measures, the savings rate is constant throughout; for dual baseline measures (i.e., Accelerated Replacement), the calculations apply the appropriate annual savings rate based on the measure’s Remaining Useful Life. In cases where the Remaining or Expected Useful Life is not divisible evenly into quarters, the applicable quarter’s quarterly electric energy savings rate is interpolated based on the fraction of the quarter within the first or second baseline, or after. </w:t>
      </w:r>
      <w:r>
        <w:t>PM-10</w:t>
      </w:r>
      <w:r>
        <w:t xml:space="preserve"> emissions reductions </w:t>
      </w:r>
      <w:r>
        <w:t xml:space="preserve">are not calculated for </w:t>
      </w:r>
      <w:r>
        <w:t>natural gas energy savings.</w:t>
      </w:r>
    </w:p>
    <w:p w14:paraId="75BB0E03" w14:textId="231DE098" w:rsidR="00594DB0" w:rsidRDefault="00594DB0" w:rsidP="00594DB0">
      <w:r>
        <w:t xml:space="preserve">The equations for each emissions reduction calculation are presented below. Each equation is applied to a single row in the </w:t>
      </w:r>
      <w:proofErr w:type="spellStart"/>
      <w:r w:rsidRPr="000B5693">
        <w:rPr>
          <w:rStyle w:val="CodeObjectChar"/>
        </w:rPr>
        <w:t>InputMeasure</w:t>
      </w:r>
      <w:proofErr w:type="spellEnd"/>
      <w:r>
        <w:t xml:space="preserve"> table. This table contains a unique identifier in the field </w:t>
      </w:r>
      <w:r w:rsidRPr="00C032A8">
        <w:rPr>
          <w:rStyle w:val="CodeObjectChar"/>
        </w:rPr>
        <w:t>CET_ID</w:t>
      </w:r>
      <w:r>
        <w:t xml:space="preserve">, copied to the </w:t>
      </w:r>
      <w:proofErr w:type="spellStart"/>
      <w:r w:rsidRPr="00C032A8">
        <w:rPr>
          <w:rStyle w:val="CodeObjectChar"/>
        </w:rPr>
        <w:t>OutputTable</w:t>
      </w:r>
      <w:proofErr w:type="spellEnd"/>
      <w:r>
        <w:t>. The CET uses the unique identifier to match various procedure results in the final CET outputs.</w:t>
      </w:r>
    </w:p>
    <w:p w14:paraId="4C3DE7A8" w14:textId="7DECF9F6" w:rsidR="009A35C6" w:rsidRDefault="009A35C6" w:rsidP="00594DB0"/>
    <w:p w14:paraId="1BC8C299" w14:textId="77777777" w:rsidR="009A35C6" w:rsidRDefault="009A35C6" w:rsidP="00594DB0">
      <w:pPr>
        <w:sectPr w:rsidR="009A35C6">
          <w:pgSz w:w="12240" w:h="15840"/>
          <w:pgMar w:top="1440" w:right="1440" w:bottom="1440" w:left="1440" w:header="720" w:footer="720" w:gutter="0"/>
          <w:cols w:space="720"/>
          <w:docGrid w:linePitch="360"/>
        </w:sectPr>
      </w:pPr>
    </w:p>
    <w:p w14:paraId="23E5D354" w14:textId="11D000CA" w:rsidR="004B7E0D" w:rsidRDefault="006E1519" w:rsidP="004B7E0D">
      <w:pPr>
        <w:pStyle w:val="Heading3"/>
      </w:pPr>
      <w:bookmarkStart w:id="27" w:name="_Net_First_Year_2"/>
      <w:bookmarkEnd w:id="27"/>
      <w:r>
        <w:lastRenderedPageBreak/>
        <w:t xml:space="preserve">Net </w:t>
      </w:r>
      <w:r w:rsidR="004B7E0D">
        <w:t>First Year Electric PM-10 Emissions Reductions (</w:t>
      </w:r>
      <w:r w:rsidR="004B7E0D" w:rsidRPr="004B7E0D">
        <w:rPr>
          <w:rStyle w:val="CodeObjectChar"/>
        </w:rPr>
        <w:t>NetElec</w:t>
      </w:r>
      <w:r w:rsidR="004B7E0D">
        <w:rPr>
          <w:rStyle w:val="CodeObjectChar"/>
        </w:rPr>
        <w:t>PM10</w:t>
      </w:r>
      <w:r w:rsidR="004B7E0D">
        <w:t>):</w:t>
      </w:r>
    </w:p>
    <w:p w14:paraId="77474677" w14:textId="59031AE7" w:rsidR="004C1D00" w:rsidRPr="00EF60B0" w:rsidRDefault="009A4DF2" w:rsidP="004C1D00">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m:t>
                  </m:r>
                  <m:d>
                    <m:dPr>
                      <m:ctrlPr>
                        <w:rPr>
                          <w:rFonts w:ascii="Cambria Math" w:hAnsi="Cambria Math"/>
                          <w:i/>
                        </w:rPr>
                      </m:ctrlPr>
                    </m:dPr>
                    <m:e>
                      <m:r>
                        <w:rPr>
                          <w:rFonts w:ascii="Cambria Math" w:hAnsi="Cambria Math"/>
                        </w:rPr>
                        <m:t>NTGR+</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×IR×RR×</m:t>
                  </m:r>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04672DC8" w14:textId="1C5E5B3F" w:rsidR="004C1D00" w:rsidRDefault="004C1D00" w:rsidP="004C1D00">
      <w:pPr>
        <w:pStyle w:val="Caption"/>
      </w:pPr>
      <w:bookmarkStart w:id="28" w:name="_Ref38903752"/>
      <w:r>
        <w:t xml:space="preserve">Equation </w:t>
      </w:r>
      <w:fldSimple w:instr=" SEQ Equation \* ARABIC ">
        <w:r w:rsidR="00552F8C">
          <w:rPr>
            <w:noProof/>
          </w:rPr>
          <w:t>17</w:t>
        </w:r>
      </w:fldSimple>
      <w:bookmarkEnd w:id="28"/>
    </w:p>
    <w:p w14:paraId="449F0119" w14:textId="3DF792EF" w:rsidR="004B34D7" w:rsidRDefault="004B34D7" w:rsidP="004B34D7">
      <w:r>
        <w:t>Where</w:t>
      </w:r>
    </w:p>
    <w:p w14:paraId="7A2EC898" w14:textId="07864202" w:rsidR="004B34D7" w:rsidRDefault="004B34D7" w:rsidP="004B34D7">
      <w:pPr>
        <w:ind w:left="720"/>
        <w:rPr>
          <w:rFonts w:eastAsiaTheme="minorEastAsia"/>
        </w:rPr>
      </w:p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Y1</m:t>
            </m:r>
          </m:sub>
        </m:sSub>
      </m:oMath>
      <w:r>
        <w:rPr>
          <w:rFonts w:eastAsiaTheme="minorEastAsia"/>
        </w:rPr>
        <w:t xml:space="preserve"> is the net particulate emissions reductions in </w:t>
      </w:r>
      <w:proofErr w:type="spellStart"/>
      <w:r>
        <w:rPr>
          <w:rFonts w:eastAsiaTheme="minorEastAsia"/>
        </w:rPr>
        <w:t>lbs</w:t>
      </w:r>
      <w:proofErr w:type="spellEnd"/>
      <w:r>
        <w:rPr>
          <w:rFonts w:eastAsiaTheme="minorEastAsia"/>
        </w:rPr>
        <w:t xml:space="preserve"> of PM-10 due to electric energy savings in the first year after </w:t>
      </w:r>
      <w:proofErr w:type="gramStart"/>
      <w:r>
        <w:rPr>
          <w:rFonts w:eastAsiaTheme="minorEastAsia"/>
        </w:rPr>
        <w:t>installation.</w:t>
      </w:r>
      <w:proofErr w:type="gramEnd"/>
      <w:r>
        <w:rPr>
          <w:rFonts w:eastAsiaTheme="minorEastAsia"/>
        </w:rPr>
        <w:t xml:space="preserve"> The </w:t>
      </w:r>
      <w:proofErr w:type="spellStart"/>
      <w:r w:rsidRPr="00BD3B41">
        <w:rPr>
          <w:rStyle w:val="CodeObjectChar"/>
        </w:rPr>
        <w:t>CalcEmissions</w:t>
      </w:r>
      <w:proofErr w:type="spellEnd"/>
      <w:r>
        <w:rPr>
          <w:rFonts w:eastAsiaTheme="minorEastAsia"/>
        </w:rPr>
        <w:t xml:space="preserve"> procedure stores the calculated value to the </w:t>
      </w:r>
      <w:r>
        <w:rPr>
          <w:rStyle w:val="CodeObjectChar"/>
        </w:rPr>
        <w:t>NetElecPM10</w:t>
      </w:r>
      <w:r>
        <w:rPr>
          <w:rFonts w:eastAsiaTheme="minorEastAsia"/>
        </w:rPr>
        <w:t xml:space="preserve"> field in the table </w:t>
      </w:r>
      <w:proofErr w:type="spellStart"/>
      <w:r w:rsidRPr="00BD3B41">
        <w:rPr>
          <w:rStyle w:val="CodeObjectChar"/>
        </w:rPr>
        <w:t>OutputEmissions</w:t>
      </w:r>
      <w:proofErr w:type="spellEnd"/>
      <w:r>
        <w:rPr>
          <w:rFonts w:eastAsiaTheme="minorEastAsia"/>
        </w:rPr>
        <w:t>.</w:t>
      </w:r>
    </w:p>
    <w:p w14:paraId="2C9D0750" w14:textId="5CA99ADB" w:rsidR="004B34D7" w:rsidRDefault="004B34D7" w:rsidP="004B34D7">
      <w:pPr>
        <w:ind w:left="720"/>
        <w:rPr>
          <w:rFonts w:eastAsiaTheme="minorEastAsia"/>
        </w:rPr>
      </w:pP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ME</m:t>
            </m:r>
          </m:sub>
        </m:sSub>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4CB762E8" w14:textId="64B7AE9D" w:rsidR="004B34D7" w:rsidRDefault="004B34D7" w:rsidP="004B34D7">
      <w:pPr>
        <w:ind w:left="720"/>
        <w:rPr>
          <w:rFonts w:eastAsiaTheme="minorEastAsia"/>
        </w:rPr>
      </w:pPr>
      <m:oMath>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is the </w:t>
      </w:r>
      <w:r w:rsidR="00F10CA2">
        <w:rPr>
          <w:rFonts w:eastAsiaTheme="minorEastAsia"/>
        </w:rPr>
        <w:t>PM-10</w:t>
      </w:r>
      <w:r>
        <w:rPr>
          <w:rFonts w:eastAsiaTheme="minorEastAsia"/>
        </w:rPr>
        <w:t xml:space="preserve"> Emissions Rate for quarter </w:t>
      </w:r>
      <m:oMath>
        <m:r>
          <w:rPr>
            <w:rFonts w:ascii="Cambria Math" w:hAnsi="Cambria Math"/>
          </w:rPr>
          <m:t>q</m:t>
        </m:r>
      </m:oMath>
      <w:r>
        <w:rPr>
          <w:rFonts w:eastAsiaTheme="minorEastAsia"/>
        </w:rPr>
        <w:t xml:space="preserve">, normalized for quarterly electric savings. The </w:t>
      </w:r>
      <w:r w:rsidR="00F10CA2">
        <w:rPr>
          <w:rFonts w:eastAsiaTheme="minorEastAsia"/>
        </w:rPr>
        <w:t>PM-10</w:t>
      </w:r>
      <w:r>
        <w:rPr>
          <w:rFonts w:eastAsiaTheme="minorEastAsia"/>
        </w:rPr>
        <w:t xml:space="preserve"> Emissions Rate is provided in units of </w:t>
      </w:r>
      <w:proofErr w:type="spellStart"/>
      <w:r>
        <w:rPr>
          <w:rFonts w:eastAsiaTheme="minorEastAsia"/>
        </w:rPr>
        <w:t>lbs</w:t>
      </w:r>
      <w:proofErr w:type="spellEnd"/>
      <w:r>
        <w:rPr>
          <w:rFonts w:eastAsiaTheme="minorEastAsia"/>
        </w:rPr>
        <w:t xml:space="preserve"> of </w:t>
      </w:r>
      <w:r w:rsidR="00F10CA2">
        <w:rPr>
          <w:rFonts w:eastAsiaTheme="minorEastAsia"/>
        </w:rPr>
        <w:t>PM-10</w:t>
      </w:r>
      <w:r>
        <w:rPr>
          <w:rFonts w:eastAsiaTheme="minorEastAsia"/>
        </w:rPr>
        <w:t xml:space="preserve"> per kWh saved during the applicable quarter. Values for </w:t>
      </w:r>
      <m:oMath>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are provided for each valid combination of Program Administrator, Target Sector, End Use, and Climate Zone for each quarter from 2017 through 2049 in the </w:t>
      </w:r>
      <w:r w:rsidR="00F10CA2">
        <w:rPr>
          <w:rStyle w:val="CodeObjectChar"/>
        </w:rPr>
        <w:t>PM10</w:t>
      </w:r>
      <w:r>
        <w:rPr>
          <w:rFonts w:eastAsiaTheme="minorEastAsia"/>
        </w:rPr>
        <w:t xml:space="preserve"> column returned through the </w:t>
      </w:r>
      <w:r w:rsidRPr="000055C2">
        <w:rPr>
          <w:rStyle w:val="CodeObjectChar"/>
        </w:rPr>
        <w:t>E3EmissionsSourcevw</w:t>
      </w:r>
      <w:r>
        <w:rPr>
          <w:rFonts w:eastAsiaTheme="minorEastAsia"/>
        </w:rPr>
        <w:t xml:space="preserve"> stored query.</w:t>
      </w:r>
    </w:p>
    <w:p w14:paraId="15F3AF8C" w14:textId="21B57A99" w:rsidR="004B34D7" w:rsidRDefault="004B34D7" w:rsidP="004B34D7">
      <w:pPr>
        <w:ind w:left="720"/>
        <w:rPr>
          <w:rFonts w:eastAsiaTheme="minorEastAsia"/>
        </w:rPr>
      </w:pPr>
      <m:oMath>
        <m:sSub>
          <m:sSubPr>
            <m:ctrlPr>
              <w:rPr>
                <w:rFonts w:ascii="Cambria Math" w:hAnsi="Cambria Math"/>
                <w:i/>
              </w:rPr>
            </m:ctrlPr>
          </m:sSubPr>
          <m:e>
            <m:r>
              <w:rPr>
                <w:rFonts w:ascii="Cambria Math" w:hAnsi="Cambria Math"/>
              </w:rPr>
              <m:t>QS</m:t>
            </m:r>
          </m:e>
          <m:sub>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_Ref38576746 \h </w:instrText>
      </w:r>
      <w:r>
        <w:rPr>
          <w:rFonts w:eastAsiaTheme="minorEastAsia"/>
        </w:rPr>
      </w:r>
      <w:r>
        <w:rPr>
          <w:rFonts w:eastAsiaTheme="minorEastAsia"/>
        </w:rPr>
        <w:fldChar w:fldCharType="separate"/>
      </w:r>
      <w:r w:rsidR="00552F8C">
        <w:t xml:space="preserve">Equation </w:t>
      </w:r>
      <w:r w:rsidR="00552F8C">
        <w:rPr>
          <w:noProof/>
        </w:rPr>
        <w:t>9</w:t>
      </w:r>
      <w:r>
        <w:rPr>
          <w:rFonts w:eastAsiaTheme="minorEastAsia"/>
        </w:rPr>
        <w:fldChar w:fldCharType="end"/>
      </w:r>
      <w:r>
        <w:rPr>
          <w:rFonts w:eastAsiaTheme="minorEastAsia"/>
        </w:rPr>
        <w:t>.</w:t>
      </w:r>
    </w:p>
    <w:p w14:paraId="09AC3E80" w14:textId="2FE66A60" w:rsidR="009A35C6" w:rsidRPr="009A35C6" w:rsidRDefault="009A35C6" w:rsidP="009A35C6">
      <w:pPr>
        <w:rPr>
          <w:rFonts w:eastAsiaTheme="minorEastAsia"/>
        </w:rPr>
      </w:pPr>
    </w:p>
    <w:p w14:paraId="1B8099F9"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3735300C" w14:textId="39A3AEA1" w:rsidR="004B7E0D" w:rsidRDefault="006E1519" w:rsidP="004B7E0D">
      <w:pPr>
        <w:pStyle w:val="Heading3"/>
      </w:pPr>
      <w:bookmarkStart w:id="29" w:name="_Gross_First_Year_4"/>
      <w:bookmarkEnd w:id="29"/>
      <w:r>
        <w:lastRenderedPageBreak/>
        <w:t xml:space="preserve">Gross </w:t>
      </w:r>
      <w:r w:rsidR="004B7E0D">
        <w:t xml:space="preserve">First Year Electric PM-10 Emissions </w:t>
      </w:r>
      <w:proofErr w:type="gramStart"/>
      <w:r w:rsidR="004B7E0D">
        <w:t>Reductions(</w:t>
      </w:r>
      <w:proofErr w:type="gramEnd"/>
      <w:r w:rsidR="004B7E0D" w:rsidRPr="004B7E0D">
        <w:rPr>
          <w:rStyle w:val="CodeObjectChar"/>
        </w:rPr>
        <w:t>GrossElec</w:t>
      </w:r>
      <w:r w:rsidR="004B7E0D">
        <w:rPr>
          <w:rStyle w:val="CodeObjectChar"/>
        </w:rPr>
        <w:t>PM10</w:t>
      </w:r>
      <w:r w:rsidR="004B7E0D">
        <w:t>):</w:t>
      </w:r>
    </w:p>
    <w:p w14:paraId="05541086" w14:textId="71B6129C" w:rsidR="004C1D00" w:rsidRPr="00EF60B0" w:rsidRDefault="009A4DF2" w:rsidP="004C1D00">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4</m:t>
              </m:r>
            </m:sup>
            <m:e>
              <m:d>
                <m:dPr>
                  <m:ctrlPr>
                    <w:rPr>
                      <w:rFonts w:ascii="Cambria Math" w:hAnsi="Cambria Math"/>
                      <w:i/>
                    </w:rPr>
                  </m:ctrlPr>
                </m:dPr>
                <m:e>
                  <m:r>
                    <w:rPr>
                      <w:rFonts w:ascii="Cambria Math" w:hAnsi="Cambria Math"/>
                    </w:rPr>
                    <m:t>IN×IR×RR×</m:t>
                  </m:r>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050AA75F" w14:textId="128A44BD" w:rsidR="004C1D00" w:rsidRDefault="004C1D00" w:rsidP="004C1D00">
      <w:pPr>
        <w:pStyle w:val="Caption"/>
      </w:pPr>
      <w:r>
        <w:t xml:space="preserve">Equation </w:t>
      </w:r>
      <w:fldSimple w:instr=" SEQ Equation \* ARABIC ">
        <w:r w:rsidR="00552F8C">
          <w:rPr>
            <w:noProof/>
          </w:rPr>
          <w:t>18</w:t>
        </w:r>
      </w:fldSimple>
    </w:p>
    <w:p w14:paraId="38D493EC" w14:textId="205BAC60" w:rsidR="004B7E0D" w:rsidRDefault="004B34D7" w:rsidP="004B7E0D">
      <w:r>
        <w:t>Where</w:t>
      </w:r>
    </w:p>
    <w:p w14:paraId="1161003F" w14:textId="314BD19B" w:rsidR="004B34D7" w:rsidRDefault="004B34D7" w:rsidP="004B34D7">
      <w:pPr>
        <w:ind w:left="720"/>
        <w:rPr>
          <w:rFonts w:eastAsiaTheme="minorEastAsia"/>
        </w:rPr>
      </w:p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Y1</m:t>
            </m:r>
          </m:sub>
        </m:sSub>
      </m:oMath>
      <w:r>
        <w:rPr>
          <w:rFonts w:eastAsiaTheme="minorEastAsia"/>
        </w:rPr>
        <w:t xml:space="preserve"> </w:t>
      </w:r>
      <w:proofErr w:type="gramStart"/>
      <w:r>
        <w:rPr>
          <w:rFonts w:eastAsiaTheme="minorEastAsia"/>
        </w:rPr>
        <w:t>is</w:t>
      </w:r>
      <w:proofErr w:type="gramEnd"/>
      <w:r>
        <w:rPr>
          <w:rFonts w:eastAsiaTheme="minorEastAsia"/>
        </w:rPr>
        <w:t xml:space="preserve"> the gross particulate emissions reductions in </w:t>
      </w:r>
      <w:proofErr w:type="spellStart"/>
      <w:r>
        <w:rPr>
          <w:rFonts w:eastAsiaTheme="minorEastAsia"/>
        </w:rPr>
        <w:t>lbs</w:t>
      </w:r>
      <w:proofErr w:type="spellEnd"/>
      <w:r>
        <w:rPr>
          <w:rFonts w:eastAsiaTheme="minorEastAsia"/>
        </w:rPr>
        <w:t xml:space="preserve"> of PM-10 due to electric energy savings in the first year after installation. The </w:t>
      </w:r>
      <w:proofErr w:type="spellStart"/>
      <w:r w:rsidRPr="00BD3B41">
        <w:rPr>
          <w:rStyle w:val="CodeObjectChar"/>
        </w:rPr>
        <w:t>CalcEmissions</w:t>
      </w:r>
      <w:proofErr w:type="spellEnd"/>
      <w:r>
        <w:rPr>
          <w:rFonts w:eastAsiaTheme="minorEastAsia"/>
        </w:rPr>
        <w:t xml:space="preserve"> procedure stores the calculated value to the </w:t>
      </w:r>
      <w:r>
        <w:rPr>
          <w:rStyle w:val="CodeObjectChar"/>
        </w:rPr>
        <w:t>GrossElecPM10</w:t>
      </w:r>
      <w:r>
        <w:rPr>
          <w:rFonts w:eastAsiaTheme="minorEastAsia"/>
        </w:rPr>
        <w:t xml:space="preserve"> field in the table </w:t>
      </w:r>
      <w:proofErr w:type="spellStart"/>
      <w:r w:rsidRPr="00BD3B41">
        <w:rPr>
          <w:rStyle w:val="CodeObjectChar"/>
        </w:rPr>
        <w:t>OutputEmissions</w:t>
      </w:r>
      <w:proofErr w:type="spellEnd"/>
      <w:r>
        <w:rPr>
          <w:rFonts w:eastAsiaTheme="minorEastAsia"/>
        </w:rPr>
        <w:t>.</w:t>
      </w:r>
    </w:p>
    <w:p w14:paraId="6EE001A3" w14:textId="6C1E7E98" w:rsidR="00F10CA2" w:rsidRDefault="00F10CA2" w:rsidP="00F10CA2">
      <w:pPr>
        <w:ind w:left="720"/>
        <w:rPr>
          <w:rFonts w:eastAsiaTheme="minorEastAsia"/>
        </w:rPr>
      </w:pP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22ABC8B2" w14:textId="43BBC39B" w:rsidR="00F10CA2" w:rsidRDefault="00F10CA2" w:rsidP="00F10CA2">
      <w:pPr>
        <w:ind w:left="720"/>
        <w:rPr>
          <w:rFonts w:eastAsiaTheme="minorEastAsia"/>
        </w:rPr>
      </w:pPr>
      <m:oMath>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w:t>
      </w:r>
      <w:r>
        <w:rPr>
          <w:rFonts w:eastAsiaTheme="minorEastAsia"/>
        </w:rPr>
        <w:t xml:space="preserve">is as defined in </w:t>
      </w:r>
      <w:r>
        <w:rPr>
          <w:rFonts w:eastAsiaTheme="minorEastAsia"/>
        </w:rPr>
        <w:fldChar w:fldCharType="begin"/>
      </w:r>
      <w:r>
        <w:rPr>
          <w:rFonts w:eastAsiaTheme="minorEastAsia"/>
        </w:rPr>
        <w:instrText xml:space="preserve"> REF _Ref38903752 \h </w:instrText>
      </w:r>
      <w:r>
        <w:rPr>
          <w:rFonts w:eastAsiaTheme="minorEastAsia"/>
        </w:rPr>
      </w:r>
      <w:r>
        <w:rPr>
          <w:rFonts w:eastAsiaTheme="minorEastAsia"/>
        </w:rPr>
        <w:fldChar w:fldCharType="separate"/>
      </w:r>
      <w:r w:rsidR="00552F8C">
        <w:t xml:space="preserve">Equation </w:t>
      </w:r>
      <w:r w:rsidR="00552F8C">
        <w:rPr>
          <w:noProof/>
        </w:rPr>
        <w:t>17</w:t>
      </w:r>
      <w:r>
        <w:rPr>
          <w:rFonts w:eastAsiaTheme="minorEastAsia"/>
        </w:rPr>
        <w:fldChar w:fldCharType="end"/>
      </w:r>
      <w:r>
        <w:rPr>
          <w:rFonts w:eastAsiaTheme="minorEastAsia"/>
        </w:rPr>
        <w:t>.</w:t>
      </w:r>
    </w:p>
    <w:p w14:paraId="333F1F85" w14:textId="041A8443" w:rsidR="00F10CA2" w:rsidRDefault="00F10CA2" w:rsidP="00F10CA2">
      <w:pPr>
        <w:ind w:left="720"/>
        <w:rPr>
          <w:rFonts w:eastAsiaTheme="minorEastAsia"/>
        </w:rPr>
      </w:pPr>
      <m:oMath>
        <m:sSub>
          <m:sSubPr>
            <m:ctrlPr>
              <w:rPr>
                <w:rFonts w:ascii="Cambria Math" w:hAnsi="Cambria Math"/>
                <w:i/>
              </w:rPr>
            </m:ctrlPr>
          </m:sSubPr>
          <m:e>
            <m:r>
              <w:rPr>
                <w:rFonts w:ascii="Cambria Math" w:hAnsi="Cambria Math"/>
              </w:rPr>
              <m:t>QS</m:t>
            </m:r>
          </m:e>
          <m:sub>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_Ref38576746 \h </w:instrText>
      </w:r>
      <w:r>
        <w:rPr>
          <w:rFonts w:eastAsiaTheme="minorEastAsia"/>
        </w:rPr>
      </w:r>
      <w:r>
        <w:rPr>
          <w:rFonts w:eastAsiaTheme="minorEastAsia"/>
        </w:rPr>
        <w:fldChar w:fldCharType="separate"/>
      </w:r>
      <w:r w:rsidR="00552F8C">
        <w:t xml:space="preserve">Equation </w:t>
      </w:r>
      <w:r w:rsidR="00552F8C">
        <w:rPr>
          <w:noProof/>
        </w:rPr>
        <w:t>9</w:t>
      </w:r>
      <w:r>
        <w:rPr>
          <w:rFonts w:eastAsiaTheme="minorEastAsia"/>
        </w:rPr>
        <w:fldChar w:fldCharType="end"/>
      </w:r>
      <w:r>
        <w:rPr>
          <w:rFonts w:eastAsiaTheme="minorEastAsia"/>
        </w:rPr>
        <w:t>.</w:t>
      </w:r>
    </w:p>
    <w:p w14:paraId="1CBA2C75" w14:textId="2D48549B" w:rsidR="009A35C6" w:rsidRPr="009A35C6" w:rsidRDefault="009A35C6" w:rsidP="009A35C6">
      <w:pPr>
        <w:rPr>
          <w:rFonts w:eastAsiaTheme="minorEastAsia"/>
        </w:rPr>
      </w:pPr>
    </w:p>
    <w:p w14:paraId="781318F5"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4E3B9C8D" w14:textId="789DA27A" w:rsidR="004B7E0D" w:rsidRDefault="006E1519" w:rsidP="004B7E0D">
      <w:pPr>
        <w:pStyle w:val="Heading3"/>
      </w:pPr>
      <w:bookmarkStart w:id="30" w:name="_Net_Lifecycle_Electric_2"/>
      <w:bookmarkEnd w:id="30"/>
      <w:r>
        <w:lastRenderedPageBreak/>
        <w:t xml:space="preserve">Net </w:t>
      </w:r>
      <w:r w:rsidR="004B7E0D">
        <w:t>Lifecycle Electric PM-10 Emissions Reductions (</w:t>
      </w:r>
      <w:r w:rsidR="004B7E0D" w:rsidRPr="004B7E0D">
        <w:rPr>
          <w:rStyle w:val="CodeObjectChar"/>
        </w:rPr>
        <w:t>NetElec</w:t>
      </w:r>
      <w:r w:rsidR="004B7E0D">
        <w:rPr>
          <w:rStyle w:val="CodeObjectChar"/>
        </w:rPr>
        <w:t>PM10</w:t>
      </w:r>
      <w:r w:rsidR="004B7E0D" w:rsidRPr="004B7E0D">
        <w:rPr>
          <w:rStyle w:val="CodeObjectChar"/>
        </w:rPr>
        <w:t>Lifecycle</w:t>
      </w:r>
      <w:r w:rsidR="004B7E0D">
        <w:t>):</w:t>
      </w:r>
    </w:p>
    <w:p w14:paraId="6A17129C" w14:textId="3C732005" w:rsidR="00FD3299" w:rsidRPr="00EF60B0" w:rsidRDefault="009A4DF2" w:rsidP="00FD329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m:t>
                  </m:r>
                  <m:d>
                    <m:dPr>
                      <m:ctrlPr>
                        <w:rPr>
                          <w:rFonts w:ascii="Cambria Math" w:hAnsi="Cambria Math"/>
                          <w:i/>
                        </w:rPr>
                      </m:ctrlPr>
                    </m:dPr>
                    <m:e>
                      <m:r>
                        <w:rPr>
                          <w:rFonts w:ascii="Cambria Math" w:hAnsi="Cambria Math"/>
                        </w:rPr>
                        <m:t>NTGR+</m:t>
                      </m:r>
                      <m:sSub>
                        <m:sSubPr>
                          <m:ctrlPr>
                            <w:rPr>
                              <w:rFonts w:ascii="Cambria Math" w:hAnsi="Cambria Math"/>
                              <w:i/>
                            </w:rPr>
                          </m:ctrlPr>
                        </m:sSubPr>
                        <m:e>
                          <m:r>
                            <w:rPr>
                              <w:rFonts w:ascii="Cambria Math" w:hAnsi="Cambria Math"/>
                            </w:rPr>
                            <m:t>B</m:t>
                          </m:r>
                        </m:e>
                        <m:sub>
                          <m:r>
                            <w:rPr>
                              <w:rFonts w:ascii="Cambria Math" w:hAnsi="Cambria Math"/>
                            </w:rPr>
                            <m:t>ME</m:t>
                          </m:r>
                        </m:sub>
                      </m:sSub>
                    </m:e>
                  </m:d>
                  <m:r>
                    <w:rPr>
                      <w:rFonts w:ascii="Cambria Math" w:hAnsi="Cambria Math"/>
                    </w:rPr>
                    <m:t>×IR×RR×</m:t>
                  </m:r>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1231E569" w14:textId="0AD6A6D3" w:rsidR="00FD3299" w:rsidRDefault="00FD3299" w:rsidP="00FD3299">
      <w:pPr>
        <w:pStyle w:val="Caption"/>
      </w:pPr>
      <w:bookmarkStart w:id="31" w:name="_Ref38903739"/>
      <w:r>
        <w:t xml:space="preserve">Equation </w:t>
      </w:r>
      <w:fldSimple w:instr=" SEQ Equation \* ARABIC ">
        <w:r w:rsidR="00552F8C">
          <w:rPr>
            <w:noProof/>
          </w:rPr>
          <w:t>19</w:t>
        </w:r>
      </w:fldSimple>
      <w:bookmarkEnd w:id="31"/>
    </w:p>
    <w:p w14:paraId="2F56B6FF" w14:textId="00ED2F5B" w:rsidR="004B7E0D" w:rsidRDefault="00594DB0" w:rsidP="004B7E0D">
      <w:r>
        <w:t>Where</w:t>
      </w:r>
    </w:p>
    <w:p w14:paraId="56AC5D63" w14:textId="45EFD905" w:rsidR="00594DB0" w:rsidRDefault="00594DB0" w:rsidP="00594DB0">
      <w:pPr>
        <w:ind w:left="720"/>
        <w:rPr>
          <w:rFonts w:eastAsiaTheme="minorEastAsia"/>
        </w:rPr>
      </w:p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Net</m:t>
            </m:r>
            <m:r>
              <w:rPr>
                <w:rFonts w:ascii="Cambria Math" w:hAnsi="Cambria Math"/>
              </w:rPr>
              <m:t>,</m:t>
            </m:r>
            <m:r>
              <m:rPr>
                <m:nor/>
              </m:rPr>
              <w:rPr>
                <w:rFonts w:ascii="Cambria Math" w:hAnsi="Cambria Math"/>
              </w:rPr>
              <m:t>Lifecycle</m:t>
            </m:r>
          </m:sub>
        </m:sSub>
      </m:oMath>
      <w:r>
        <w:rPr>
          <w:rFonts w:eastAsiaTheme="minorEastAsia"/>
        </w:rPr>
        <w:t xml:space="preserve"> is the </w:t>
      </w:r>
      <w:r>
        <w:rPr>
          <w:rFonts w:eastAsiaTheme="minorEastAsia"/>
        </w:rPr>
        <w:t>net</w:t>
      </w:r>
      <w:r>
        <w:rPr>
          <w:rFonts w:eastAsiaTheme="minorEastAsia"/>
        </w:rPr>
        <w:t xml:space="preserve"> particulate emissions reductions in </w:t>
      </w:r>
      <w:proofErr w:type="spellStart"/>
      <w:r>
        <w:rPr>
          <w:rFonts w:eastAsiaTheme="minorEastAsia"/>
        </w:rPr>
        <w:t>lbs</w:t>
      </w:r>
      <w:proofErr w:type="spellEnd"/>
      <w:r>
        <w:rPr>
          <w:rFonts w:eastAsiaTheme="minorEastAsia"/>
        </w:rPr>
        <w:t xml:space="preserve"> of PM-10 due to electric energy savings </w:t>
      </w:r>
      <w:r>
        <w:rPr>
          <w:rFonts w:eastAsiaTheme="minorEastAsia"/>
        </w:rPr>
        <w:t xml:space="preserve">throughout the measure’s </w:t>
      </w:r>
      <w:proofErr w:type="gramStart"/>
      <w:r>
        <w:rPr>
          <w:rFonts w:eastAsiaTheme="minorEastAsia"/>
        </w:rPr>
        <w:t>lifecycle</w:t>
      </w:r>
      <w:r>
        <w:rPr>
          <w:rFonts w:eastAsiaTheme="minorEastAsia"/>
        </w:rPr>
        <w:t>.</w:t>
      </w:r>
      <w:proofErr w:type="gramEnd"/>
      <w:r>
        <w:rPr>
          <w:rFonts w:eastAsiaTheme="minorEastAsia"/>
        </w:rPr>
        <w:t xml:space="preserve"> The </w:t>
      </w:r>
      <w:proofErr w:type="spellStart"/>
      <w:r w:rsidRPr="00BD3B41">
        <w:rPr>
          <w:rStyle w:val="CodeObjectChar"/>
        </w:rPr>
        <w:t>CalcEmissions</w:t>
      </w:r>
      <w:proofErr w:type="spellEnd"/>
      <w:r>
        <w:rPr>
          <w:rFonts w:eastAsiaTheme="minorEastAsia"/>
        </w:rPr>
        <w:t xml:space="preserve"> procedure stores the calculated value to the </w:t>
      </w:r>
      <w:r>
        <w:rPr>
          <w:rStyle w:val="CodeObjectChar"/>
        </w:rPr>
        <w:t>Net</w:t>
      </w:r>
      <w:r>
        <w:rPr>
          <w:rStyle w:val="CodeObjectChar"/>
        </w:rPr>
        <w:t>ElecPM1</w:t>
      </w:r>
      <w:r>
        <w:rPr>
          <w:rStyle w:val="CodeObjectChar"/>
        </w:rPr>
        <w:t>0Lifecycle</w:t>
      </w:r>
      <w:r>
        <w:rPr>
          <w:rFonts w:eastAsiaTheme="minorEastAsia"/>
        </w:rPr>
        <w:t xml:space="preserve"> field in the table </w:t>
      </w:r>
      <w:proofErr w:type="spellStart"/>
      <w:r w:rsidRPr="00BD3B41">
        <w:rPr>
          <w:rStyle w:val="CodeObjectChar"/>
        </w:rPr>
        <w:t>OutputEmissions</w:t>
      </w:r>
      <w:proofErr w:type="spellEnd"/>
      <w:r>
        <w:rPr>
          <w:rFonts w:eastAsiaTheme="minorEastAsia"/>
        </w:rPr>
        <w:t>.</w:t>
      </w:r>
    </w:p>
    <w:p w14:paraId="1A9AB1ED" w14:textId="19D1921F" w:rsidR="00594DB0" w:rsidRDefault="00594DB0" w:rsidP="00594DB0">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Pr>
          <w:rFonts w:eastAsiaTheme="minorEastAsia"/>
        </w:rPr>
        <w:t xml:space="preserve">, </w:t>
      </w: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NTGR</m:t>
            </m:r>
          </m:e>
          <m:sub>
            <m:r>
              <w:rPr>
                <w:rFonts w:ascii="Cambria Math" w:hAnsi="Cambria Math"/>
              </w:rPr>
              <m:t>kWh</m:t>
            </m:r>
          </m:sub>
        </m:sSub>
      </m:oMath>
      <w:r>
        <w:rPr>
          <w:rFonts w:eastAsiaTheme="minorEastAsia"/>
        </w:rPr>
        <w:t xml:space="preserve">, </w:t>
      </w:r>
      <m:oMath>
        <m:sSub>
          <m:sSubPr>
            <m:ctrlPr>
              <w:rPr>
                <w:rFonts w:ascii="Cambria Math" w:hAnsi="Cambria Math"/>
                <w:i/>
              </w:rPr>
            </m:ctrlPr>
          </m:sSubPr>
          <m:e>
            <m:r>
              <w:rPr>
                <w:rFonts w:ascii="Cambria Math" w:hAnsi="Cambria Math"/>
              </w:rPr>
              <m:t>B</m:t>
            </m:r>
          </m:e>
          <m:sub>
            <m:r>
              <w:rPr>
                <w:rFonts w:ascii="Cambria Math" w:hAnsi="Cambria Math"/>
              </w:rPr>
              <m:t>ME</m:t>
            </m:r>
          </m:sub>
        </m:sSub>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4ECCC0B7" w14:textId="25B9106A" w:rsidR="00594DB0" w:rsidRDefault="00594DB0" w:rsidP="00594DB0">
      <w:pPr>
        <w:ind w:left="720"/>
        <w:rPr>
          <w:rFonts w:eastAsiaTheme="minorEastAsia"/>
        </w:rPr>
      </w:pPr>
      <m:oMath>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_Ref38903752 \h </w:instrText>
      </w:r>
      <w:r>
        <w:rPr>
          <w:rFonts w:eastAsiaTheme="minorEastAsia"/>
        </w:rPr>
      </w:r>
      <w:r>
        <w:rPr>
          <w:rFonts w:eastAsiaTheme="minorEastAsia"/>
        </w:rPr>
        <w:fldChar w:fldCharType="separate"/>
      </w:r>
      <w:r w:rsidR="00552F8C">
        <w:t xml:space="preserve">Equation </w:t>
      </w:r>
      <w:r w:rsidR="00552F8C">
        <w:rPr>
          <w:noProof/>
        </w:rPr>
        <w:t>17</w:t>
      </w:r>
      <w:r>
        <w:rPr>
          <w:rFonts w:eastAsiaTheme="minorEastAsia"/>
        </w:rPr>
        <w:fldChar w:fldCharType="end"/>
      </w:r>
      <w:r>
        <w:rPr>
          <w:rFonts w:eastAsiaTheme="minorEastAsia"/>
        </w:rPr>
        <w:t>.</w:t>
      </w:r>
    </w:p>
    <w:p w14:paraId="2B9839D1" w14:textId="5DD3378E" w:rsidR="009A35C6" w:rsidRDefault="009A35C6" w:rsidP="009A35C6">
      <w:pPr>
        <w:ind w:left="720"/>
        <w:rPr>
          <w:rFonts w:eastAsiaTheme="minorEastAsia"/>
        </w:rPr>
      </w:pPr>
      <m:oMath>
        <m:sSub>
          <m:sSubPr>
            <m:ctrlPr>
              <w:rPr>
                <w:rFonts w:ascii="Cambria Math" w:hAnsi="Cambria Math"/>
                <w:i/>
              </w:rPr>
            </m:ctrlPr>
          </m:sSubPr>
          <m:e>
            <m:r>
              <w:rPr>
                <w:rFonts w:ascii="Cambria Math" w:hAnsi="Cambria Math"/>
              </w:rPr>
              <m:t>QS</m:t>
            </m:r>
          </m:e>
          <m:sub>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_Ref38576746 \h </w:instrText>
      </w:r>
      <w:r>
        <w:rPr>
          <w:rFonts w:eastAsiaTheme="minorEastAsia"/>
        </w:rPr>
      </w:r>
      <w:r>
        <w:rPr>
          <w:rFonts w:eastAsiaTheme="minorEastAsia"/>
        </w:rPr>
        <w:fldChar w:fldCharType="separate"/>
      </w:r>
      <w:r w:rsidR="00552F8C">
        <w:t xml:space="preserve">Equation </w:t>
      </w:r>
      <w:r w:rsidR="00552F8C">
        <w:rPr>
          <w:noProof/>
        </w:rPr>
        <w:t>9</w:t>
      </w:r>
      <w:r>
        <w:rPr>
          <w:rFonts w:eastAsiaTheme="minorEastAsia"/>
        </w:rPr>
        <w:fldChar w:fldCharType="end"/>
      </w:r>
      <w:r>
        <w:rPr>
          <w:rFonts w:eastAsiaTheme="minorEastAsia"/>
        </w:rPr>
        <w:t>.</w:t>
      </w:r>
    </w:p>
    <w:p w14:paraId="228BB274" w14:textId="6449DE69" w:rsidR="009A35C6" w:rsidRPr="009A35C6" w:rsidRDefault="009A35C6" w:rsidP="009A35C6">
      <w:pPr>
        <w:rPr>
          <w:rFonts w:eastAsiaTheme="minorEastAsia"/>
        </w:rPr>
      </w:pPr>
    </w:p>
    <w:p w14:paraId="0C102D07" w14:textId="77777777" w:rsidR="009A35C6" w:rsidRDefault="009A35C6" w:rsidP="009A35C6">
      <w:pPr>
        <w:rPr>
          <w:rFonts w:eastAsiaTheme="minorEastAsia"/>
        </w:rPr>
        <w:sectPr w:rsidR="009A35C6">
          <w:pgSz w:w="12240" w:h="15840"/>
          <w:pgMar w:top="1440" w:right="1440" w:bottom="1440" w:left="1440" w:header="720" w:footer="720" w:gutter="0"/>
          <w:cols w:space="720"/>
          <w:docGrid w:linePitch="360"/>
        </w:sectPr>
      </w:pPr>
    </w:p>
    <w:p w14:paraId="2CB732C0" w14:textId="0D851B34" w:rsidR="004B7E0D" w:rsidRDefault="006E1519" w:rsidP="004B7E0D">
      <w:pPr>
        <w:pStyle w:val="Heading3"/>
      </w:pPr>
      <w:bookmarkStart w:id="32" w:name="_Gross_Lifecycle_Electric_2"/>
      <w:bookmarkEnd w:id="32"/>
      <w:r>
        <w:lastRenderedPageBreak/>
        <w:t xml:space="preserve">Gross </w:t>
      </w:r>
      <w:r w:rsidR="004B7E0D">
        <w:t xml:space="preserve">Lifecycle Electric PM-10 Emissions </w:t>
      </w:r>
      <w:proofErr w:type="gramStart"/>
      <w:r w:rsidR="004B7E0D">
        <w:t>Reductions(</w:t>
      </w:r>
      <w:proofErr w:type="gramEnd"/>
      <w:r w:rsidR="004B7E0D" w:rsidRPr="004B7E0D">
        <w:rPr>
          <w:rStyle w:val="CodeObjectChar"/>
        </w:rPr>
        <w:t>GrossElec</w:t>
      </w:r>
      <w:r w:rsidR="004B7E0D">
        <w:rPr>
          <w:rStyle w:val="CodeObjectChar"/>
        </w:rPr>
        <w:t>PM10</w:t>
      </w:r>
      <w:r w:rsidR="004B7E0D" w:rsidRPr="004B7E0D">
        <w:rPr>
          <w:rStyle w:val="CodeObjectChar"/>
        </w:rPr>
        <w:t>Lifecycle</w:t>
      </w:r>
      <w:r w:rsidR="004B7E0D">
        <w:t>):</w:t>
      </w:r>
    </w:p>
    <w:p w14:paraId="1F3AA57E" w14:textId="49A84A01" w:rsidR="00FD3299" w:rsidRPr="00EF60B0" w:rsidRDefault="009A4DF2" w:rsidP="00FD3299">
      <w:pPr>
        <w:keepNext/>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LC</m:t>
              </m:r>
            </m:sub>
          </m:sSub>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m:rPr>
                  <m:nor/>
                </m:rPr>
                <w:rPr>
                  <w:rFonts w:ascii="Cambria Math" w:hAnsi="Cambria Math"/>
                </w:rPr>
                <m:t>Floor</m:t>
              </m:r>
              <m:d>
                <m:dPr>
                  <m:ctrlPr>
                    <w:rPr>
                      <w:rFonts w:ascii="Cambria Math" w:hAnsi="Cambria Math"/>
                      <w:i/>
                    </w:rPr>
                  </m:ctrlPr>
                </m:dPr>
                <m:e>
                  <m:sSub>
                    <m:sSubPr>
                      <m:ctrlPr>
                        <w:rPr>
                          <w:rFonts w:ascii="Cambria Math" w:hAnsi="Cambria Math"/>
                          <w:i/>
                        </w:rPr>
                      </m:ctrlPr>
                    </m:sSubPr>
                    <m:e>
                      <m:r>
                        <w:rPr>
                          <w:rFonts w:ascii="Cambria Math" w:hAnsi="Cambria Math"/>
                        </w:rPr>
                        <m:t>EUL</m:t>
                      </m:r>
                    </m:e>
                    <m:sub>
                      <m:r>
                        <w:rPr>
                          <w:rFonts w:ascii="Cambria Math" w:hAnsi="Cambria Math"/>
                        </w:rPr>
                        <m:t>q</m:t>
                      </m:r>
                    </m:sub>
                  </m:sSub>
                </m:e>
              </m:d>
            </m:sup>
            <m:e>
              <m:d>
                <m:dPr>
                  <m:ctrlPr>
                    <w:rPr>
                      <w:rFonts w:ascii="Cambria Math" w:hAnsi="Cambria Math"/>
                      <w:i/>
                    </w:rPr>
                  </m:ctrlPr>
                </m:dPr>
                <m:e>
                  <m:r>
                    <w:rPr>
                      <w:rFonts w:ascii="Cambria Math" w:hAnsi="Cambria Math"/>
                    </w:rPr>
                    <m:t>IN×IR×RR×</m:t>
                  </m:r>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q</m:t>
                      </m:r>
                    </m:sub>
                  </m:sSub>
                </m:e>
              </m:d>
            </m:e>
          </m:nary>
        </m:oMath>
      </m:oMathPara>
    </w:p>
    <w:p w14:paraId="27EB9D07" w14:textId="28090A07" w:rsidR="00FD3299" w:rsidRDefault="00FD3299" w:rsidP="00FD3299">
      <w:pPr>
        <w:pStyle w:val="Caption"/>
      </w:pPr>
      <w:r>
        <w:t xml:space="preserve">Equation </w:t>
      </w:r>
      <w:fldSimple w:instr=" SEQ Equation \* ARABIC ">
        <w:r w:rsidR="00552F8C">
          <w:rPr>
            <w:noProof/>
          </w:rPr>
          <w:t>20</w:t>
        </w:r>
      </w:fldSimple>
    </w:p>
    <w:p w14:paraId="5382E357" w14:textId="254FAC4D" w:rsidR="004B7E0D" w:rsidRDefault="009A35C6" w:rsidP="00B45E9B">
      <w:r>
        <w:t>Where</w:t>
      </w:r>
    </w:p>
    <w:p w14:paraId="7FEB66C5" w14:textId="0FCE2D73" w:rsidR="009A35C6" w:rsidRDefault="009A35C6" w:rsidP="009A35C6">
      <w:pPr>
        <w:ind w:left="720"/>
        <w:rPr>
          <w:rFonts w:eastAsiaTheme="minorEastAsia"/>
        </w:rPr>
      </w:pPr>
      <m:oMath>
        <m:sSub>
          <m:sSubPr>
            <m:ctrlPr>
              <w:rPr>
                <w:rFonts w:ascii="Cambria Math" w:hAnsi="Cambria Math"/>
                <w:i/>
              </w:rPr>
            </m:ctrlPr>
          </m:sSubPr>
          <m:e>
            <m:r>
              <w:rPr>
                <w:rFonts w:ascii="Cambria Math" w:hAnsi="Cambria Math"/>
              </w:rPr>
              <m:t>E</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m:t>
            </m:r>
            <m:r>
              <m:rPr>
                <m:nor/>
              </m:rPr>
              <w:rPr>
                <w:rFonts w:ascii="Cambria Math" w:hAnsi="Cambria Math"/>
              </w:rPr>
              <m:t>Gross</m:t>
            </m:r>
            <m:r>
              <w:rPr>
                <w:rFonts w:ascii="Cambria Math" w:hAnsi="Cambria Math"/>
              </w:rPr>
              <m:t>,</m:t>
            </m:r>
            <m:r>
              <m:rPr>
                <m:nor/>
              </m:rPr>
              <w:rPr>
                <w:rFonts w:ascii="Cambria Math" w:hAnsi="Cambria Math"/>
              </w:rPr>
              <m:t>Lifecycle</m:t>
            </m:r>
          </m:sub>
        </m:sSub>
      </m:oMath>
      <w:r>
        <w:rPr>
          <w:rFonts w:eastAsiaTheme="minorEastAsia"/>
        </w:rPr>
        <w:t xml:space="preserve"> is the net particulate emissions reductions in </w:t>
      </w:r>
      <w:proofErr w:type="spellStart"/>
      <w:r>
        <w:rPr>
          <w:rFonts w:eastAsiaTheme="minorEastAsia"/>
        </w:rPr>
        <w:t>lbs</w:t>
      </w:r>
      <w:proofErr w:type="spellEnd"/>
      <w:r>
        <w:rPr>
          <w:rFonts w:eastAsiaTheme="minorEastAsia"/>
        </w:rPr>
        <w:t xml:space="preserve"> of PM-10 due to electric energy savings throughout the measure’s </w:t>
      </w:r>
      <w:proofErr w:type="gramStart"/>
      <w:r>
        <w:rPr>
          <w:rFonts w:eastAsiaTheme="minorEastAsia"/>
        </w:rPr>
        <w:t>lifecycle.</w:t>
      </w:r>
      <w:proofErr w:type="gramEnd"/>
      <w:r>
        <w:rPr>
          <w:rFonts w:eastAsiaTheme="minorEastAsia"/>
        </w:rPr>
        <w:t xml:space="preserve"> The </w:t>
      </w:r>
      <w:proofErr w:type="spellStart"/>
      <w:r w:rsidRPr="00BD3B41">
        <w:rPr>
          <w:rStyle w:val="CodeObjectChar"/>
        </w:rPr>
        <w:t>CalcEmissions</w:t>
      </w:r>
      <w:proofErr w:type="spellEnd"/>
      <w:r>
        <w:rPr>
          <w:rFonts w:eastAsiaTheme="minorEastAsia"/>
        </w:rPr>
        <w:t xml:space="preserve"> procedure stores the calculated value to the </w:t>
      </w:r>
      <w:r>
        <w:rPr>
          <w:rStyle w:val="CodeObjectChar"/>
        </w:rPr>
        <w:t>NetElecPM10Lifecycle</w:t>
      </w:r>
      <w:r>
        <w:rPr>
          <w:rFonts w:eastAsiaTheme="minorEastAsia"/>
        </w:rPr>
        <w:t xml:space="preserve"> field in the table </w:t>
      </w:r>
      <w:proofErr w:type="spellStart"/>
      <w:r w:rsidRPr="00BD3B41">
        <w:rPr>
          <w:rStyle w:val="CodeObjectChar"/>
        </w:rPr>
        <w:t>OutputEmissions</w:t>
      </w:r>
      <w:proofErr w:type="spellEnd"/>
      <w:r>
        <w:rPr>
          <w:rFonts w:eastAsiaTheme="minorEastAsia"/>
        </w:rPr>
        <w:t>.</w:t>
      </w:r>
    </w:p>
    <w:p w14:paraId="04D293C6" w14:textId="464693E8" w:rsidR="009A35C6" w:rsidRDefault="009A35C6" w:rsidP="009A35C6">
      <w:pPr>
        <w:ind w:left="720"/>
        <w:rPr>
          <w:rFonts w:eastAsiaTheme="minorEastAsia"/>
        </w:rPr>
      </w:pPr>
      <m:oMath>
        <m:sSub>
          <m:sSubPr>
            <m:ctrlPr>
              <w:rPr>
                <w:rFonts w:ascii="Cambria Math" w:hAnsi="Cambria Math"/>
                <w:i/>
              </w:rPr>
            </m:ctrlPr>
          </m:sSubPr>
          <m:e>
            <m:r>
              <w:rPr>
                <w:rFonts w:ascii="Cambria Math" w:hAnsi="Cambria Math"/>
              </w:rPr>
              <m:t>EUL</m:t>
            </m:r>
          </m:e>
          <m:sub>
            <m:r>
              <w:rPr>
                <w:rFonts w:ascii="Cambria Math" w:hAnsi="Cambria Math"/>
              </w:rPr>
              <m:t>q</m:t>
            </m:r>
          </m:sub>
        </m:sSub>
      </m:oMath>
      <w:r>
        <w:rPr>
          <w:rFonts w:eastAsiaTheme="minorEastAsia"/>
        </w:rPr>
        <w:t xml:space="preserve">, </w:t>
      </w:r>
      <m:oMath>
        <m:r>
          <w:rPr>
            <w:rFonts w:ascii="Cambria Math" w:hAnsi="Cambria Math"/>
          </w:rPr>
          <m:t>q</m:t>
        </m:r>
      </m:oMath>
      <w:r>
        <w:rPr>
          <w:rFonts w:eastAsiaTheme="minorEastAsia"/>
        </w:rPr>
        <w:t xml:space="preserve">, </w:t>
      </w:r>
      <m:oMath>
        <m:r>
          <w:rPr>
            <w:rFonts w:ascii="Cambria Math" w:hAnsi="Cambria Math"/>
          </w:rPr>
          <m:t>IN</m:t>
        </m:r>
      </m:oMath>
      <w:r>
        <w:rPr>
          <w:rFonts w:eastAsiaTheme="minorEastAsia"/>
        </w:rPr>
        <w:t xml:space="preserve">, </w:t>
      </w:r>
      <m:oMath>
        <m:sSub>
          <m:sSubPr>
            <m:ctrlPr>
              <w:rPr>
                <w:rFonts w:ascii="Cambria Math" w:hAnsi="Cambria Math"/>
                <w:i/>
              </w:rPr>
            </m:ctrlPr>
          </m:sSubPr>
          <m:e>
            <m:r>
              <w:rPr>
                <w:rFonts w:ascii="Cambria Math" w:hAnsi="Cambria Math"/>
              </w:rPr>
              <m:t>IR</m:t>
            </m:r>
          </m:e>
          <m:sub>
            <m:r>
              <w:rPr>
                <w:rFonts w:ascii="Cambria Math" w:hAnsi="Cambria Math"/>
              </w:rPr>
              <m:t>kWh</m:t>
            </m:r>
          </m:sub>
        </m:sSub>
      </m:oMath>
      <w:r>
        <w:rPr>
          <w:rFonts w:eastAsiaTheme="minorEastAsia"/>
        </w:rPr>
        <w:t xml:space="preserve">, and </w:t>
      </w:r>
      <m:oMath>
        <m:sSub>
          <m:sSubPr>
            <m:ctrlPr>
              <w:rPr>
                <w:rFonts w:ascii="Cambria Math" w:hAnsi="Cambria Math"/>
                <w:i/>
              </w:rPr>
            </m:ctrlPr>
          </m:sSubPr>
          <m:e>
            <m:r>
              <w:rPr>
                <w:rFonts w:ascii="Cambria Math" w:hAnsi="Cambria Math"/>
              </w:rPr>
              <m:t>RR</m:t>
            </m:r>
          </m:e>
          <m:sub>
            <m:r>
              <w:rPr>
                <w:rFonts w:ascii="Cambria Math" w:hAnsi="Cambria Math"/>
              </w:rPr>
              <m:t>kWh</m:t>
            </m:r>
          </m:sub>
        </m:sSub>
      </m:oMath>
      <w:r>
        <w:rPr>
          <w:rFonts w:eastAsiaTheme="minorEastAsia"/>
        </w:rPr>
        <w:t xml:space="preserve"> are as defined for </w:t>
      </w:r>
      <w:r>
        <w:rPr>
          <w:rFonts w:eastAsiaTheme="minorEastAsia"/>
        </w:rPr>
        <w:fldChar w:fldCharType="begin"/>
      </w:r>
      <w:r>
        <w:rPr>
          <w:rFonts w:eastAsiaTheme="minorEastAsia"/>
        </w:rPr>
        <w:instrText xml:space="preserve"> REF _Ref37692307 \h </w:instrText>
      </w:r>
      <w:r>
        <w:rPr>
          <w:rFonts w:eastAsiaTheme="minorEastAsia"/>
        </w:rPr>
      </w:r>
      <w:r>
        <w:rPr>
          <w:rFonts w:eastAsiaTheme="minorEastAsia"/>
        </w:rPr>
        <w:fldChar w:fldCharType="separate"/>
      </w:r>
      <w:r w:rsidR="00552F8C">
        <w:t xml:space="preserve">Equation </w:t>
      </w:r>
      <w:r w:rsidR="00552F8C">
        <w:rPr>
          <w:noProof/>
        </w:rPr>
        <w:t>1</w:t>
      </w:r>
      <w:r>
        <w:rPr>
          <w:rFonts w:eastAsiaTheme="minorEastAsia"/>
        </w:rPr>
        <w:fldChar w:fldCharType="end"/>
      </w:r>
      <w:r>
        <w:rPr>
          <w:rFonts w:eastAsiaTheme="minorEastAsia"/>
        </w:rPr>
        <w:t>.</w:t>
      </w:r>
    </w:p>
    <w:p w14:paraId="1D7BBE51" w14:textId="4440FEE6" w:rsidR="009A35C6" w:rsidRDefault="009A35C6" w:rsidP="009A35C6">
      <w:pPr>
        <w:ind w:left="720"/>
        <w:rPr>
          <w:rFonts w:eastAsiaTheme="minorEastAsia"/>
        </w:rPr>
      </w:pPr>
      <m:oMath>
        <m:sSub>
          <m:sSubPr>
            <m:ctrlPr>
              <w:rPr>
                <w:rFonts w:ascii="Cambria Math" w:hAnsi="Cambria Math"/>
                <w:i/>
              </w:rPr>
            </m:ctrlPr>
          </m:sSubPr>
          <m:e>
            <m:r>
              <w:rPr>
                <w:rFonts w:ascii="Cambria Math" w:hAnsi="Cambria Math"/>
              </w:rPr>
              <m:t>ER</m:t>
            </m:r>
          </m:e>
          <m:sub>
            <m:r>
              <m:rPr>
                <m:nor/>
              </m:rPr>
              <w:rPr>
                <w:rFonts w:ascii="Cambria Math" w:hAnsi="Cambria Math"/>
              </w:rPr>
              <m:t>PM-10</m:t>
            </m:r>
            <m:r>
              <w:rPr>
                <w:rFonts w:ascii="Cambria Math" w:hAnsi="Cambria Math"/>
              </w:rPr>
              <m:t>,</m:t>
            </m:r>
            <m:r>
              <m:rPr>
                <m:nor/>
              </m:rPr>
              <w:rPr>
                <w:rFonts w:ascii="Cambria Math" w:hAnsi="Cambria Math"/>
              </w:rPr>
              <m:t>Elec</m:t>
            </m:r>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_Ref38903752 \h </w:instrText>
      </w:r>
      <w:r>
        <w:rPr>
          <w:rFonts w:eastAsiaTheme="minorEastAsia"/>
        </w:rPr>
      </w:r>
      <w:r>
        <w:rPr>
          <w:rFonts w:eastAsiaTheme="minorEastAsia"/>
        </w:rPr>
        <w:fldChar w:fldCharType="separate"/>
      </w:r>
      <w:r w:rsidR="00552F8C">
        <w:t xml:space="preserve">Equation </w:t>
      </w:r>
      <w:r w:rsidR="00552F8C">
        <w:rPr>
          <w:noProof/>
        </w:rPr>
        <w:t>17</w:t>
      </w:r>
      <w:r>
        <w:rPr>
          <w:rFonts w:eastAsiaTheme="minorEastAsia"/>
        </w:rPr>
        <w:fldChar w:fldCharType="end"/>
      </w:r>
      <w:r>
        <w:rPr>
          <w:rFonts w:eastAsiaTheme="minorEastAsia"/>
        </w:rPr>
        <w:t>.</w:t>
      </w:r>
    </w:p>
    <w:p w14:paraId="2F40E36C" w14:textId="65E9069A" w:rsidR="009A35C6" w:rsidRDefault="009A35C6" w:rsidP="009A35C6">
      <w:pPr>
        <w:ind w:left="720"/>
        <w:rPr>
          <w:rFonts w:eastAsiaTheme="minorEastAsia"/>
        </w:rPr>
      </w:pPr>
      <m:oMath>
        <m:sSub>
          <m:sSubPr>
            <m:ctrlPr>
              <w:rPr>
                <w:rFonts w:ascii="Cambria Math" w:hAnsi="Cambria Math"/>
                <w:i/>
              </w:rPr>
            </m:ctrlPr>
          </m:sSubPr>
          <m:e>
            <m:r>
              <w:rPr>
                <w:rFonts w:ascii="Cambria Math" w:hAnsi="Cambria Math"/>
              </w:rPr>
              <m:t>QS</m:t>
            </m:r>
          </m:e>
          <m:sub>
            <m:r>
              <w:rPr>
                <w:rFonts w:ascii="Cambria Math" w:hAnsi="Cambria Math"/>
              </w:rPr>
              <m:t>q</m:t>
            </m:r>
          </m:sub>
        </m:sSub>
      </m:oMath>
      <w:r>
        <w:rPr>
          <w:rFonts w:eastAsiaTheme="minorEastAsia"/>
        </w:rPr>
        <w:t xml:space="preserve"> is as defined in </w:t>
      </w:r>
      <w:r>
        <w:rPr>
          <w:rFonts w:eastAsiaTheme="minorEastAsia"/>
        </w:rPr>
        <w:fldChar w:fldCharType="begin"/>
      </w:r>
      <w:r>
        <w:rPr>
          <w:rFonts w:eastAsiaTheme="minorEastAsia"/>
        </w:rPr>
        <w:instrText xml:space="preserve"> REF _Ref38576746 \h </w:instrText>
      </w:r>
      <w:r>
        <w:rPr>
          <w:rFonts w:eastAsiaTheme="minorEastAsia"/>
        </w:rPr>
      </w:r>
      <w:r>
        <w:rPr>
          <w:rFonts w:eastAsiaTheme="minorEastAsia"/>
        </w:rPr>
        <w:fldChar w:fldCharType="separate"/>
      </w:r>
      <w:r w:rsidR="00552F8C">
        <w:t xml:space="preserve">Equation </w:t>
      </w:r>
      <w:r w:rsidR="00552F8C">
        <w:rPr>
          <w:noProof/>
        </w:rPr>
        <w:t>9</w:t>
      </w:r>
      <w:r>
        <w:rPr>
          <w:rFonts w:eastAsiaTheme="minorEastAsia"/>
        </w:rPr>
        <w:fldChar w:fldCharType="end"/>
      </w:r>
      <w:r>
        <w:rPr>
          <w:rFonts w:eastAsiaTheme="minorEastAsia"/>
        </w:rPr>
        <w:t>.</w:t>
      </w:r>
    </w:p>
    <w:p w14:paraId="7C91C97B" w14:textId="77777777" w:rsidR="009A35C6" w:rsidRDefault="009A35C6" w:rsidP="00B45E9B"/>
    <w:sectPr w:rsidR="009A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5D"/>
    <w:rsid w:val="000055C2"/>
    <w:rsid w:val="00005937"/>
    <w:rsid w:val="00015E0B"/>
    <w:rsid w:val="000279C4"/>
    <w:rsid w:val="00032750"/>
    <w:rsid w:val="00033B8C"/>
    <w:rsid w:val="00046913"/>
    <w:rsid w:val="000618B6"/>
    <w:rsid w:val="00074BE5"/>
    <w:rsid w:val="000B5693"/>
    <w:rsid w:val="000C09F4"/>
    <w:rsid w:val="000C4674"/>
    <w:rsid w:val="000C779C"/>
    <w:rsid w:val="000C77A8"/>
    <w:rsid w:val="000E3130"/>
    <w:rsid w:val="00135EAA"/>
    <w:rsid w:val="00136349"/>
    <w:rsid w:val="001A647E"/>
    <w:rsid w:val="001C74FD"/>
    <w:rsid w:val="001E751D"/>
    <w:rsid w:val="00295C1E"/>
    <w:rsid w:val="002B4BCB"/>
    <w:rsid w:val="0033554B"/>
    <w:rsid w:val="00337A50"/>
    <w:rsid w:val="00377B38"/>
    <w:rsid w:val="0038277F"/>
    <w:rsid w:val="003B6354"/>
    <w:rsid w:val="003C7370"/>
    <w:rsid w:val="00401EA1"/>
    <w:rsid w:val="004215F2"/>
    <w:rsid w:val="00450087"/>
    <w:rsid w:val="00452F68"/>
    <w:rsid w:val="0049177F"/>
    <w:rsid w:val="004B13BF"/>
    <w:rsid w:val="004B34D7"/>
    <w:rsid w:val="004B7E0D"/>
    <w:rsid w:val="004C1D00"/>
    <w:rsid w:val="004E3C4E"/>
    <w:rsid w:val="00506E61"/>
    <w:rsid w:val="005138C5"/>
    <w:rsid w:val="00532D11"/>
    <w:rsid w:val="00552F8C"/>
    <w:rsid w:val="00556B1C"/>
    <w:rsid w:val="00557687"/>
    <w:rsid w:val="00592933"/>
    <w:rsid w:val="00594DB0"/>
    <w:rsid w:val="00596A26"/>
    <w:rsid w:val="005B6904"/>
    <w:rsid w:val="005E38C0"/>
    <w:rsid w:val="005F0C49"/>
    <w:rsid w:val="00610A10"/>
    <w:rsid w:val="006464B9"/>
    <w:rsid w:val="00652C7B"/>
    <w:rsid w:val="00690AFC"/>
    <w:rsid w:val="00694970"/>
    <w:rsid w:val="006A7C38"/>
    <w:rsid w:val="006E1519"/>
    <w:rsid w:val="00710554"/>
    <w:rsid w:val="00712818"/>
    <w:rsid w:val="00780A81"/>
    <w:rsid w:val="007B05A4"/>
    <w:rsid w:val="007E5DF5"/>
    <w:rsid w:val="007F77BB"/>
    <w:rsid w:val="00800A93"/>
    <w:rsid w:val="00874DDF"/>
    <w:rsid w:val="00876DBA"/>
    <w:rsid w:val="00881A72"/>
    <w:rsid w:val="00883EBB"/>
    <w:rsid w:val="008D7614"/>
    <w:rsid w:val="008E6D97"/>
    <w:rsid w:val="008F2877"/>
    <w:rsid w:val="0092025E"/>
    <w:rsid w:val="00935EAA"/>
    <w:rsid w:val="00942CE1"/>
    <w:rsid w:val="0098102A"/>
    <w:rsid w:val="009A35C6"/>
    <w:rsid w:val="009A4DF2"/>
    <w:rsid w:val="009C2B86"/>
    <w:rsid w:val="00A02142"/>
    <w:rsid w:val="00A55F04"/>
    <w:rsid w:val="00AA215D"/>
    <w:rsid w:val="00AB1EC7"/>
    <w:rsid w:val="00AC1FAB"/>
    <w:rsid w:val="00AC7B86"/>
    <w:rsid w:val="00B1022C"/>
    <w:rsid w:val="00B33733"/>
    <w:rsid w:val="00B45E9B"/>
    <w:rsid w:val="00B50FDC"/>
    <w:rsid w:val="00B53780"/>
    <w:rsid w:val="00BA3D10"/>
    <w:rsid w:val="00BD2D6B"/>
    <w:rsid w:val="00BD3B41"/>
    <w:rsid w:val="00BE185B"/>
    <w:rsid w:val="00C032A8"/>
    <w:rsid w:val="00C06E74"/>
    <w:rsid w:val="00C4522E"/>
    <w:rsid w:val="00C52376"/>
    <w:rsid w:val="00C536BB"/>
    <w:rsid w:val="00C6005F"/>
    <w:rsid w:val="00C620AC"/>
    <w:rsid w:val="00C64874"/>
    <w:rsid w:val="00C84A95"/>
    <w:rsid w:val="00CF1062"/>
    <w:rsid w:val="00CF38DC"/>
    <w:rsid w:val="00D058F6"/>
    <w:rsid w:val="00D21B4E"/>
    <w:rsid w:val="00D32190"/>
    <w:rsid w:val="00D3689B"/>
    <w:rsid w:val="00D625DA"/>
    <w:rsid w:val="00D91817"/>
    <w:rsid w:val="00DC0C64"/>
    <w:rsid w:val="00DC5B4D"/>
    <w:rsid w:val="00E06644"/>
    <w:rsid w:val="00E16DE9"/>
    <w:rsid w:val="00E218F9"/>
    <w:rsid w:val="00E43B2D"/>
    <w:rsid w:val="00E55273"/>
    <w:rsid w:val="00E8247C"/>
    <w:rsid w:val="00E91377"/>
    <w:rsid w:val="00EA18F1"/>
    <w:rsid w:val="00EF3A57"/>
    <w:rsid w:val="00EF60B0"/>
    <w:rsid w:val="00F10CA2"/>
    <w:rsid w:val="00F43453"/>
    <w:rsid w:val="00FD0557"/>
    <w:rsid w:val="00FD3299"/>
    <w:rsid w:val="00FD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4464"/>
  <w14:defaultImageDpi w14:val="32767"/>
  <w15:chartTrackingRefBased/>
  <w15:docId w15:val="{CA66BE05-056F-46A4-ACFC-9F406C01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0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0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27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Object">
    <w:name w:val="Code Object"/>
    <w:basedOn w:val="Normal"/>
    <w:link w:val="CodeObjectChar"/>
    <w:qFormat/>
    <w:rsid w:val="00C84A95"/>
    <w:pPr>
      <w:tabs>
        <w:tab w:val="left" w:pos="2160"/>
      </w:tabs>
    </w:pPr>
    <w:rPr>
      <w:rFonts w:ascii="Courier New" w:hAnsi="Courier New"/>
    </w:rPr>
  </w:style>
  <w:style w:type="table" w:styleId="TableGrid">
    <w:name w:val="Table Grid"/>
    <w:basedOn w:val="TableNormal"/>
    <w:uiPriority w:val="39"/>
    <w:rsid w:val="0049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ObjectChar">
    <w:name w:val="Code Object Char"/>
    <w:basedOn w:val="DefaultParagraphFont"/>
    <w:link w:val="CodeObject"/>
    <w:rsid w:val="00C84A95"/>
    <w:rPr>
      <w:rFonts w:ascii="Courier New" w:hAnsi="Courier New"/>
    </w:rPr>
  </w:style>
  <w:style w:type="character" w:styleId="PlaceholderText">
    <w:name w:val="Placeholder Text"/>
    <w:basedOn w:val="DefaultParagraphFont"/>
    <w:uiPriority w:val="99"/>
    <w:semiHidden/>
    <w:rsid w:val="000618B6"/>
    <w:rPr>
      <w:color w:val="808080"/>
    </w:rPr>
  </w:style>
  <w:style w:type="paragraph" w:styleId="Caption">
    <w:name w:val="caption"/>
    <w:basedOn w:val="Normal"/>
    <w:next w:val="Normal"/>
    <w:uiPriority w:val="35"/>
    <w:unhideWhenUsed/>
    <w:qFormat/>
    <w:rsid w:val="00EF60B0"/>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F60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277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2F8C"/>
    <w:rPr>
      <w:color w:val="0563C1" w:themeColor="hyperlink"/>
      <w:u w:val="single"/>
    </w:rPr>
  </w:style>
  <w:style w:type="character" w:styleId="UnresolvedMention">
    <w:name w:val="Unresolved Mention"/>
    <w:basedOn w:val="DefaultParagraphFont"/>
    <w:uiPriority w:val="99"/>
    <w:semiHidden/>
    <w:unhideWhenUsed/>
    <w:rsid w:val="00552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DAF9F80FDE0E459E1A4ABBAD4741F7" ma:contentTypeVersion="14" ma:contentTypeDescription="Create a new document." ma:contentTypeScope="" ma:versionID="2553be842a350308aab1a6ee2a75ab66">
  <xsd:schema xmlns:xsd="http://www.w3.org/2001/XMLSchema" xmlns:xs="http://www.w3.org/2001/XMLSchema" xmlns:p="http://schemas.microsoft.com/office/2006/metadata/properties" xmlns:ns2="1f515989-4afe-4bfb-8869-4f44a11afb39" xmlns:ns3="e5e22d63-cd76-4ad0-9cc0-8f2b2146ce9f" targetNamespace="http://schemas.microsoft.com/office/2006/metadata/properties" ma:root="true" ma:fieldsID="3498ede1fa8348bb78a919910a544d14" ns2:_="" ns3:_="">
    <xsd:import namespace="1f515989-4afe-4bfb-8869-4f44a11afb39"/>
    <xsd:import namespace="e5e22d63-cd76-4ad0-9cc0-8f2b2146ce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15989-4afe-4bfb-8869-4f44a11afb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58c64cc-ee56-435d-b6d0-239f1a5e0d97"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e22d63-cd76-4ad0-9cc0-8f2b2146ce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abaef8b9-b614-4a1a-8207-1a59c8f9eb80}" ma:internalName="TaxCatchAll" ma:showField="CatchAllData" ma:web="e5e22d63-cd76-4ad0-9cc0-8f2b2146ce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5e22d63-cd76-4ad0-9cc0-8f2b2146ce9f" xsi:nil="true"/>
    <lcf76f155ced4ddcb4097134ff3c332f xmlns="1f515989-4afe-4bfb-8869-4f44a11afb3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979CCA-1D26-476F-9AD1-8F264AB99B30}">
  <ds:schemaRefs>
    <ds:schemaRef ds:uri="http://schemas.openxmlformats.org/officeDocument/2006/bibliography"/>
  </ds:schemaRefs>
</ds:datastoreItem>
</file>

<file path=customXml/itemProps2.xml><?xml version="1.0" encoding="utf-8"?>
<ds:datastoreItem xmlns:ds="http://schemas.openxmlformats.org/officeDocument/2006/customXml" ds:itemID="{0FEE3182-F07A-494B-8B94-6B017EAAFC4A}"/>
</file>

<file path=customXml/itemProps3.xml><?xml version="1.0" encoding="utf-8"?>
<ds:datastoreItem xmlns:ds="http://schemas.openxmlformats.org/officeDocument/2006/customXml" ds:itemID="{726E3309-427E-4C99-9F82-C77072D1A296}"/>
</file>

<file path=customXml/itemProps4.xml><?xml version="1.0" encoding="utf-8"?>
<ds:datastoreItem xmlns:ds="http://schemas.openxmlformats.org/officeDocument/2006/customXml" ds:itemID="{01AFCDB5-9309-4D6A-831F-EA9DCE6CBC6B}"/>
</file>

<file path=docProps/app.xml><?xml version="1.0" encoding="utf-8"?>
<Properties xmlns="http://schemas.openxmlformats.org/officeDocument/2006/extended-properties" xmlns:vt="http://schemas.openxmlformats.org/officeDocument/2006/docPropsVTypes">
  <Template>Normal</Template>
  <TotalTime>532</TotalTime>
  <Pages>31</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Hansen</dc:creator>
  <cp:keywords/>
  <dc:description/>
  <cp:lastModifiedBy>Hansen, Robert</cp:lastModifiedBy>
  <cp:revision>43</cp:revision>
  <dcterms:created xsi:type="dcterms:W3CDTF">2020-04-10T03:33:00Z</dcterms:created>
  <dcterms:modified xsi:type="dcterms:W3CDTF">2020-04-28T01:49:00Z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0x0101006EDAF9F80FDE0E459E1A4ABBAD4741F7</vt:lpwstr>
  </property>
</Properties>
</file>