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8"/>
          <w:szCs w:val="48"/>
        </w:rPr>
        <w:t xml:space="preserve">Resilient Innovation</w:t>
      </w:r>
    </w:p>
    <w:p>
      <w:pPr>
        <w:spacing w:after="100"/>
        <w:jc w:val="center"/>
      </w:pPr>
      <w:r>
        <w:rPr>
          <w:rFonts w:ascii="Arial" w:cs="Arial" w:eastAsia="Arial" w:hAnsi="Arial"/>
          <w:b/>
          <w:bCs/>
          <w:color w:val="1B3A5C"/>
          <w:sz w:val="48"/>
          <w:szCs w:val="48"/>
        </w:rPr>
        <w:t xml:space="preserve">Agent Platform</w:t>
      </w:r>
    </w:p>
    <w:p>
      <w:pPr>
        <w:pBdr>
          <w:bottom w:val="single" w:color="0D8A8A" w:sz="6" w:space="1"/>
        </w:pBdr>
        <w:spacing w:after="400"/>
        <w:jc w:val="center"/>
      </w:pPr>
      <w:r>
        <w:rPr>
          <w:rFonts w:ascii="Arial" w:cs="Arial" w:eastAsia="Arial" w:hAnsi="Arial"/>
          <w:color w:val="0D8A8A"/>
          <w:sz w:val="28"/>
          <w:szCs w:val="28"/>
        </w:rPr>
        <w:t xml:space="preserve">Architecture Blueprint &amp; Strategy</w:t>
      </w:r>
    </w:p>
    <w:p>
      <w:pPr>
        <w:spacing w:before="400"/>
      </w:pPr>
    </w:p>
    <w:p>
      <w:pPr>
        <w:spacing w:after="100"/>
        <w:jc w:val="center"/>
      </w:pPr>
      <w:r>
        <w:rPr>
          <w:rFonts w:ascii="Arial" w:cs="Arial" w:eastAsia="Arial" w:hAnsi="Arial"/>
          <w:color w:val="666666"/>
          <w:sz w:val="24"/>
          <w:szCs w:val="24"/>
        </w:rPr>
        <w:t xml:space="preserve">Next Horizon Innovations LLC</w:t>
      </w:r>
    </w:p>
    <w:p>
      <w:pPr>
        <w:spacing w:after="100"/>
        <w:jc w:val="center"/>
      </w:pPr>
      <w:r>
        <w:rPr>
          <w:rFonts w:ascii="Arial" w:cs="Arial" w:eastAsia="Arial" w:hAnsi="Arial"/>
          <w:color w:val="666666"/>
          <w:sz w:val="22"/>
          <w:szCs w:val="22"/>
        </w:rPr>
        <w:t xml:space="preserve">Bob Holzer, Founder</w:t>
      </w:r>
    </w:p>
    <w:p>
      <w:pPr>
        <w:spacing w:after="100"/>
        <w:jc w:val="center"/>
      </w:pPr>
      <w:r>
        <w:rPr>
          <w:rFonts w:ascii="Arial" w:cs="Arial" w:eastAsia="Arial" w:hAnsi="Arial"/>
          <w:color w:val="666666"/>
          <w:sz w:val="22"/>
          <w:szCs w:val="22"/>
        </w:rPr>
        <w:t xml:space="preserve">March 2026 | Version 1.0</w:t>
      </w:r>
    </w:p>
    <w:p>
      <w:pPr>
        <w:spacing w:after="100" w:before="600"/>
        <w:jc w:val="center"/>
      </w:pPr>
      <w:r>
        <w:rPr>
          <w:rFonts w:ascii="Arial" w:cs="Arial" w:eastAsia="Arial" w:hAnsi="Arial"/>
          <w:i/>
          <w:iCs/>
          <w:color w:val="888888"/>
          <w:sz w:val="20"/>
          <w:szCs w:val="20"/>
        </w:rPr>
        <w:t xml:space="preserve">CONFIDENTIAL - Next Horizon Innovations</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I built this platform because I kept seeing the same problem: organizations try to innovate through one method and wonder why it doesn't stick. They run design thinking workshops but ignore the systems their ideas have to survive in. They do scenario planning but never test whether anyone actually wants the thing they're building. They map complex systems but can't translate the analysis into something a real person would use.</w:t>
      </w:r>
    </w:p>
    <w:p>
      <w:pPr>
        <w:spacing w:after="120"/>
      </w:pPr>
      <w:r>
        <w:rPr>
          <w:rFonts w:ascii="Arial" w:cs="Arial" w:eastAsia="Arial" w:hAnsi="Arial"/>
          <w:sz w:val="22"/>
          <w:szCs w:val="22"/>
        </w:rPr>
        <w:t xml:space="preserve">This document lays out the architecture for an AI-powered innovation practice built on Braden Kelley's Resilient Innovation framework. The core idea: real innovation only happens at the intersection of Future Thinking, Design Thinking, and Systems Thinking working together. I've operationalized that intersection through 11 specialized AI agents, each with a distinct personality and analytical focus, orchestrated into a repeatable engagement pipeline.</w:t>
      </w:r>
    </w:p>
    <w:p>
      <w:pPr>
        <w:spacing w:after="120"/>
      </w:pPr>
      <w:r>
        <w:rPr>
          <w:rFonts w:ascii="Arial" w:cs="Arial" w:eastAsia="Arial" w:hAnsi="Arial"/>
          <w:sz w:val="22"/>
          <w:szCs w:val="22"/>
        </w:rPr>
        <w:t xml:space="preserve">The platform serves three purposes. First, it's a consultant-led innovation practice where I run client engagements using these agents. Second, it becomes a productized platform that innovation teams can license and run themselves. Third, it's a working portfolio that demonstrates the kind of multi-dimensional innovation thinking I bring to any organization.</w:t>
      </w:r>
    </w:p>
    <w:p>
      <w:r>
        <w:br w:type="page"/>
      </w:r>
    </w:p>
    <w:p>
      <w:pPr>
        <w:pStyle w:val="Heading1"/>
      </w:pPr>
      <w:r>
        <w:t xml:space="preserve">2. Framework Foundation: The Resilient Innovation Model</w:t>
      </w:r>
    </w:p>
    <w:p>
      <w:pPr>
        <w:spacing w:after="120"/>
      </w:pPr>
      <w:r>
        <w:rPr>
          <w:rFonts w:ascii="Arial" w:cs="Arial" w:eastAsia="Arial" w:hAnsi="Arial"/>
          <w:sz w:val="22"/>
          <w:szCs w:val="22"/>
        </w:rPr>
        <w:t xml:space="preserve">This is based on Braden Kelley and Art Inteligencia's March 2026 article (bradenkelley.com). The framework defines three core thinking disciplines and the capabilities that emerge where they overlap.</w:t>
      </w:r>
    </w:p>
    <w:p>
      <w:pPr>
        <w:pStyle w:val="Heading2"/>
      </w:pPr>
      <w:r>
        <w:t xml:space="preserve">2.1 Core Disciplines</w:t>
      </w:r>
    </w:p>
    <w:p>
      <w:pPr>
        <w:spacing w:after="100"/>
      </w:pPr>
      <w:r>
        <w:rPr>
          <w:rFonts w:ascii="Arial" w:cs="Arial" w:eastAsia="Arial" w:hAnsi="Arial"/>
          <w:b/>
          <w:bCs/>
          <w:sz w:val="22"/>
          <w:szCs w:val="22"/>
        </w:rPr>
        <w:t xml:space="preserve">Future Thinking: </w:t>
      </w:r>
      <w:r>
        <w:rPr>
          <w:rFonts w:ascii="Arial" w:cs="Arial" w:eastAsia="Arial" w:hAnsi="Arial"/>
          <w:sz w:val="22"/>
          <w:szCs w:val="22"/>
        </w:rPr>
        <w:t xml:space="preserve">Anticipating multiple possible futures through horizon scanning, trend analysis, and scenario planning. Fights the most dangerous assumption any organization makes: that tomorrow will look like today.</w:t>
      </w:r>
    </w:p>
    <w:p>
      <w:pPr>
        <w:spacing w:after="100"/>
      </w:pPr>
      <w:r>
        <w:rPr>
          <w:rFonts w:ascii="Arial" w:cs="Arial" w:eastAsia="Arial" w:hAnsi="Arial"/>
          <w:b/>
          <w:bCs/>
          <w:sz w:val="22"/>
          <w:szCs w:val="22"/>
        </w:rPr>
        <w:t xml:space="preserve">Design Thinking: </w:t>
      </w:r>
      <w:r>
        <w:rPr>
          <w:rFonts w:ascii="Arial" w:cs="Arial" w:eastAsia="Arial" w:hAnsi="Arial"/>
          <w:sz w:val="22"/>
          <w:szCs w:val="22"/>
        </w:rPr>
        <w:t xml:space="preserve">Solving problems through deep empathy with human needs, behaviors, and motivations. Uses observation, journey mapping, and rapid prototyping to create solutions people will actually adopt.</w:t>
      </w:r>
    </w:p>
    <w:p>
      <w:pPr>
        <w:spacing w:after="100"/>
      </w:pPr>
      <w:r>
        <w:rPr>
          <w:rFonts w:ascii="Arial" w:cs="Arial" w:eastAsia="Arial" w:hAnsi="Arial"/>
          <w:b/>
          <w:bCs/>
          <w:sz w:val="22"/>
          <w:szCs w:val="22"/>
        </w:rPr>
        <w:t xml:space="preserve">Systems Thinking: </w:t>
      </w:r>
      <w:r>
        <w:rPr>
          <w:rFonts w:ascii="Arial" w:cs="Arial" w:eastAsia="Arial" w:hAnsi="Arial"/>
          <w:sz w:val="22"/>
          <w:szCs w:val="22"/>
        </w:rPr>
        <w:t xml:space="preserve">Understanding complex interconnected environments through system maps, causal loops, and stakeholder ecosystem analysis. Reveals the hidden dependencies and feedback loops that kill good ideas.</w:t>
      </w:r>
    </w:p>
    <w:p>
      <w:pPr>
        <w:pStyle w:val="Heading2"/>
      </w:pPr>
      <w:r>
        <w:t xml:space="preserve">2.2 Intersection Capabilities</w:t>
      </w:r>
    </w:p>
    <w:p>
      <w:pPr>
        <w:spacing w:after="100"/>
      </w:pPr>
      <w:r>
        <w:rPr>
          <w:rFonts w:ascii="Arial" w:cs="Arial" w:eastAsia="Arial" w:hAnsi="Arial"/>
          <w:b/>
          <w:bCs/>
          <w:sz w:val="22"/>
          <w:szCs w:val="22"/>
        </w:rPr>
        <w:t xml:space="preserve">Future + Design: </w:t>
      </w:r>
      <w:r>
        <w:rPr>
          <w:rFonts w:ascii="Arial" w:cs="Arial" w:eastAsia="Arial" w:hAnsi="Arial"/>
          <w:sz w:val="22"/>
          <w:szCs w:val="22"/>
        </w:rPr>
        <w:t xml:space="preserve">Designing for future scenarios. Creates future personas, scenario-based prototypes, and uses speculative design to explore possibilities before they arrive.</w:t>
      </w:r>
    </w:p>
    <w:p>
      <w:pPr>
        <w:spacing w:after="100"/>
      </w:pPr>
      <w:r>
        <w:rPr>
          <w:rFonts w:ascii="Arial" w:cs="Arial" w:eastAsia="Arial" w:hAnsi="Arial"/>
          <w:b/>
          <w:bCs/>
          <w:sz w:val="22"/>
          <w:szCs w:val="22"/>
        </w:rPr>
        <w:t xml:space="preserve">Design + Systems: </w:t>
      </w:r>
      <w:r>
        <w:rPr>
          <w:rFonts w:ascii="Arial" w:cs="Arial" w:eastAsia="Arial" w:hAnsi="Arial"/>
          <w:sz w:val="22"/>
          <w:szCs w:val="22"/>
        </w:rPr>
        <w:t xml:space="preserve">Human-centered solutions that actually scale in complex environments. Combines journey mapping with system mapping so solutions survive policy, culture, and infrastructure realities.</w:t>
      </w:r>
    </w:p>
    <w:p>
      <w:pPr>
        <w:spacing w:after="100"/>
      </w:pPr>
      <w:r>
        <w:rPr>
          <w:rFonts w:ascii="Arial" w:cs="Arial" w:eastAsia="Arial" w:hAnsi="Arial"/>
          <w:b/>
          <w:bCs/>
          <w:sz w:val="22"/>
          <w:szCs w:val="22"/>
        </w:rPr>
        <w:t xml:space="preserve">Future + Systems: </w:t>
      </w:r>
      <w:r>
        <w:rPr>
          <w:rFonts w:ascii="Arial" w:cs="Arial" w:eastAsia="Arial" w:hAnsi="Arial"/>
          <w:sz w:val="22"/>
          <w:szCs w:val="22"/>
        </w:rPr>
        <w:t xml:space="preserve">Preparing systems for what's coming. Resilience mapping, adaptive strategy design, and long-term capability building so organizations aren't blindsided by change.</w:t>
      </w:r>
    </w:p>
    <w:p>
      <w:pPr>
        <w:spacing w:after="100"/>
      </w:pPr>
      <w:r>
        <w:rPr>
          <w:rFonts w:ascii="Arial" w:cs="Arial" w:eastAsia="Arial" w:hAnsi="Arial"/>
          <w:b/>
          <w:bCs/>
          <w:sz w:val="22"/>
          <w:szCs w:val="22"/>
        </w:rPr>
        <w:t xml:space="preserve">The Center (Resilient Innovation): </w:t>
      </w:r>
      <w:r>
        <w:rPr>
          <w:rFonts w:ascii="Arial" w:cs="Arial" w:eastAsia="Arial" w:hAnsi="Arial"/>
          <w:sz w:val="22"/>
          <w:szCs w:val="22"/>
        </w:rPr>
        <w:t xml:space="preserve">Where all three meet. Adaptive innovation portfolios, experimentation across future scenarios, and human-centered system transformation. Organizations operating here can anticipate, design, and sustain.</w:t>
      </w:r>
    </w:p>
    <w:p>
      <w:r>
        <w:br w:type="page"/>
      </w:r>
    </w:p>
    <w:p>
      <w:pPr>
        <w:pStyle w:val="Heading1"/>
      </w:pPr>
      <w:r>
        <w:t xml:space="preserve">3. Agent Architecture</w:t>
      </w:r>
    </w:p>
    <w:p>
      <w:pPr>
        <w:spacing w:after="120"/>
      </w:pPr>
      <w:r>
        <w:rPr>
          <w:rFonts w:ascii="Arial" w:cs="Arial" w:eastAsia="Arial" w:hAnsi="Arial"/>
          <w:sz w:val="22"/>
          <w:szCs w:val="22"/>
        </w:rPr>
        <w:t xml:space="preserve">The platform has 11 specialized agents organized into five tiers. Each agent has a distinct personality, analytical focus, and output format. The architecture follows the same sequential pipeline pattern I proved out in SynthData Sandbox: each tier depends on outputs from the tier above.</w:t>
      </w:r>
    </w:p>
    <w:p>
      <w:pPr>
        <w:pStyle w:val="Heading2"/>
      </w:pPr>
      <w:r>
        <w:t xml:space="preserve">3.1 Tier 1: Client Interface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Agent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Codename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Personality &amp; Voice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Core Capabilities</w:t>
            </w:r>
          </w:p>
        </w:tc>
      </w:tr>
      <w:tr>
        <w:tc>
          <w:tcPr>
            <w:tcW w:type="dxa" w:w="1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bCs/>
                <w:color w:val="333333"/>
                <w:sz w:val="20"/>
                <w:szCs w:val="20"/>
              </w:rPr>
              <w:t xml:space="preserve">Intake Agent</w:t>
            </w:r>
          </w:p>
        </w:tc>
        <w:tc>
          <w:tcPr>
            <w:tcW w:type="dxa" w:w="12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Navigator</w:t>
            </w:r>
          </w:p>
        </w:tc>
        <w:tc>
          <w:tcPr>
            <w:tcW w:type="dxa" w:w="2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Methodical and curious. Asks the right questions before anyone picks up a tool. Runs the Innovation Maturity Assessment.</w:t>
            </w:r>
          </w:p>
        </w:tc>
        <w:tc>
          <w:tcPr>
            <w:tcW w:type="dxa" w:w="356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 discovery, challenge scoping, maturity assessment, constraint mapping, engagement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Deliverable Agent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Publisher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Polished and precise. Turns raw analysis into board-ready artifacts. Cares about formatting and narrative arc.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Executive decks, innovation roadmaps, workshop facilitation guides, one-pagers, case study production</w:t>
            </w:r>
          </w:p>
        </w:tc>
      </w:tr>
    </w:tbl>
    <w:p>
      <w:pPr>
        <w:pStyle w:val="Heading2"/>
      </w:pPr>
      <w:r>
        <w:t xml:space="preserve">3.2 Tier 2: Core Thinking Agents</w:t>
      </w:r>
    </w:p>
    <w:p>
      <w:pPr>
        <w:spacing w:after="120"/>
      </w:pPr>
      <w:r>
        <w:rPr>
          <w:rFonts w:ascii="Arial" w:cs="Arial" w:eastAsia="Arial" w:hAnsi="Arial"/>
          <w:sz w:val="22"/>
          <w:szCs w:val="22"/>
        </w:rPr>
        <w:t xml:space="preserve">These three map directly to Kelley's three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Agent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Codename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Personality &amp; Voice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Core Capabilities</w:t>
            </w:r>
          </w:p>
        </w:tc>
      </w:tr>
      <w:tr>
        <w:tc>
          <w:tcPr>
            <w:tcW w:type="dxa" w:w="1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bCs/>
                <w:color w:val="333333"/>
                <w:sz w:val="20"/>
                <w:szCs w:val="20"/>
              </w:rPr>
              <w:t xml:space="preserve">Future Thinking</w:t>
            </w:r>
          </w:p>
        </w:tc>
        <w:tc>
          <w:tcPr>
            <w:tcW w:type="dxa" w:w="12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Scout</w:t>
            </w:r>
          </w:p>
        </w:tc>
        <w:tc>
          <w:tcPr>
            <w:tcW w:type="dxa" w:w="2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Restless and curious. Always scanning the horizon. Challenges "that'll never happen" thinking. Voice: "Here's what's coming over the hill..."</w:t>
            </w:r>
          </w:p>
        </w:tc>
        <w:tc>
          <w:tcPr>
            <w:tcW w:type="dxa" w:w="356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Horizon scanning, trend analysis, scenario planning, weak signal detection, emerging tech assessment, Ride Two Curves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Design Thinking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Empathy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Obsessed with the human. Pushes back on solutions that are technically elegant but emotionally dead. Voice: "Have we actually talked to anyone who'd use this?"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research frameworks, journey mapping, persona development, prototyping briefs, desirability testing, empathy synthesis</w:t>
            </w:r>
          </w:p>
        </w:tc>
      </w:tr>
      <w:tr>
        <w:tc>
          <w:tcPr>
            <w:tcW w:type="dxa" w:w="1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bCs/>
                <w:color w:val="333333"/>
                <w:sz w:val="20"/>
                <w:szCs w:val="20"/>
              </w:rPr>
              <w:t xml:space="preserve">Systems Thinking</w:t>
            </w:r>
          </w:p>
        </w:tc>
        <w:tc>
          <w:tcPr>
            <w:tcW w:type="dxa" w:w="12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Architect</w:t>
            </w:r>
          </w:p>
        </w:tc>
        <w:tc>
          <w:tcPr>
            <w:tcW w:type="dxa" w:w="2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Sees connections everywhere. Maps second-order effects. Voice: "Yes, but what happens to the supply chain when you do that?"</w:t>
            </w:r>
          </w:p>
        </w:tc>
        <w:tc>
          <w:tcPr>
            <w:tcW w:type="dxa" w:w="356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System maps, causal loop diagrams, stakeholder ecosystems, feedback loop identification, leverage point analysis, Draw Out Consequences analysis</w:t>
            </w:r>
          </w:p>
        </w:tc>
      </w:tr>
    </w:tbl>
    <w:p>
      <w:pPr>
        <w:pStyle w:val="Heading2"/>
      </w:pPr>
      <w:r>
        <w:t xml:space="preserve">3.3 Tier 3: Intersection Agents</w:t>
      </w:r>
    </w:p>
    <w:p>
      <w:pPr>
        <w:spacing w:after="120"/>
      </w:pPr>
      <w:r>
        <w:rPr>
          <w:rFonts w:ascii="Arial" w:cs="Arial" w:eastAsia="Arial" w:hAnsi="Arial"/>
          <w:sz w:val="22"/>
          <w:szCs w:val="22"/>
        </w:rPr>
        <w:t xml:space="preserve">These agents operate at the Venn diagram overlaps, combining perspectives from two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Agent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Codename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Personality &amp; Voice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Core Capabilities</w:t>
            </w:r>
          </w:p>
        </w:tc>
      </w:tr>
      <w:tr>
        <w:tc>
          <w:tcPr>
            <w:tcW w:type="dxa" w:w="1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bCs/>
                <w:color w:val="333333"/>
                <w:sz w:val="20"/>
                <w:szCs w:val="20"/>
              </w:rPr>
              <w:t xml:space="preserve">Future + Design</w:t>
            </w:r>
          </w:p>
        </w:tc>
        <w:tc>
          <w:tcPr>
            <w:tcW w:type="dxa" w:w="12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Visionary</w:t>
            </w:r>
          </w:p>
        </w:tc>
        <w:tc>
          <w:tcPr>
            <w:tcW w:type="dxa" w:w="2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Designs for people who don't exist yet. Provocative and imaginative. Voice: "In 2030, your customer won't care about this feature."</w:t>
            </w:r>
          </w:p>
        </w:tc>
        <w:tc>
          <w:tcPr>
            <w:tcW w:type="dxa" w:w="356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Future personas, scenario-based prototypes, speculative design, experience roadmaps, anticipatory design briefs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Design +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Integrator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Bridges the gap from pilot to production. Practical and persistent. Voice: "Great idea. Now let's make it survive the real world."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Scalable solution design, adoption pathway mapping, stakeholder ecosystem analysis, policy/culture compatibility, implementation feasibility</w:t>
            </w:r>
          </w:p>
        </w:tc>
      </w:tr>
      <w:tr>
        <w:tc>
          <w:tcPr>
            <w:tcW w:type="dxa" w:w="1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bCs/>
                <w:color w:val="333333"/>
                <w:sz w:val="20"/>
                <w:szCs w:val="20"/>
              </w:rPr>
              <w:t xml:space="preserve">Future + Systems</w:t>
            </w:r>
          </w:p>
        </w:tc>
        <w:tc>
          <w:tcPr>
            <w:tcW w:type="dxa" w:w="12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Sentinel</w:t>
            </w:r>
          </w:p>
        </w:tc>
        <w:tc>
          <w:tcPr>
            <w:tcW w:type="dxa" w:w="2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Stress-tests everything. Strategically paranoid. Voice: "What breaks first when this assumption fails?"</w:t>
            </w:r>
          </w:p>
        </w:tc>
        <w:tc>
          <w:tcPr>
            <w:tcW w:type="dxa" w:w="356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Resilience mapping, adaptive strategy design, long-term capability planning, vulnerability assessment, system resilience scoring</w:t>
            </w:r>
          </w:p>
        </w:tc>
      </w:tr>
    </w:tbl>
    <w:p>
      <w:r>
        <w:br w:type="page"/>
      </w:r>
    </w:p>
    <w:p>
      <w:pPr>
        <w:pStyle w:val="Heading2"/>
      </w:pPr>
      <w:r>
        <w:t xml:space="preserve">3.4 Tier 4: Operational Agents</w:t>
      </w:r>
    </w:p>
    <w:p>
      <w:pPr>
        <w:spacing w:after="120"/>
      </w:pPr>
      <w:r>
        <w:rPr>
          <w:rFonts w:ascii="Arial" w:cs="Arial" w:eastAsia="Arial" w:hAnsi="Arial"/>
          <w:sz w:val="22"/>
          <w:szCs w:val="22"/>
        </w:rPr>
        <w:t xml:space="preserve">These address the enterprise needs that Kelley's framework references but doesn't fully operationalize: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Agent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Codename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Personality &amp; Voice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Core Capabilities</w:t>
            </w:r>
          </w:p>
        </w:tc>
      </w:tr>
      <w:tr>
        <w:tc>
          <w:tcPr>
            <w:tcW w:type="dxa" w:w="1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bCs/>
                <w:color w:val="333333"/>
                <w:sz w:val="20"/>
                <w:szCs w:val="20"/>
              </w:rPr>
              <w:t xml:space="preserve">Competitive Intel</w:t>
            </w:r>
          </w:p>
        </w:tc>
        <w:tc>
          <w:tcPr>
            <w:tcW w:type="dxa" w:w="12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Radar</w:t>
            </w:r>
          </w:p>
        </w:tc>
        <w:tc>
          <w:tcPr>
            <w:tcW w:type="dxa" w:w="2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Vigilant and data-driven. Tracks competitor moves, patent filings, M&amp;A, and market shifts. Voice: "Your competitor just filed a patent on..."</w:t>
            </w:r>
          </w:p>
        </w:tc>
        <w:tc>
          <w:tcPr>
            <w:tcW w:type="dxa" w:w="356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Competitive monitoring, patent scanning, M&amp;A tracking, market signal aggregation, threat/opportunity alerts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Portfolio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Banker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Disciplined and balanced. Manages the Horizon 1/2/3 portfolio. Voice: "We're overweight on incremental and starving transformational."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Innovation pipeline management, Horizon 1/2/3 balancing, resource allocation, pipeline health scoring, portfolio dashboards</w:t>
            </w:r>
          </w:p>
        </w:tc>
      </w:tr>
      <w:tr>
        <w:tc>
          <w:tcPr>
            <w:tcW w:type="dxa" w:w="1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bCs/>
                <w:color w:val="333333"/>
                <w:sz w:val="20"/>
                <w:szCs w:val="20"/>
              </w:rPr>
              <w:t xml:space="preserve">Metrics &amp; Scoring</w:t>
            </w:r>
          </w:p>
        </w:tc>
        <w:tc>
          <w:tcPr>
            <w:tcW w:type="dxa" w:w="12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Scorekeeper</w:t>
            </w:r>
          </w:p>
        </w:tc>
        <w:tc>
          <w:tcPr>
            <w:tcW w:type="dxa" w:w="2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Rigorous and fair. Scores ideas on desirability, viability, feasibility, and adaptability. Voice: "Show me the evidence."</w:t>
            </w:r>
          </w:p>
        </w:tc>
        <w:tc>
          <w:tcPr>
            <w:tcW w:type="dxa" w:w="356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Idea scoring (DVFA framework), portfolio KPI tracking, innovation maturity measurement, progress dashboards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Change Mgmt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Bridge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Empathetic but realistic about resistance. Voice: "The technology is ready. Are the people?"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Adoption readiness assessment, stakeholder resistance mapping, change capacity analysis, communication planning, transition design</w:t>
            </w:r>
          </w:p>
        </w:tc>
      </w:tr>
    </w:tbl>
    <w:p>
      <w:pPr>
        <w:pStyle w:val="Heading2"/>
      </w:pPr>
      <w:r>
        <w:t xml:space="preserve">3.5 Tier 5: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Agent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Codename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Personality &amp; Voice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1"/>
                <w:szCs w:val="21"/>
              </w:rPr>
              <w:t xml:space="preserve">Core Capabilities</w:t>
            </w:r>
          </w:p>
        </w:tc>
      </w:tr>
      <w:tr>
        <w:tc>
          <w:tcPr>
            <w:tcW w:type="dxa" w:w="1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bCs/>
                <w:color w:val="333333"/>
                <w:sz w:val="20"/>
                <w:szCs w:val="20"/>
              </w:rPr>
              <w:t xml:space="preserve">Orchestrator</w:t>
            </w:r>
          </w:p>
        </w:tc>
        <w:tc>
          <w:tcPr>
            <w:tcW w:type="dxa" w:w="12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Conductor</w:t>
            </w:r>
          </w:p>
        </w:tc>
        <w:tc>
          <w:tcPr>
            <w:tcW w:type="dxa" w:w="28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Synthesizes, arbitrates, and prioritizes. The executive voice. Voice: "Here's where we stand across all dimensions..."</w:t>
            </w:r>
          </w:p>
        </w:tc>
        <w:tc>
          <w:tcPr>
            <w:tcW w:type="dxa" w:w="356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Challenge routing, cross-agent synthesis, conflict resolution, portfolio-level strategy, case library management, engagement lifecycle management</w:t>
            </w:r>
          </w:p>
        </w:tc>
      </w:tr>
    </w:tbl>
    <w:p>
      <w:r>
        <w:br w:type="page"/>
      </w:r>
    </w:p>
    <w:p>
      <w:pPr>
        <w:pStyle w:val="Heading1"/>
      </w:pPr>
      <w:r>
        <w:t xml:space="preserve">4. Technical Implementation</w:t>
      </w:r>
    </w:p>
    <w:p>
      <w:pPr>
        <w:pStyle w:val="Heading2"/>
      </w:pPr>
      <w:r>
        <w:t xml:space="preserve">4.1 Claude Code + Cowork Architecture</w:t>
      </w:r>
    </w:p>
    <w:p>
      <w:pPr>
        <w:spacing w:after="120"/>
      </w:pPr>
      <w:r>
        <w:rPr>
          <w:rFonts w:ascii="Arial" w:cs="Arial" w:eastAsia="Arial" w:hAnsi="Arial"/>
          <w:sz w:val="22"/>
          <w:szCs w:val="22"/>
        </w:rPr>
        <w:t xml:space="preserve">Each agent is a Claude Code SKILL.md file with four components:</w:t>
      </w:r>
    </w:p>
    <w:p>
      <w:pPr>
        <w:pStyle w:val="ListParagraph"/>
        <w:numPr>
          <w:ilvl w:val="0"/>
          <w:numId w:val="2"/>
        </w:numPr>
        <w:spacing w:after="60"/>
      </w:pPr>
      <w:r>
        <w:rPr>
          <w:rFonts w:ascii="Arial" w:cs="Arial" w:eastAsia="Arial" w:hAnsi="Arial"/>
          <w:sz w:val="22"/>
          <w:szCs w:val="22"/>
        </w:rPr>
        <w:t xml:space="preserve">Personality Profile: Name, codename, voice, communication style, and behavioral guardrails</w:t>
      </w:r>
    </w:p>
    <w:p>
      <w:pPr>
        <w:pStyle w:val="ListParagraph"/>
        <w:numPr>
          <w:ilvl w:val="0"/>
          <w:numId w:val="2"/>
        </w:numPr>
        <w:spacing w:after="60"/>
      </w:pPr>
      <w:r>
        <w:rPr>
          <w:rFonts w:ascii="Arial" w:cs="Arial" w:eastAsia="Arial" w:hAnsi="Arial"/>
          <w:sz w:val="22"/>
          <w:szCs w:val="22"/>
        </w:rPr>
        <w:t xml:space="preserve">Analytical Framework: Step-by-step methodology the agent follows (Scout uses Ride Two Curves, Architect uses Draw Out Consequences, etc.)</w:t>
      </w:r>
    </w:p>
    <w:p>
      <w:pPr>
        <w:pStyle w:val="ListParagraph"/>
        <w:numPr>
          <w:ilvl w:val="0"/>
          <w:numId w:val="2"/>
        </w:numPr>
        <w:spacing w:after="60"/>
      </w:pPr>
      <w:r>
        <w:rPr>
          <w:rFonts w:ascii="Arial" w:cs="Arial" w:eastAsia="Arial" w:hAnsi="Arial"/>
          <w:sz w:val="22"/>
          <w:szCs w:val="22"/>
        </w:rPr>
        <w:t xml:space="preserve">Input/Output Schema: Structured JSON + Markdown formats that let agents consume each other's outputs</w:t>
      </w:r>
    </w:p>
    <w:p>
      <w:pPr>
        <w:pStyle w:val="ListParagraph"/>
        <w:numPr>
          <w:ilvl w:val="0"/>
          <w:numId w:val="2"/>
        </w:numPr>
        <w:spacing w:after="60"/>
      </w:pPr>
      <w:r>
        <w:rPr>
          <w:rFonts w:ascii="Arial" w:cs="Arial" w:eastAsia="Arial" w:hAnsi="Arial"/>
          <w:sz w:val="22"/>
          <w:szCs w:val="22"/>
        </w:rPr>
        <w:t xml:space="preserve">Trigger Patterns: Keywords, phrases, and contexts that activate the skill</w:t>
      </w:r>
    </w:p>
    <w:p>
      <w:pPr>
        <w:pStyle w:val="Heading2"/>
      </w:pPr>
      <w:r>
        <w:t xml:space="preserve">4.2 Engagement Pipeline</w:t>
      </w:r>
    </w:p>
    <w:p>
      <w:pPr>
        <w:spacing w:after="120"/>
      </w:pPr>
      <w:r>
        <w:rPr>
          <w:rFonts w:ascii="Arial" w:cs="Arial" w:eastAsia="Arial" w:hAnsi="Arial"/>
          <w:sz w:val="22"/>
          <w:szCs w:val="22"/>
        </w:rPr>
        <w:t xml:space="preserve">The engagement follows a sequential pipeline modeled on the SynthData Sandbox architecture (docker-compose sequential service dependencies):</w:t>
      </w:r>
    </w:p>
    <w:p>
      <w:pPr>
        <w:pStyle w:val="ListParagraph"/>
        <w:numPr>
          <w:ilvl w:val="0"/>
          <w:numId w:val="3"/>
        </w:numPr>
        <w:spacing w:after="60"/>
      </w:pPr>
      <w:r>
        <w:rPr>
          <w:rFonts w:ascii="Arial" w:cs="Arial" w:eastAsia="Arial" w:hAnsi="Arial"/>
          <w:b/>
          <w:bCs/>
          <w:sz w:val="22"/>
          <w:szCs w:val="22"/>
        </w:rPr>
        <w:t xml:space="preserve">Navigator (Intake): </w:t>
      </w:r>
      <w:r>
        <w:rPr>
          <w:rFonts w:ascii="Arial" w:cs="Arial" w:eastAsia="Arial" w:hAnsi="Arial"/>
          <w:sz w:val="22"/>
          <w:szCs w:val="22"/>
        </w:rPr>
        <w:t xml:space="preserve">Client discovery, maturity assessment, challenge definition</w:t>
      </w:r>
    </w:p>
    <w:p>
      <w:pPr>
        <w:pStyle w:val="ListParagraph"/>
        <w:numPr>
          <w:ilvl w:val="0"/>
          <w:numId w:val="3"/>
        </w:numPr>
        <w:spacing w:after="60"/>
      </w:pPr>
      <w:r>
        <w:rPr>
          <w:rFonts w:ascii="Arial" w:cs="Arial" w:eastAsia="Arial" w:hAnsi="Arial"/>
          <w:b/>
          <w:bCs/>
          <w:sz w:val="22"/>
          <w:szCs w:val="22"/>
        </w:rPr>
        <w:t xml:space="preserve">Scout + Empathy + Architect (Parallel Analysis): </w:t>
      </w:r>
      <w:r>
        <w:rPr>
          <w:rFonts w:ascii="Arial" w:cs="Arial" w:eastAsia="Arial" w:hAnsi="Arial"/>
          <w:sz w:val="22"/>
          <w:szCs w:val="22"/>
        </w:rPr>
        <w:t xml:space="preserve">Each core agent analyzes the challenge independently</w:t>
      </w:r>
    </w:p>
    <w:p>
      <w:pPr>
        <w:pStyle w:val="ListParagraph"/>
        <w:numPr>
          <w:ilvl w:val="0"/>
          <w:numId w:val="3"/>
        </w:numPr>
        <w:spacing w:after="60"/>
      </w:pPr>
      <w:r>
        <w:rPr>
          <w:rFonts w:ascii="Arial" w:cs="Arial" w:eastAsia="Arial" w:hAnsi="Arial"/>
          <w:b/>
          <w:bCs/>
          <w:sz w:val="22"/>
          <w:szCs w:val="22"/>
        </w:rPr>
        <w:t xml:space="preserve">Visionary + Integrator + Sentinel (Intersection Synthesis): </w:t>
      </w:r>
      <w:r>
        <w:rPr>
          <w:rFonts w:ascii="Arial" w:cs="Arial" w:eastAsia="Arial" w:hAnsi="Arial"/>
          <w:sz w:val="22"/>
          <w:szCs w:val="22"/>
        </w:rPr>
        <w:t xml:space="preserve">Combine insights across perspectives</w:t>
      </w:r>
    </w:p>
    <w:p>
      <w:pPr>
        <w:pStyle w:val="ListParagraph"/>
        <w:numPr>
          <w:ilvl w:val="0"/>
          <w:numId w:val="3"/>
        </w:numPr>
        <w:spacing w:after="60"/>
      </w:pPr>
      <w:r>
        <w:rPr>
          <w:rFonts w:ascii="Arial" w:cs="Arial" w:eastAsia="Arial" w:hAnsi="Arial"/>
          <w:b/>
          <w:bCs/>
          <w:sz w:val="22"/>
          <w:szCs w:val="22"/>
        </w:rPr>
        <w:t xml:space="preserve">Radar + Banker + Scorekeeper + Bridge (Operational Layer): </w:t>
      </w:r>
      <w:r>
        <w:rPr>
          <w:rFonts w:ascii="Arial" w:cs="Arial" w:eastAsia="Arial" w:hAnsi="Arial"/>
          <w:sz w:val="22"/>
          <w:szCs w:val="22"/>
        </w:rPr>
        <w:t xml:space="preserve">Competitive context, portfolio fit, scoring, and change readiness</w:t>
      </w:r>
    </w:p>
    <w:p>
      <w:pPr>
        <w:pStyle w:val="ListParagraph"/>
        <w:numPr>
          <w:ilvl w:val="0"/>
          <w:numId w:val="3"/>
        </w:numPr>
        <w:spacing w:after="60"/>
      </w:pPr>
      <w:r>
        <w:rPr>
          <w:rFonts w:ascii="Arial" w:cs="Arial" w:eastAsia="Arial" w:hAnsi="Arial"/>
          <w:b/>
          <w:bCs/>
          <w:sz w:val="22"/>
          <w:szCs w:val="22"/>
        </w:rPr>
        <w:t xml:space="preserve">Conductor (Orchestration): </w:t>
      </w:r>
      <w:r>
        <w:rPr>
          <w:rFonts w:ascii="Arial" w:cs="Arial" w:eastAsia="Arial" w:hAnsi="Arial"/>
          <w:sz w:val="22"/>
          <w:szCs w:val="22"/>
        </w:rPr>
        <w:t xml:space="preserve">Cross-agent synthesis, conflict resolution, unified strategy</w:t>
      </w:r>
    </w:p>
    <w:p>
      <w:pPr>
        <w:pStyle w:val="ListParagraph"/>
        <w:numPr>
          <w:ilvl w:val="0"/>
          <w:numId w:val="3"/>
        </w:numPr>
        <w:spacing w:after="60"/>
      </w:pPr>
      <w:r>
        <w:rPr>
          <w:rFonts w:ascii="Arial" w:cs="Arial" w:eastAsia="Arial" w:hAnsi="Arial"/>
          <w:b/>
          <w:bCs/>
          <w:sz w:val="22"/>
          <w:szCs w:val="22"/>
        </w:rPr>
        <w:t xml:space="preserve">Publisher (Deliverables): </w:t>
      </w:r>
      <w:r>
        <w:rPr>
          <w:rFonts w:ascii="Arial" w:cs="Arial" w:eastAsia="Arial" w:hAnsi="Arial"/>
          <w:sz w:val="22"/>
          <w:szCs w:val="22"/>
        </w:rPr>
        <w:t xml:space="preserve">Board-ready artifacts, innovation roadmaps, workshop materials</w:t>
      </w:r>
    </w:p>
    <w:p>
      <w:pPr>
        <w:pStyle w:val="Heading2"/>
      </w:pPr>
      <w:r>
        <w:t xml:space="preserve">4.3 Folder Structure</w:t>
      </w:r>
    </w:p>
    <w:p>
      <w:pPr>
        <w:spacing w:after="120"/>
      </w:pPr>
      <w:r>
        <w:rPr>
          <w:rFonts w:ascii="Arial" w:cs="Arial" w:eastAsia="Arial" w:hAnsi="Arial"/>
          <w:sz w:val="22"/>
          <w:szCs w:val="22"/>
        </w:rPr>
        <w:t xml:space="preserve">Each client engagement creates a structured workspace:</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engagements/[client-name]/intake/ - Discovery outputs, maturity assessment</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engagements/[client-name]/analysis/ - Per-agent analysis files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engagements/[client-name]/synthesis/ - Cross-agent integrated insights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engagements/[client-name]/deliverables/ - Final client-facing artifacts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knowledge-base/ - Growing case library, patterns, reusable insights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skills/ - All 11 agent SKILL.md files + orchestrator</w:t>
      </w:r>
    </w:p>
    <w:p>
      <w:pPr>
        <w:pStyle w:val="Heading2"/>
      </w:pPr>
      <w:r>
        <w:t xml:space="preserve">4.4 Existing NHI Assets That Plug Right In</w:t>
      </w:r>
    </w:p>
    <w:p>
      <w:pPr>
        <w:spacing w:after="120"/>
      </w:pPr>
      <w:r>
        <w:rPr>
          <w:rFonts w:ascii="Arial" w:cs="Arial" w:eastAsia="Arial" w:hAnsi="Arial"/>
          <w:sz w:val="22"/>
          <w:szCs w:val="22"/>
        </w:rPr>
        <w:t xml:space="preserve">This isn't a blank-page build. I already have key pieces:</w:t>
      </w:r>
    </w:p>
    <w:p>
      <w:pPr>
        <w:pStyle w:val="ListParagraph"/>
        <w:numPr>
          <w:ilvl w:val="0"/>
          <w:numId w:val="2"/>
        </w:numPr>
        <w:spacing w:after="60"/>
      </w:pPr>
      <w:r>
        <w:rPr>
          <w:rFonts w:ascii="Arial" w:cs="Arial" w:eastAsia="Arial" w:hAnsi="Arial"/>
          <w:sz w:val="22"/>
          <w:szCs w:val="22"/>
        </w:rPr>
        <w:t xml:space="preserve">Draw Out Consequences framework and SKILL.md feeds directly into the Architect agent and the Sentinel</w:t>
      </w:r>
    </w:p>
    <w:p>
      <w:pPr>
        <w:pStyle w:val="ListParagraph"/>
        <w:numPr>
          <w:ilvl w:val="0"/>
          <w:numId w:val="2"/>
        </w:numPr>
        <w:spacing w:after="60"/>
      </w:pPr>
      <w:r>
        <w:rPr>
          <w:rFonts w:ascii="Arial" w:cs="Arial" w:eastAsia="Arial" w:hAnsi="Arial"/>
          <w:sz w:val="22"/>
          <w:szCs w:val="22"/>
        </w:rPr>
        <w:t xml:space="preserve">Ride Two Curves framework and app powers the Scout agent's S-curve disruption analysis</w:t>
      </w:r>
    </w:p>
    <w:p>
      <w:pPr>
        <w:pStyle w:val="ListParagraph"/>
        <w:numPr>
          <w:ilvl w:val="0"/>
          <w:numId w:val="2"/>
        </w:numPr>
        <w:spacing w:after="60"/>
      </w:pPr>
      <w:r>
        <w:rPr>
          <w:rFonts w:ascii="Arial" w:cs="Arial" w:eastAsia="Arial" w:hAnsi="Arial"/>
          <w:sz w:val="22"/>
          <w:szCs w:val="22"/>
        </w:rPr>
        <w:t xml:space="preserve">SynthData Sandbox pipeline architecture provides the engineering blueprint for sequential agent orchestration</w:t>
      </w:r>
    </w:p>
    <w:p>
      <w:pPr>
        <w:pStyle w:val="ListParagraph"/>
        <w:numPr>
          <w:ilvl w:val="0"/>
          <w:numId w:val="2"/>
        </w:numPr>
        <w:spacing w:after="60"/>
      </w:pPr>
      <w:r>
        <w:rPr>
          <w:rFonts w:ascii="Arial" w:cs="Arial" w:eastAsia="Arial" w:hAnsi="Arial"/>
          <w:sz w:val="22"/>
          <w:szCs w:val="22"/>
        </w:rPr>
        <w:t xml:space="preserve">My HCSC Tech Radar experience becomes the Scout agent's horizon scanning methodology</w:t>
      </w:r>
    </w:p>
    <w:p>
      <w:pPr>
        <w:pStyle w:val="ListParagraph"/>
        <w:numPr>
          <w:ilvl w:val="0"/>
          <w:numId w:val="2"/>
        </w:numPr>
        <w:spacing w:after="60"/>
      </w:pPr>
      <w:r>
        <w:rPr>
          <w:rFonts w:ascii="Arial" w:cs="Arial" w:eastAsia="Arial" w:hAnsi="Arial"/>
          <w:sz w:val="22"/>
          <w:szCs w:val="22"/>
        </w:rPr>
        <w:t xml:space="preserve">My HCSC Innovation Pipeline management experience becomes the Banker agent's operating model</w:t>
      </w:r>
    </w:p>
    <w:p>
      <w:pPr>
        <w:pStyle w:val="ListParagraph"/>
        <w:numPr>
          <w:ilvl w:val="0"/>
          <w:numId w:val="2"/>
        </w:numPr>
        <w:spacing w:after="60"/>
      </w:pPr>
      <w:r>
        <w:rPr>
          <w:rFonts w:ascii="Arial" w:cs="Arial" w:eastAsia="Arial" w:hAnsi="Arial"/>
          <w:sz w:val="22"/>
          <w:szCs w:val="22"/>
        </w:rPr>
        <w:t xml:space="preserve">My HCSC AI Governance frameworks inform the Architect agent's guardrails and policy assessment</w:t>
      </w:r>
    </w:p>
    <w:p>
      <w:pPr>
        <w:pStyle w:val="ListParagraph"/>
        <w:numPr>
          <w:ilvl w:val="0"/>
          <w:numId w:val="2"/>
        </w:numPr>
        <w:spacing w:after="60"/>
      </w:pPr>
      <w:r>
        <w:rPr>
          <w:rFonts w:ascii="Arial" w:cs="Arial" w:eastAsia="Arial" w:hAnsi="Arial"/>
          <w:sz w:val="22"/>
          <w:szCs w:val="22"/>
        </w:rPr>
        <w:t xml:space="preserve">Chicago Innovation Fellows certification adds credibility for thought leadership positioning</w:t>
      </w:r>
    </w:p>
    <w:p>
      <w:r>
        <w:br w:type="page"/>
      </w:r>
    </w:p>
    <w:p>
      <w:pPr>
        <w:pStyle w:val="Heading1"/>
      </w:pPr>
      <w:r>
        <w:t xml:space="preserve">5. Innovation Types Coverage</w:t>
      </w:r>
    </w:p>
    <w:p>
      <w:pPr>
        <w:spacing w:after="120"/>
      </w:pPr>
      <w:r>
        <w:rPr>
          <w:rFonts w:ascii="Arial" w:cs="Arial" w:eastAsia="Arial" w:hAnsi="Arial"/>
          <w:sz w:val="22"/>
          <w:szCs w:val="22"/>
        </w:rPr>
        <w:t xml:space="preserve">The platform covers all four major innovation types, with specific agent combinations for each:</w:t>
      </w:r>
    </w:p>
    <w:p>
      <w:pPr>
        <w:pStyle w:val="Heading2"/>
      </w:pPr>
      <w:r>
        <w:t xml:space="preserve">5.1 Product/Service Innovation</w:t>
      </w:r>
    </w:p>
    <w:p>
      <w:pPr>
        <w:spacing w:after="100"/>
      </w:pPr>
      <w:r>
        <w:rPr>
          <w:rFonts w:ascii="Arial" w:cs="Arial" w:eastAsia="Arial" w:hAnsi="Arial"/>
          <w:b/>
          <w:bCs/>
          <w:sz w:val="22"/>
          <w:szCs w:val="22"/>
        </w:rPr>
        <w:t xml:space="preserve">Primary agents: </w:t>
      </w:r>
      <w:r>
        <w:rPr>
          <w:rFonts w:ascii="Arial" w:cs="Arial" w:eastAsia="Arial" w:hAnsi="Arial"/>
          <w:sz w:val="22"/>
          <w:szCs w:val="22"/>
        </w:rPr>
        <w:t xml:space="preserve">Empathy (user needs) + Scout (market trajectory) + Visionary (future product concepts)</w:t>
      </w:r>
    </w:p>
    <w:p>
      <w:pPr>
        <w:spacing w:after="100"/>
      </w:pPr>
      <w:r>
        <w:rPr>
          <w:rFonts w:ascii="Arial" w:cs="Arial" w:eastAsia="Arial" w:hAnsi="Arial"/>
          <w:b/>
          <w:bCs/>
          <w:sz w:val="22"/>
          <w:szCs w:val="22"/>
        </w:rPr>
        <w:t xml:space="preserve">Supporting agents: </w:t>
      </w:r>
      <w:r>
        <w:rPr>
          <w:rFonts w:ascii="Arial" w:cs="Arial" w:eastAsia="Arial" w:hAnsi="Arial"/>
          <w:sz w:val="22"/>
          <w:szCs w:val="22"/>
        </w:rPr>
        <w:t xml:space="preserve">Radar (competitive positioning) + Scorekeeper (opportunity scoring)</w:t>
      </w:r>
    </w:p>
    <w:p>
      <w:pPr>
        <w:spacing w:after="100"/>
      </w:pPr>
      <w:r>
        <w:rPr>
          <w:rFonts w:ascii="Arial" w:cs="Arial" w:eastAsia="Arial" w:hAnsi="Arial"/>
          <w:b/>
          <w:bCs/>
          <w:sz w:val="22"/>
          <w:szCs w:val="22"/>
        </w:rPr>
        <w:t xml:space="preserve">Output: </w:t>
      </w:r>
      <w:r>
        <w:rPr>
          <w:rFonts w:ascii="Arial" w:cs="Arial" w:eastAsia="Arial" w:hAnsi="Arial"/>
          <w:sz w:val="22"/>
          <w:szCs w:val="22"/>
        </w:rPr>
        <w:t xml:space="preserve">Product concept briefs, user research synthesis, competitive positioning maps, go/no-go scoring</w:t>
      </w:r>
    </w:p>
    <w:p>
      <w:pPr>
        <w:pStyle w:val="Heading2"/>
      </w:pPr>
      <w:r>
        <w:t xml:space="preserve">5.2 Business Model Innovation</w:t>
      </w:r>
    </w:p>
    <w:p>
      <w:pPr>
        <w:spacing w:after="100"/>
      </w:pPr>
      <w:r>
        <w:rPr>
          <w:rFonts w:ascii="Arial" w:cs="Arial" w:eastAsia="Arial" w:hAnsi="Arial"/>
          <w:b/>
          <w:bCs/>
          <w:sz w:val="22"/>
          <w:szCs w:val="22"/>
        </w:rPr>
        <w:t xml:space="preserve">Primary agents: </w:t>
      </w:r>
      <w:r>
        <w:rPr>
          <w:rFonts w:ascii="Arial" w:cs="Arial" w:eastAsia="Arial" w:hAnsi="Arial"/>
          <w:sz w:val="22"/>
          <w:szCs w:val="22"/>
        </w:rPr>
        <w:t xml:space="preserve">Scout (Ride Two Curves S-curve analysis) + Architect (value chain mapping) + Integrator (viability in real systems)</w:t>
      </w:r>
    </w:p>
    <w:p>
      <w:pPr>
        <w:spacing w:after="100"/>
      </w:pPr>
      <w:r>
        <w:rPr>
          <w:rFonts w:ascii="Arial" w:cs="Arial" w:eastAsia="Arial" w:hAnsi="Arial"/>
          <w:b/>
          <w:bCs/>
          <w:sz w:val="22"/>
          <w:szCs w:val="22"/>
        </w:rPr>
        <w:t xml:space="preserve">Supporting agents: </w:t>
      </w:r>
      <w:r>
        <w:rPr>
          <w:rFonts w:ascii="Arial" w:cs="Arial" w:eastAsia="Arial" w:hAnsi="Arial"/>
          <w:sz w:val="22"/>
          <w:szCs w:val="22"/>
        </w:rPr>
        <w:t xml:space="preserve">Banker (portfolio fit) + Bridge (organizational readiness)</w:t>
      </w:r>
    </w:p>
    <w:p>
      <w:pPr>
        <w:spacing w:after="100"/>
      </w:pPr>
      <w:r>
        <w:rPr>
          <w:rFonts w:ascii="Arial" w:cs="Arial" w:eastAsia="Arial" w:hAnsi="Arial"/>
          <w:b/>
          <w:bCs/>
          <w:sz w:val="22"/>
          <w:szCs w:val="22"/>
        </w:rPr>
        <w:t xml:space="preserve">Output: </w:t>
      </w:r>
      <w:r>
        <w:rPr>
          <w:rFonts w:ascii="Arial" w:cs="Arial" w:eastAsia="Arial" w:hAnsi="Arial"/>
          <w:sz w:val="22"/>
          <w:szCs w:val="22"/>
        </w:rPr>
        <w:t xml:space="preserve">Business model canvases for future states, S-curve transition plans, implementation roadmaps</w:t>
      </w:r>
    </w:p>
    <w:p>
      <w:pPr>
        <w:pStyle w:val="Heading2"/>
      </w:pPr>
      <w:r>
        <w:t xml:space="preserve">5.3 Process/Operational Innovation</w:t>
      </w:r>
    </w:p>
    <w:p>
      <w:pPr>
        <w:spacing w:after="100"/>
      </w:pPr>
      <w:r>
        <w:rPr>
          <w:rFonts w:ascii="Arial" w:cs="Arial" w:eastAsia="Arial" w:hAnsi="Arial"/>
          <w:b/>
          <w:bCs/>
          <w:sz w:val="22"/>
          <w:szCs w:val="22"/>
        </w:rPr>
        <w:t xml:space="preserve">Primary agents: </w:t>
      </w:r>
      <w:r>
        <w:rPr>
          <w:rFonts w:ascii="Arial" w:cs="Arial" w:eastAsia="Arial" w:hAnsi="Arial"/>
          <w:sz w:val="22"/>
          <w:szCs w:val="22"/>
        </w:rPr>
        <w:t xml:space="preserve">Architect (process system maps) + Empathy (employee/customer experience) + Sentinel (resilience testing)</w:t>
      </w:r>
    </w:p>
    <w:p>
      <w:pPr>
        <w:spacing w:after="100"/>
      </w:pPr>
      <w:r>
        <w:rPr>
          <w:rFonts w:ascii="Arial" w:cs="Arial" w:eastAsia="Arial" w:hAnsi="Arial"/>
          <w:b/>
          <w:bCs/>
          <w:sz w:val="22"/>
          <w:szCs w:val="22"/>
        </w:rPr>
        <w:t xml:space="preserve">Supporting agents: </w:t>
      </w:r>
      <w:r>
        <w:rPr>
          <w:rFonts w:ascii="Arial" w:cs="Arial" w:eastAsia="Arial" w:hAnsi="Arial"/>
          <w:sz w:val="22"/>
          <w:szCs w:val="22"/>
        </w:rPr>
        <w:t xml:space="preserve">Scorekeeper (efficiency metrics) + Bridge (change management planning)</w:t>
      </w:r>
    </w:p>
    <w:p>
      <w:pPr>
        <w:spacing w:after="100"/>
      </w:pPr>
      <w:r>
        <w:rPr>
          <w:rFonts w:ascii="Arial" w:cs="Arial" w:eastAsia="Arial" w:hAnsi="Arial"/>
          <w:b/>
          <w:bCs/>
          <w:sz w:val="22"/>
          <w:szCs w:val="22"/>
        </w:rPr>
        <w:t xml:space="preserve">Output: </w:t>
      </w:r>
      <w:r>
        <w:rPr>
          <w:rFonts w:ascii="Arial" w:cs="Arial" w:eastAsia="Arial" w:hAnsi="Arial"/>
          <w:sz w:val="22"/>
          <w:szCs w:val="22"/>
        </w:rPr>
        <w:t xml:space="preserve">Process redesign recommendations, system impact analysis, change readiness assessments</w:t>
      </w:r>
    </w:p>
    <w:p>
      <w:pPr>
        <w:pStyle w:val="Heading2"/>
      </w:pPr>
      <w:r>
        <w:t xml:space="preserve">5.4 Strategic Foresight &amp; Disruption Preparedness</w:t>
      </w:r>
    </w:p>
    <w:p>
      <w:pPr>
        <w:spacing w:after="100"/>
      </w:pPr>
      <w:r>
        <w:rPr>
          <w:rFonts w:ascii="Arial" w:cs="Arial" w:eastAsia="Arial" w:hAnsi="Arial"/>
          <w:b/>
          <w:bCs/>
          <w:sz w:val="22"/>
          <w:szCs w:val="22"/>
        </w:rPr>
        <w:t xml:space="preserve">Primary agents: </w:t>
      </w:r>
      <w:r>
        <w:rPr>
          <w:rFonts w:ascii="Arial" w:cs="Arial" w:eastAsia="Arial" w:hAnsi="Arial"/>
          <w:sz w:val="22"/>
          <w:szCs w:val="22"/>
        </w:rPr>
        <w:t xml:space="preserve">Scout (scenario planning) + Sentinel (vulnerability assessment) + Architect (Draw Out Consequences)</w:t>
      </w:r>
    </w:p>
    <w:p>
      <w:pPr>
        <w:spacing w:after="100"/>
      </w:pPr>
      <w:r>
        <w:rPr>
          <w:rFonts w:ascii="Arial" w:cs="Arial" w:eastAsia="Arial" w:hAnsi="Arial"/>
          <w:b/>
          <w:bCs/>
          <w:sz w:val="22"/>
          <w:szCs w:val="22"/>
        </w:rPr>
        <w:t xml:space="preserve">Supporting agents: </w:t>
      </w:r>
      <w:r>
        <w:rPr>
          <w:rFonts w:ascii="Arial" w:cs="Arial" w:eastAsia="Arial" w:hAnsi="Arial"/>
          <w:sz w:val="22"/>
          <w:szCs w:val="22"/>
        </w:rPr>
        <w:t xml:space="preserve">Radar (external signal monitoring) + Banker (adaptive portfolio design)</w:t>
      </w:r>
    </w:p>
    <w:p>
      <w:pPr>
        <w:spacing w:after="100"/>
      </w:pPr>
      <w:r>
        <w:rPr>
          <w:rFonts w:ascii="Arial" w:cs="Arial" w:eastAsia="Arial" w:hAnsi="Arial"/>
          <w:b/>
          <w:bCs/>
          <w:sz w:val="22"/>
          <w:szCs w:val="22"/>
        </w:rPr>
        <w:t xml:space="preserve">Output: </w:t>
      </w:r>
      <w:r>
        <w:rPr>
          <w:rFonts w:ascii="Arial" w:cs="Arial" w:eastAsia="Arial" w:hAnsi="Arial"/>
          <w:sz w:val="22"/>
          <w:szCs w:val="22"/>
        </w:rPr>
        <w:t xml:space="preserve">Multi-scenario strategic plans, resilience scorecards, disruption response playbooks</w:t>
      </w:r>
    </w:p>
    <w:p>
      <w:r>
        <w:br w:type="page"/>
      </w:r>
    </w:p>
    <w:p>
      <w:pPr>
        <w:pStyle w:val="Heading1"/>
      </w:pPr>
      <w:r>
        <w:t xml:space="preserve">6. Commercial Strategy</w:t>
      </w:r>
    </w:p>
    <w:p>
      <w:pPr>
        <w:pStyle w:val="Heading2"/>
      </w:pPr>
      <w:r>
        <w:t xml:space="preserve">6.1 Phase 1: Consultant-Led Practice (Months 1-3)</w:t>
      </w:r>
    </w:p>
    <w:p>
      <w:pPr>
        <w:spacing w:after="120"/>
      </w:pPr>
      <w:r>
        <w:rPr>
          <w:rFonts w:ascii="Arial" w:cs="Arial" w:eastAsia="Arial" w:hAnsi="Arial"/>
          <w:sz w:val="22"/>
          <w:szCs w:val="22"/>
        </w:rPr>
        <w:t xml:space="preserve">I run engagements directly using the agent platform. Revenue model: project-based fees for innovation strategy work. Target clients: mid-market and enterprise companies with innovation teams that are stuck in single-lens thinking.</w:t>
      </w:r>
    </w:p>
    <w:p>
      <w:pPr>
        <w:pStyle w:val="ListParagraph"/>
        <w:numPr>
          <w:ilvl w:val="0"/>
          <w:numId w:val="2"/>
        </w:numPr>
        <w:spacing w:after="60"/>
      </w:pPr>
      <w:r>
        <w:rPr>
          <w:rFonts w:ascii="Arial" w:cs="Arial" w:eastAsia="Arial" w:hAnsi="Arial"/>
          <w:sz w:val="22"/>
          <w:szCs w:val="22"/>
        </w:rPr>
        <w:t xml:space="preserve">Engagement pricing: $15K-$50K per strategic engagement (4-8 weeks)</w:t>
      </w:r>
    </w:p>
    <w:p>
      <w:pPr>
        <w:pStyle w:val="ListParagraph"/>
        <w:numPr>
          <w:ilvl w:val="0"/>
          <w:numId w:val="2"/>
        </w:numPr>
        <w:spacing w:after="60"/>
      </w:pPr>
      <w:r>
        <w:rPr>
          <w:rFonts w:ascii="Arial" w:cs="Arial" w:eastAsia="Arial" w:hAnsi="Arial"/>
          <w:sz w:val="22"/>
          <w:szCs w:val="22"/>
        </w:rPr>
        <w:t xml:space="preserve">Workshop pricing: $5K-$15K for facilitated innovation workshops with agent-generated pre-work</w:t>
      </w:r>
    </w:p>
    <w:p>
      <w:pPr>
        <w:pStyle w:val="ListParagraph"/>
        <w:numPr>
          <w:ilvl w:val="0"/>
          <w:numId w:val="2"/>
        </w:numPr>
        <w:spacing w:after="60"/>
      </w:pPr>
      <w:r>
        <w:rPr>
          <w:rFonts w:ascii="Arial" w:cs="Arial" w:eastAsia="Arial" w:hAnsi="Arial"/>
          <w:sz w:val="22"/>
          <w:szCs w:val="22"/>
        </w:rPr>
        <w:t xml:space="preserve">Advisory retainer: $5K-$10K/month for ongoing innovation portfolio management</w:t>
      </w:r>
    </w:p>
    <w:p>
      <w:pPr>
        <w:pStyle w:val="Heading2"/>
      </w:pPr>
      <w:r>
        <w:t xml:space="preserve">6.2 Phase 2: Productized Tooling (Months 4-8)</w:t>
      </w:r>
    </w:p>
    <w:p>
      <w:pPr>
        <w:spacing w:after="120"/>
      </w:pPr>
      <w:r>
        <w:rPr>
          <w:rFonts w:ascii="Arial" w:cs="Arial" w:eastAsia="Arial" w:hAnsi="Arial"/>
          <w:sz w:val="22"/>
          <w:szCs w:val="22"/>
        </w:rPr>
        <w:t xml:space="preserve">Package the agent platform so innovation teams can self-serve:</w:t>
      </w:r>
    </w:p>
    <w:p>
      <w:pPr>
        <w:pStyle w:val="ListParagraph"/>
        <w:numPr>
          <w:ilvl w:val="0"/>
          <w:numId w:val="2"/>
        </w:numPr>
        <w:spacing w:after="60"/>
      </w:pPr>
      <w:r>
        <w:rPr>
          <w:rFonts w:ascii="Arial" w:cs="Arial" w:eastAsia="Arial" w:hAnsi="Arial"/>
          <w:sz w:val="22"/>
          <w:szCs w:val="22"/>
        </w:rPr>
        <w:t xml:space="preserve">Web-based interface for running individual agents or full engagement pipelines</w:t>
      </w:r>
    </w:p>
    <w:p>
      <w:pPr>
        <w:pStyle w:val="ListParagraph"/>
        <w:numPr>
          <w:ilvl w:val="0"/>
          <w:numId w:val="2"/>
        </w:numPr>
        <w:spacing w:after="60"/>
      </w:pPr>
      <w:r>
        <w:rPr>
          <w:rFonts w:ascii="Arial" w:cs="Arial" w:eastAsia="Arial" w:hAnsi="Arial"/>
          <w:sz w:val="22"/>
          <w:szCs w:val="22"/>
        </w:rPr>
        <w:t xml:space="preserve">Subscription model: $2K-$5K/month per team for platform access</w:t>
      </w:r>
    </w:p>
    <w:p>
      <w:pPr>
        <w:pStyle w:val="ListParagraph"/>
        <w:numPr>
          <w:ilvl w:val="0"/>
          <w:numId w:val="2"/>
        </w:numPr>
        <w:spacing w:after="60"/>
      </w:pPr>
      <w:r>
        <w:rPr>
          <w:rFonts w:ascii="Arial" w:cs="Arial" w:eastAsia="Arial" w:hAnsi="Arial"/>
          <w:sz w:val="22"/>
          <w:szCs w:val="22"/>
        </w:rPr>
        <w:t xml:space="preserve">Template library with pre-built engagement templates for common innovation challenges</w:t>
      </w:r>
    </w:p>
    <w:p>
      <w:pPr>
        <w:pStyle w:val="Heading2"/>
      </w:pPr>
      <w:r>
        <w:t xml:space="preserve">6.3 Phase 3: Enterprise Licensing (Months 9-12)</w:t>
      </w:r>
    </w:p>
    <w:p>
      <w:pPr>
        <w:spacing w:after="120"/>
      </w:pPr>
      <w:r>
        <w:rPr>
          <w:rFonts w:ascii="Arial" w:cs="Arial" w:eastAsia="Arial" w:hAnsi="Arial"/>
          <w:sz w:val="22"/>
          <w:szCs w:val="22"/>
        </w:rPr>
        <w:t xml:space="preserve">Full enterprise deployment with customization:</w:t>
      </w:r>
    </w:p>
    <w:p>
      <w:pPr>
        <w:pStyle w:val="ListParagraph"/>
        <w:numPr>
          <w:ilvl w:val="0"/>
          <w:numId w:val="2"/>
        </w:numPr>
        <w:spacing w:after="60"/>
      </w:pPr>
      <w:r>
        <w:rPr>
          <w:rFonts w:ascii="Arial" w:cs="Arial" w:eastAsia="Arial" w:hAnsi="Arial"/>
          <w:sz w:val="22"/>
          <w:szCs w:val="22"/>
        </w:rPr>
        <w:t xml:space="preserve">Custom agent training on client-specific data, industry context, and strategic priorities</w:t>
      </w:r>
    </w:p>
    <w:p>
      <w:pPr>
        <w:pStyle w:val="ListParagraph"/>
        <w:numPr>
          <w:ilvl w:val="0"/>
          <w:numId w:val="2"/>
        </w:numPr>
        <w:spacing w:after="60"/>
      </w:pPr>
      <w:r>
        <w:rPr>
          <w:rFonts w:ascii="Arial" w:cs="Arial" w:eastAsia="Arial" w:hAnsi="Arial"/>
          <w:sz w:val="22"/>
          <w:szCs w:val="22"/>
        </w:rPr>
        <w:t xml:space="preserve">Integration with the client's existing innovation management tools</w:t>
      </w:r>
    </w:p>
    <w:p>
      <w:pPr>
        <w:pStyle w:val="ListParagraph"/>
        <w:numPr>
          <w:ilvl w:val="0"/>
          <w:numId w:val="2"/>
        </w:numPr>
        <w:spacing w:after="60"/>
      </w:pPr>
      <w:r>
        <w:rPr>
          <w:rFonts w:ascii="Arial" w:cs="Arial" w:eastAsia="Arial" w:hAnsi="Arial"/>
          <w:sz w:val="22"/>
          <w:szCs w:val="22"/>
        </w:rPr>
        <w:t xml:space="preserve">Enterprise license: $50K-$150K/year depending on org size</w:t>
      </w:r>
    </w:p>
    <w:p>
      <w:pPr>
        <w:pStyle w:val="Heading2"/>
      </w:pPr>
      <w:r>
        <w:t xml:space="preserve">6.4 Interview &amp; Thought Leadership Positioning</w:t>
      </w:r>
    </w:p>
    <w:p>
      <w:pPr>
        <w:spacing w:after="120"/>
      </w:pPr>
      <w:r>
        <w:rPr>
          <w:rFonts w:ascii="Arial" w:cs="Arial" w:eastAsia="Arial" w:hAnsi="Arial"/>
          <w:sz w:val="22"/>
          <w:szCs w:val="22"/>
        </w:rPr>
        <w:t xml:space="preserve">This platform also demonstrates several competencies that matter for innovation leadership roles:</w:t>
      </w:r>
    </w:p>
    <w:p>
      <w:pPr>
        <w:pStyle w:val="ListParagraph"/>
        <w:numPr>
          <w:ilvl w:val="0"/>
          <w:numId w:val="2"/>
        </w:numPr>
        <w:spacing w:after="60"/>
      </w:pPr>
      <w:r>
        <w:rPr>
          <w:rFonts w:ascii="Arial" w:cs="Arial" w:eastAsia="Arial" w:hAnsi="Arial"/>
          <w:sz w:val="22"/>
          <w:szCs w:val="22"/>
        </w:rPr>
        <w:t xml:space="preserve">Strategic thinking: The framework itself shows I can think about innovation from multiple angles simultaneously</w:t>
      </w:r>
    </w:p>
    <w:p>
      <w:pPr>
        <w:pStyle w:val="ListParagraph"/>
        <w:numPr>
          <w:ilvl w:val="0"/>
          <w:numId w:val="2"/>
        </w:numPr>
        <w:spacing w:after="60"/>
      </w:pPr>
      <w:r>
        <w:rPr>
          <w:rFonts w:ascii="Arial" w:cs="Arial" w:eastAsia="Arial" w:hAnsi="Arial"/>
          <w:sz w:val="22"/>
          <w:szCs w:val="22"/>
        </w:rPr>
        <w:t xml:space="preserve">Technical execution: I didn't just theorize about agents, I built the platform</w:t>
      </w:r>
    </w:p>
    <w:p>
      <w:pPr>
        <w:pStyle w:val="ListParagraph"/>
        <w:numPr>
          <w:ilvl w:val="0"/>
          <w:numId w:val="2"/>
        </w:numPr>
        <w:spacing w:after="60"/>
      </w:pPr>
      <w:r>
        <w:rPr>
          <w:rFonts w:ascii="Arial" w:cs="Arial" w:eastAsia="Arial" w:hAnsi="Arial"/>
          <w:sz w:val="22"/>
          <w:szCs w:val="22"/>
        </w:rPr>
        <w:t xml:space="preserve">Innovation management: The portfolio and metrics agents show I understand operational innovation maturity</w:t>
      </w:r>
    </w:p>
    <w:p>
      <w:pPr>
        <w:pStyle w:val="ListParagraph"/>
        <w:numPr>
          <w:ilvl w:val="0"/>
          <w:numId w:val="2"/>
        </w:numPr>
        <w:spacing w:after="60"/>
      </w:pPr>
      <w:r>
        <w:rPr>
          <w:rFonts w:ascii="Arial" w:cs="Arial" w:eastAsia="Arial" w:hAnsi="Arial"/>
          <w:sz w:val="22"/>
          <w:szCs w:val="22"/>
        </w:rPr>
        <w:t xml:space="preserve">Change leadership: The Bridge agent and adoption frameworks show organizational awareness</w:t>
      </w:r>
    </w:p>
    <w:p>
      <w:pPr>
        <w:pStyle w:val="ListParagraph"/>
        <w:numPr>
          <w:ilvl w:val="0"/>
          <w:numId w:val="2"/>
        </w:numPr>
        <w:spacing w:after="60"/>
      </w:pPr>
      <w:r>
        <w:rPr>
          <w:rFonts w:ascii="Arial" w:cs="Arial" w:eastAsia="Arial" w:hAnsi="Arial"/>
          <w:sz w:val="22"/>
          <w:szCs w:val="22"/>
        </w:rPr>
        <w:t xml:space="preserve">Thought leadership: Publishing the framework and running real engagements establishes market credibility</w:t>
      </w:r>
    </w:p>
    <w:p>
      <w:r>
        <w:br w:type="page"/>
      </w:r>
    </w:p>
    <w:p>
      <w:pPr>
        <w:pStyle w:val="Heading1"/>
      </w:pPr>
      <w:r>
        <w:t xml:space="preserve">7.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0D8A8A" w:val="clear"/>
            <w:tcMar>
              <w:top w:type="dxa" w:w="80"/>
              <w:left w:type="dxa" w:w="120"/>
              <w:bottom w:type="dxa" w:w="80"/>
              <w:right w:type="dxa" w:w="120"/>
            </w:tcMar>
            <w:vAlign w:val="center"/>
          </w:tcPr>
          <w:p>
            <w:r>
              <w:rPr>
                <w:rFonts w:ascii="Arial" w:cs="Arial" w:eastAsia="Arial" w:hAnsi="Arial"/>
                <w:b/>
                <w:bCs/>
                <w:color w:val="FFFFFF"/>
                <w:sz w:val="21"/>
                <w:szCs w:val="21"/>
              </w:rPr>
              <w:t xml:space="preserve">Phase</w:t>
            </w:r>
          </w:p>
        </w:tc>
        <w:tc>
          <w:tcPr>
            <w:tcW w:type="dxa" w:w="3000"/>
            <w:tcBorders>
              <w:top w:val="single" w:color="CCCCCC" w:sz="1"/>
              <w:left w:val="single" w:color="CCCCCC" w:sz="1"/>
              <w:bottom w:val="single" w:color="CCCCCC" w:sz="1"/>
              <w:right w:val="single" w:color="CCCCCC" w:sz="1"/>
            </w:tcBorders>
            <w:shd w:fill="0D8A8A" w:val="clear"/>
            <w:tcMar>
              <w:top w:type="dxa" w:w="80"/>
              <w:left w:type="dxa" w:w="120"/>
              <w:bottom w:type="dxa" w:w="80"/>
              <w:right w:type="dxa" w:w="120"/>
            </w:tcMar>
            <w:vAlign w:val="center"/>
          </w:tcPr>
          <w:p>
            <w:r>
              <w:rPr>
                <w:rFonts w:ascii="Arial" w:cs="Arial" w:eastAsia="Arial" w:hAnsi="Arial"/>
                <w:b/>
                <w:bCs/>
                <w:color w:val="FFFFFF"/>
                <w:sz w:val="21"/>
                <w:szCs w:val="21"/>
              </w:rPr>
              <w:t xml:space="preserve">Focus</w:t>
            </w:r>
          </w:p>
        </w:tc>
        <w:tc>
          <w:tcPr>
            <w:tcW w:type="dxa" w:w="4760"/>
            <w:tcBorders>
              <w:top w:val="single" w:color="CCCCCC" w:sz="1"/>
              <w:left w:val="single" w:color="CCCCCC" w:sz="1"/>
              <w:bottom w:val="single" w:color="CCCCCC" w:sz="1"/>
              <w:right w:val="single" w:color="CCCCCC" w:sz="1"/>
            </w:tcBorders>
            <w:shd w:fill="0D8A8A" w:val="clear"/>
            <w:tcMar>
              <w:top w:type="dxa" w:w="80"/>
              <w:left w:type="dxa" w:w="120"/>
              <w:bottom w:type="dxa" w:w="80"/>
              <w:right w:type="dxa" w:w="120"/>
            </w:tcMar>
            <w:vAlign w:val="center"/>
          </w:tcPr>
          <w:p>
            <w:r>
              <w:rPr>
                <w:rFonts w:ascii="Arial" w:cs="Arial" w:eastAsia="Arial" w:hAnsi="Arial"/>
                <w:b/>
                <w:bCs/>
                <w:color w:val="FFFFFF"/>
                <w:sz w:val="21"/>
                <w:szCs w:val="21"/>
              </w:rPr>
              <w:t xml:space="preserve">Deliverables</w:t>
            </w:r>
          </w:p>
        </w:tc>
      </w:tr>
      <w:tr>
        <w:tc>
          <w:tcPr>
            <w:tcW w:type="dxa" w:w="16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bCs/>
                <w:color w:val="333333"/>
                <w:sz w:val="20"/>
                <w:szCs w:val="20"/>
              </w:rPr>
              <w:t xml:space="preserve">Phase 1
Weeks 1-2</w:t>
            </w:r>
          </w:p>
        </w:tc>
        <w:tc>
          <w:tcPr>
            <w:tcW w:type="dxa" w:w="30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Foundation</w:t>
            </w:r>
          </w:p>
        </w:tc>
        <w:tc>
          <w:tcPr>
            <w:tcW w:type="dxa" w:w="476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Orchestrator SKILL.md, 3 core thinking agent skills (Scout, Empathy, Architect), standard I/O schemas, engagement folder template, Innovation Maturity Assessment intake tool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Phase 2
Weeks 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Intersections + Portfolio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 intersection agent skills (Visionary, Integrator, Sentinel), Portfolio Manager and Metrics agents, first sample engagement (healthcare AI adoption)</w:t>
            </w:r>
          </w:p>
        </w:tc>
      </w:tr>
      <w:tr>
        <w:tc>
          <w:tcPr>
            <w:tcW w:type="dxa" w:w="16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bCs/>
                <w:color w:val="333333"/>
                <w:sz w:val="20"/>
                <w:szCs w:val="20"/>
              </w:rPr>
              <w:t xml:space="preserve">Phase 3
Weeks 5-6</w:t>
            </w:r>
          </w:p>
        </w:tc>
        <w:tc>
          <w:tcPr>
            <w:tcW w:type="dxa" w:w="300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Deliverables + Operations</w:t>
            </w:r>
          </w:p>
        </w:tc>
        <w:tc>
          <w:tcPr>
            <w:tcW w:type="dxa" w:w="4760"/>
            <w:tcBorders>
              <w:top w:val="single" w:color="CCCCCC" w:sz="1"/>
              <w:left w:val="single" w:color="CCCCCC" w:sz="1"/>
              <w:bottom w:val="single" w:color="CCCCCC" w:sz="1"/>
              <w:right w:val="single" w:color="CCCCCC" w:sz="1"/>
            </w:tcBorders>
            <w:shd w:fill="F0F6FA"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Deliverable Agent (Publisher) using docx/pptx skills, Competitive Intelligence agent with web search, Change Management agent, Workshop-in-a-Box generator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Phase 4
Weeks 7-8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Packaging + Case Studies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2-3 documented sample engagements as case studies, consulting pitch deck, live demo capability for sales calls, executive one-pager for interviews, full documentation and portability packaging</w:t>
            </w:r>
          </w:p>
        </w:tc>
      </w:tr>
    </w:tbl>
    <w:p>
      <w:r>
        <w:br w:type="page"/>
      </w:r>
    </w:p>
    <w:p>
      <w:pPr>
        <w:pStyle w:val="Heading1"/>
      </w:pPr>
      <w:r>
        <w:t xml:space="preserve">8. What Makes This Different</w:t>
      </w:r>
    </w:p>
    <w:p>
      <w:pPr>
        <w:pStyle w:val="Heading2"/>
      </w:pPr>
      <w:r>
        <w:t xml:space="preserve">8.1 vs. Traditional Consulting Firms</w:t>
      </w:r>
    </w:p>
    <w:p>
      <w:pPr>
        <w:spacing w:after="120"/>
      </w:pPr>
      <w:r>
        <w:rPr>
          <w:rFonts w:ascii="Arial" w:cs="Arial" w:eastAsia="Arial" w:hAnsi="Arial"/>
          <w:sz w:val="22"/>
          <w:szCs w:val="22"/>
        </w:rPr>
        <w:t xml:space="preserve">McKinsey, Deloitte, and Accenture deploy teams of 4-10 consultants at $300-$500/hour to run innovation engagements over 8-12 weeks. This platform delivers comparable multi-dimensional analysis in days, not months, at a fraction of the cost. The agents don't get tired, don't forget the framework, and produce consistent, structured outputs every time.</w:t>
      </w:r>
    </w:p>
    <w:p>
      <w:pPr>
        <w:pStyle w:val="Heading2"/>
      </w:pPr>
      <w:r>
        <w:t xml:space="preserve">8.2 vs. Innovation Management Software</w:t>
      </w:r>
    </w:p>
    <w:p>
      <w:pPr>
        <w:spacing w:after="120"/>
      </w:pPr>
      <w:r>
        <w:rPr>
          <w:rFonts w:ascii="Arial" w:cs="Arial" w:eastAsia="Arial" w:hAnsi="Arial"/>
          <w:sz w:val="22"/>
          <w:szCs w:val="22"/>
        </w:rPr>
        <w:t xml:space="preserve">Tools like Brightidea, Spigit, and IdeaScale manage the innovation pipeline (idea collection, voting, tracking) but don't provide the analytical thinking. They're CRMs for ideas. This platform provides the actual strategic analysis that generates and evaluates those ideas across multiple dimensions.</w:t>
      </w:r>
    </w:p>
    <w:p>
      <w:pPr>
        <w:pStyle w:val="Heading2"/>
      </w:pPr>
      <w:r>
        <w:t xml:space="preserve">8.3 vs. AI Strategy Tools</w:t>
      </w:r>
    </w:p>
    <w:p>
      <w:pPr>
        <w:spacing w:after="120"/>
      </w:pPr>
      <w:r>
        <w:rPr>
          <w:rFonts w:ascii="Arial" w:cs="Arial" w:eastAsia="Arial" w:hAnsi="Arial"/>
          <w:sz w:val="22"/>
          <w:szCs w:val="22"/>
        </w:rPr>
        <w:t xml:space="preserve">Most AI strategy tools offer single-lens analysis: market research, competitive intelligence, or design thinking in isolation. None of them integrate Future Thinking + Design Thinking + Systems Thinking into a unified, orchestrated system. The intersection agents are the key differentiator. They produce insights that no single-lens tool can generate.</w:t>
      </w:r>
    </w:p>
    <w:p>
      <w:pPr>
        <w:pStyle w:val="Heading2"/>
      </w:pPr>
      <w:r>
        <w:t xml:space="preserve">8.4 The Human-in-the-Loop Advantage</w:t>
      </w:r>
    </w:p>
    <w:p>
      <w:pPr>
        <w:spacing w:after="120"/>
      </w:pPr>
      <w:r>
        <w:rPr>
          <w:rFonts w:ascii="Arial" w:cs="Arial" w:eastAsia="Arial" w:hAnsi="Arial"/>
          <w:sz w:val="22"/>
          <w:szCs w:val="22"/>
        </w:rPr>
        <w:t xml:space="preserve">The platform is designed to augment, not replace, human innovation leadership. My 21 years at HCSC, building innovation teams, creating AI governance frameworks, managing technology strategy for a $48B healthcare organization, provides the contextual judgment that agents alone can't deliver. It's the combination of systematic AI analysis and seasoned human judgment that makes the value proposition work.</w:t>
      </w:r>
    </w:p>
    <w:p>
      <w:pPr>
        <w:spacing w:before="600"/>
      </w:pPr>
    </w:p>
    <w:p>
      <w:pPr>
        <w:pBdr>
          <w:top w:val="single" w:color="0D8A8A" w:sz="4" w:space="8"/>
        </w:pBdr>
        <w:spacing w:before="200"/>
        <w:jc w:val="center"/>
      </w:pPr>
      <w:r>
        <w:rPr>
          <w:rFonts w:ascii="Arial" w:cs="Arial" w:eastAsia="Arial" w:hAnsi="Arial"/>
          <w:i/>
          <w:iCs/>
          <w:color w:val="888888"/>
          <w:sz w:val="20"/>
          <w:szCs w:val="20"/>
        </w:rPr>
        <w:t xml:space="preserve">End of Architecture Blueprint - Next Horizon Innovations LLC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Next Horizon Innovations LLC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NHI Resilient Innovation Agent Platform -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8A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2026-03-15T16:30:03.573Z</dcterms:created>
  <dcterms:modified xsi:type="dcterms:W3CDTF">2026-03-15T16:30:03.574Z</dcterms:modified>
</cp:coreProperties>
</file>

<file path=docProps/custom.xml><?xml version="1.0" encoding="utf-8"?>
<Properties xmlns="http://schemas.openxmlformats.org/officeDocument/2006/custom-properties" xmlns:vt="http://schemas.openxmlformats.org/officeDocument/2006/docPropsVTypes"/>
</file>