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 Karpathy 的「四層輸出階梯」寫入 </w:t>
      </w:r>
      <w:r w:rsidDel="00000000" w:rsidR="00000000" w:rsidRPr="00000000">
        <w:rPr>
          <w:b w:val="1"/>
          <w:bCs w:val="1"/>
          <w:rtl w:val="0"/>
        </w:rPr>
        <w:t xml:space="preserve">CLAUDE.md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（或 AGENTS.md），可以讓 AI Agent（如 Claude Code、Cursor）在執行開發與分析任務時，自動遵循這套降低閱讀負擔的輸出規範 1, 2。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只需將 CLAUDE.md 檔案建立在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專案的根目錄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下即可 1, 2。以下是一份可以直接複製使用的完整設定檔模板：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4p6qli5jj0z" w:id="0"/>
      <w:bookmarkEnd w:id="0"/>
      <w:r w:rsidDel="00000000" w:rsidR="00000000" w:rsidRPr="00000000">
        <w:rPr>
          <w:rtl w:val="0"/>
        </w:rPr>
        <w:t xml:space="preserve">📄 CLAUDE.md 完整設定檔模板</w:t>
      </w:r>
    </w:p>
    <w:p w:rsidR="00000000" w:rsidDel="00000000" w:rsidP="00000000" w:rsidRDefault="00000000" w:rsidRPr="00000000" w14:paraId="000000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專案 Agent 輸出與溝通規範 (AI Output Ladder Rules)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為了降低人類監督者的閱讀與審核頻寬負擔，請在所有回應中嚴格遵守以下輸出規範：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1. 文字說明規範：8 成嚴格度 ASD STE100 (第一層)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當進行文字解釋、程式碼審查或問題診斷時，請套用「8 成嚴格度 ASD STE100」受控語言：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**短句限制**：程序/步驟性句子每句不得超過 20 個字；描述/解釋性句子每句不得超過 25 個字。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**強制主動語態**：明確說明「誰做了什麼」或「何種模組執行何種動作」，禁止使用被動語態。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**一詞一義**：全文對同一元件、變數、概念或流程，統一使用相同的名稱，嚴禁同義詞替換。</w:t>
      </w:r>
    </w:p>
    <w:p w:rsidR="00000000" w:rsidDel="00000000" w:rsidP="00000000" w:rsidRDefault="00000000" w:rsidRPr="00000000" w14:paraId="000000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**先結論，後細節**：第一句話直接給出核心答案或處置結果，嚴格剔除「一般來說」、「視情況而定」等含糊套話。</w:t>
      </w:r>
    </w:p>
    <w:p w:rsidR="00000000" w:rsidDel="00000000" w:rsidP="00000000" w:rsidRDefault="00000000" w:rsidRPr="00000000" w14:paraId="000000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2. 系統架構與流程規範：先圖後文 (第二層)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遇到系統架構、狀態流轉、元件調用關係或超過 3 個步驟的複雜流程時，必須先輸出 **Mermaid 流程圖或 SVG 圖表**，再補充文字說明。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3. 長篇方案與報告規範：單文件 HTML 互動網頁 (第三層)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**觸發條件**：當生成的方案、架構分析或技術報告預計 **超過 100 行** 時，請自動將內容格式化為單一 HTML 文件。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**Self-contained 規則**：所有 CSS 樣式與 JavaScript 互動邏輯必須完全內嵌於該 HTML 文件中，不依賴外部檔案，確保雙擊即可在瀏覽器中開啟。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**介面結構要求**：必須包含側邊/頂部導覽欄（Navigation Bar）、可折疊區域（Collapsible Details）及標籤頁（Tabs），以簡化閱讀排版。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## 4. 數據與驗證錨點 (Git &amp; Agent 規範)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高層級製品（如 HTML 或圖表）屬於一次性輔助閱讀工具。</w:t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 若輸出涉及數據變更、Git commit 記錄或需供其他 Agent 讀取，必須同步在底層保留結構乾淨的 Markdown 或 JSON 作為數據驗證錨點。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efcqbx5asxsh" w:id="1"/>
      <w:bookmarkEnd w:id="1"/>
      <w:r w:rsidDel="00000000" w:rsidR="00000000" w:rsidRPr="00000000">
        <w:rPr>
          <w:rtl w:val="0"/>
        </w:rPr>
        <w:t xml:space="preserve">💡 寫入 CLAUDE.md 後的核心效果解析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 AI 語義漂移與套話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：透過把短句長度（20/25 字）與主動語態寫死在全局設定中，能強制逼模型把話說死，讓邏輯漏洞一目了然 2-4。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自動觸發網頁與圖表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：AI 在面對長篇方案時，會自動擺脫傳統 Markdown 純文字牆，轉而打包成內嵌互動元件的單文件 HTML，大幅提高審核與閱讀效率 1, 2, 5, 6。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兼顧閱讀與數據驗證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：明確劃分「給人看的 HTML/圖表」與「給 Git/Agent 看的 Markdown/JSON」，確保高層視覺製品不影響底層代碼與數據的核對錨點 7, 8。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：單文件 HTML 的輸出 Token 開銷約為傳統 Markdown 的 2 至 4 倍，用於長篇方案報告效益最高 5, 9。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