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rFonts w:ascii="微軟正黑體" w:hAnsi="微軟正黑體"/>
          <w:b/>
          <w:color w:val="1E3A8A"/>
          <w:sz w:val="36"/>
        </w:rPr>
        <w:t>2026 年度企業淨零碳排轉型與 AI 智慧製造升級三年規劃書</w:t>
      </w:r>
    </w:p>
    <w:p>
      <w:pPr>
        <w:spacing w:after="400"/>
      </w:pPr>
      <w:r>
        <w:rPr>
          <w:rFonts w:ascii="微軟正黑體" w:hAnsi="微軟正黑體"/>
          <w:i/>
          <w:color w:val="64748B"/>
          <w:sz w:val="20"/>
        </w:rPr>
        <w:t>主辦單位：企業永續發展委員會（ESG）暨 資訊策略轉型處 ｜ 報告日期：2026 年 3 月</w:t>
      </w:r>
    </w:p>
    <w:p>
      <w:pPr>
        <w:pStyle w:val="Heading1"/>
      </w:pPr>
      <w:r>
        <w:t>第一章：專案背景與國際法規衝擊</w:t>
      </w:r>
    </w:p>
    <w:p>
      <w:r>
        <w:t>隨著歐盟碳邊境調整機制（CBAM）正式進入強制盤查與申報階段，全球供應鏈正面臨前所未有的綠色低碳轉型壓力。本集團作為出口導向製造業，2025 年度溫室氣體範疇一（直接排放）佔比 24%，範疇二（外購電力能源）佔比達 68%，範疇三（上下游供應鏈）佔比 8%。若未能在 2026 年前建立數位化即時碳足跡盤查機制，預計每季將承受高達 8% 的出口關稅懲罰。</w:t>
      </w:r>
    </w:p>
    <w:p>
      <w:r>
        <w:t>現行挑戰在於：廠區各工段設備老舊、電力監控數據分散於不同 PLC 系統，且各產線之良率與能耗無法即時聯動分析。傳統每月人工抄表結算不僅落後生產排程整整 3 週，更無法在能耗異常發生當下進行動態斷電降載，導致每月平均浪費約 15% 的非生產用電。</w:t>
      </w:r>
    </w:p>
    <w:p>
      <w:pPr>
        <w:pStyle w:val="Heading1"/>
      </w:pPr>
      <w:r>
        <w:t>第二章：AI 智慧能源管理與預測模型導入架構</w:t>
      </w:r>
    </w:p>
    <w:p>
      <w:r>
        <w:t>針對上述痛點，本年度核心戰略為引進「邊緣 AI 能耗預測特助（Energy-Agent）」，透過 IoT 電表串接與邊緣運算，達成三大關鍵突破：</w:t>
        <w:br/>
        <w:t>1. 動態最佳化排程：結合類神經網路預測台電尖峰/離峰電價與訂單優先權，將高耗能烘烤與射出成型工序自主調度至離峰時段，預期降低電費支出 22%。</w:t>
        <w:br/>
        <w:t>2. 異常能耗自主預警：透過機器學習比對歷史健康特徵波形，當馬達軸承出現早期磨損或管路微洩漏時，系統能在 15 秒內觸發預警並派工檢修。</w:t>
        <w:br/>
        <w:t>3. 碳資產智慧儀表板：利用大語言模型（LLM）將每日結構化能源數據自動產出符合 ISO 14064-1 規範之查證草稿，減少 90% 的人工填報工時。</w:t>
      </w:r>
    </w:p>
    <w:p>
      <w:pPr>
        <w:pStyle w:val="Heading1"/>
      </w:pPr>
      <w:r>
        <w:t>第三章：實施里程碑、預算投入與投報率評估</w:t>
      </w:r>
    </w:p>
    <w:p>
      <w:r>
        <w:t>本計畫預計總投資金額為新台幣 2,400 萬元，分為三期推進：</w:t>
        <w:br/>
        <w:t>• 階段一（2026 Q1-Q2）：完成桃園一廠示範線 120 處智慧電表佈建與資料清洗，上線能源管理看板。</w:t>
        <w:br/>
        <w:t>• 階段二（2026 Q3-Q4）：完成 AI 演算法模型微調，並整合企業 ERP 與 MES 生產排程系統。</w:t>
        <w:br/>
        <w:t>• 階段三（2027-2028）：全集團跨廠區推廣，取得國際第三方碳足跡金牌驗證。</w:t>
        <w:br/>
        <w:t>財務效益方面，預計年節省電費 680 萬元，減少關稅損失 1,200 萬元，專案投資回收期（ROI）約為 1.3 年。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