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Text"/>
        <w:jc w:val="center"/>
        <w:rPr>
          <w:lang w:val="zh-TW" w:eastAsia="zh-TW"/>
        </w:rPr>
      </w:pPr>
      <w:r>
        <w:rPr>
          <w:rFonts w:ascii="標楷體" w:cs="標楷體" w:hAnsi="標楷體" w:eastAsia="標楷體"/>
          <w:rtl w:val="0"/>
          <w:lang w:val="zh-TW" w:eastAsia="zh-TW"/>
        </w:rPr>
        <w:t>會議記錄表</w:t>
      </w:r>
    </w:p>
    <w:p>
      <w:pPr>
        <w:pStyle w:val="Body Text"/>
      </w:pPr>
      <w:r>
        <w:rPr>
          <w:rFonts w:ascii="標楷體" w:cs="標楷體" w:hAnsi="標楷體" w:eastAsia="標楷體"/>
          <w:rtl w:val="0"/>
          <w:lang w:val="zh-TW" w:eastAsia="zh-TW"/>
        </w:rPr>
        <w:t xml:space="preserve">會議日期：</w:t>
      </w:r>
      <w:r>
        <w:rPr>
          <w:rFonts w:ascii="Times New Roman" w:hAnsi="Times New Roman"/>
          <w:u w:val="single"/>
          <w:rtl w:val="0"/>
          <w:lang w:val="en-US"/>
        </w:rPr>
        <w:t xml:space="preserve"> 2026  </w:t>
      </w:r>
      <w:r>
        <w:rPr>
          <w:rFonts w:ascii="標楷體" w:cs="標楷體" w:hAnsi="標楷體" w:eastAsia="標楷體"/>
          <w:rtl w:val="0"/>
          <w:lang w:val="zh-TW" w:eastAsia="zh-TW"/>
        </w:rPr>
        <w:t xml:space="preserve">年</w:t>
      </w:r>
      <w:r>
        <w:rPr>
          <w:rFonts w:ascii="Times New Roman" w:hAnsi="Times New Roman"/>
          <w:u w:val="single"/>
          <w:rtl w:val="0"/>
          <w:lang w:val="en-US"/>
        </w:rPr>
        <w:t xml:space="preserve">   08  </w:t>
      </w:r>
      <w:r>
        <w:rPr>
          <w:rFonts w:ascii="標楷體" w:cs="標楷體" w:hAnsi="標楷體" w:eastAsia="標楷體"/>
          <w:rtl w:val="0"/>
          <w:lang w:val="zh-TW" w:eastAsia="zh-TW"/>
        </w:rPr>
        <w:t xml:space="preserve">月</w:t>
      </w:r>
      <w:r>
        <w:rPr>
          <w:rFonts w:ascii="Times New Roman" w:hAnsi="Times New Roman"/>
          <w:u w:val="single"/>
          <w:rtl w:val="0"/>
          <w:lang w:val="en-US"/>
        </w:rPr>
        <w:t xml:space="preserve">   13  </w:t>
      </w:r>
      <w:r>
        <w:rPr>
          <w:rFonts w:ascii="標楷體" w:cs="標楷體" w:hAnsi="標楷體" w:eastAsia="標楷體"/>
          <w:rtl w:val="0"/>
          <w:lang w:val="zh-TW" w:eastAsia="zh-TW"/>
        </w:rPr>
        <w:t>日</w:t>
      </w:r>
      <w:r>
        <w:rPr>
          <w:rFonts w:ascii="Times New Roman" w:hAnsi="Times New Roman"/>
          <w:rtl w:val="0"/>
          <w:lang w:val="en-US"/>
        </w:rPr>
        <w:t xml:space="preserve">                                 </w:t>
      </w:r>
      <w:bookmarkStart w:name="_Hlk196818613" w:id="0"/>
      <w:bookmarkEnd w:id="0"/>
      <w:r>
        <w:rPr>
          <w:rFonts w:ascii="標楷體" w:cs="標楷體" w:hAnsi="標楷體" w:eastAsia="標楷體"/>
          <w:rtl w:val="0"/>
          <w:lang w:val="zh-TW" w:eastAsia="zh-TW"/>
        </w:rPr>
        <w:t>頁</w:t>
      </w:r>
      <w:r>
        <w:rPr>
          <w:rFonts w:ascii="標楷體" w:cs="標楷體" w:hAnsi="標楷體" w:eastAsia="標楷體"/>
          <w:rtl w:val="0"/>
          <w:lang w:val="zh-TW" w:eastAsia="zh-TW"/>
        </w:rPr>
        <w:t>數</w:t>
      </w:r>
      <w:r>
        <w:rPr>
          <w:rFonts w:ascii="Times New Roman" w:hAnsi="Times New Roman"/>
          <w:rtl w:val="0"/>
          <w:lang w:val="en-US"/>
        </w:rPr>
        <w:t>/</w:t>
      </w:r>
      <w:r>
        <w:rPr>
          <w:rFonts w:ascii="標楷體" w:cs="標楷體" w:hAnsi="標楷體" w:eastAsia="標楷體"/>
          <w:rtl w:val="0"/>
          <w:lang w:val="zh-TW" w:eastAsia="zh-TW"/>
        </w:rPr>
        <w:t>總頁數：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tl w:val="0"/>
          <w:lang w:val="en-US"/>
        </w:rPr>
        <w:fldChar w:fldCharType="begin" w:fldLock="0"/>
      </w:r>
      <w:r>
        <w:rPr>
          <w:rtl w:val="0"/>
          <w:lang w:val="en-US"/>
        </w:rPr>
        <w:instrText xml:space="preserve"> PAGE </w:instrText>
      </w:r>
      <w:r>
        <w:rPr>
          <w:rtl w:val="0"/>
          <w:lang w:val="en-US"/>
        </w:rPr>
        <w:fldChar w:fldCharType="separate" w:fldLock="0"/>
      </w:r>
      <w:r>
        <w:rPr>
          <w:rtl w:val="0"/>
          <w:lang w:val="en-US"/>
        </w:rPr>
        <w:t>1</w:t>
      </w:r>
      <w:r>
        <w:rPr>
          <w:rtl w:val="0"/>
          <w:lang w:val="en-US"/>
        </w:rPr>
        <w:fldChar w:fldCharType="end" w:fldLock="0"/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/</w:t>
      </w:r>
      <w:r>
        <w:rPr>
          <w:b w:val="1"/>
          <w:bCs w:val="1"/>
          <w:rtl w:val="0"/>
          <w:lang w:val="en-US"/>
        </w:rPr>
        <w:fldChar w:fldCharType="begin" w:fldLock="0"/>
      </w:r>
      <w:r>
        <w:rPr>
          <w:b w:val="1"/>
          <w:bCs w:val="1"/>
          <w:rtl w:val="0"/>
          <w:lang w:val="en-US"/>
        </w:rPr>
        <w:instrText xml:space="preserve"> NUMPAGES </w:instrText>
      </w:r>
      <w:r>
        <w:rPr>
          <w:b w:val="1"/>
          <w:bCs w:val="1"/>
          <w:rtl w:val="0"/>
          <w:lang w:val="en-US"/>
        </w:rPr>
        <w:fldChar w:fldCharType="separate" w:fldLock="0"/>
      </w:r>
      <w:r>
        <w:rPr>
          <w:b w:val="1"/>
          <w:bCs w:val="1"/>
          <w:rtl w:val="0"/>
          <w:lang w:val="en-US"/>
        </w:rPr>
        <w:t>2</w:t>
      </w:r>
      <w:r>
        <w:rPr>
          <w:b w:val="1"/>
          <w:bCs w:val="1"/>
          <w:rtl w:val="0"/>
          <w:lang w:val="en-US"/>
        </w:rPr>
        <w:fldChar w:fldCharType="end" w:fldLock="0"/>
      </w:r>
    </w:p>
    <w:tbl>
      <w:tblPr>
        <w:tblW w:w="1077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ca"/>
        <w:tblLayout w:type="fixed"/>
      </w:tblPr>
      <w:tblGrid>
        <w:gridCol w:w="618"/>
        <w:gridCol w:w="725"/>
        <w:gridCol w:w="725"/>
        <w:gridCol w:w="726"/>
        <w:gridCol w:w="725"/>
        <w:gridCol w:w="726"/>
        <w:gridCol w:w="725"/>
        <w:gridCol w:w="566"/>
        <w:gridCol w:w="160"/>
        <w:gridCol w:w="725"/>
        <w:gridCol w:w="540"/>
        <w:gridCol w:w="185"/>
        <w:gridCol w:w="725"/>
        <w:gridCol w:w="726"/>
        <w:gridCol w:w="725"/>
        <w:gridCol w:w="725"/>
        <w:gridCol w:w="730"/>
      </w:tblGrid>
      <w:tr>
        <w:tblPrEx>
          <w:shd w:val="clear" w:color="auto" w:fill="cadfca"/>
        </w:tblPrEx>
        <w:trPr>
          <w:trHeight w:val="504" w:hRule="atLeast"/>
        </w:trPr>
        <w:tc>
          <w:tcPr>
            <w:tcW w:type="dxa" w:w="10777"/>
            <w:gridSpan w:val="17"/>
            <w:tcBorders>
              <w:top w:val="single" w:color="000000" w:sz="12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tabs>
                <w:tab w:val="left" w:pos="7440"/>
              </w:tabs>
              <w:spacing w:line="500" w:lineRule="exact"/>
              <w:jc w:val="both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會議主旨</w:t>
            </w: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>:</w:t>
            </w:r>
            <w:r>
              <w:rPr>
                <w:rFonts w:ascii="Times New Roman" w:hAnsi="Times New Roman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藍機右殼 黏結凸輪 黏結下齒板會議討論</w:t>
              <w:tab/>
              <w:t xml:space="preserve">M260802</w:t>
            </w:r>
          </w:p>
        </w:tc>
      </w:tr>
      <w:tr>
        <w:tblPrEx>
          <w:shd w:val="clear" w:color="auto" w:fill="cadfca"/>
        </w:tblPrEx>
        <w:trPr>
          <w:trHeight w:val="997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時間</w:t>
            </w:r>
          </w:p>
        </w:tc>
        <w:tc>
          <w:tcPr>
            <w:tcW w:type="dxa" w:w="4918"/>
            <w:gridSpan w:val="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both"/>
            </w:pPr>
            <w:r>
              <w:rPr>
                <w:rFonts w:ascii="Arial" w:hAnsi="Arial"/>
                <w:u w:val="single"/>
                <w:shd w:val="nil" w:color="auto" w:fill="auto"/>
                <w:rtl w:val="0"/>
                <w:lang w:val="en-US"/>
              </w:rPr>
              <w:t xml:space="preserve">  15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時</w:t>
            </w:r>
            <w:r>
              <w:rPr>
                <w:rFonts w:ascii="Arial" w:hAnsi="Arial"/>
                <w:u w:val="single"/>
                <w:shd w:val="nil" w:color="auto" w:fill="auto"/>
                <w:rtl w:val="0"/>
                <w:lang w:val="en-US"/>
              </w:rPr>
              <w:t xml:space="preserve"> 30 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分至</w:t>
            </w:r>
            <w:r>
              <w:rPr>
                <w:rFonts w:ascii="Arial" w:hAnsi="Arial"/>
                <w:u w:val="single"/>
                <w:shd w:val="nil" w:color="auto" w:fill="auto"/>
                <w:rtl w:val="0"/>
                <w:lang w:val="en-US"/>
              </w:rPr>
              <w:t xml:space="preserve">  16 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時</w:t>
            </w:r>
            <w:r>
              <w:rPr>
                <w:rFonts w:ascii="Arial" w:hAnsi="Arial"/>
                <w:u w:val="single"/>
                <w:shd w:val="nil" w:color="auto" w:fill="auto"/>
                <w:rtl w:val="0"/>
                <w:lang w:val="en-US"/>
              </w:rPr>
              <w:t xml:space="preserve">  06  </w:t>
            </w: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分</w:t>
            </w: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 </w:t>
            </w:r>
          </w:p>
        </w:tc>
        <w:tc>
          <w:tcPr>
            <w:tcW w:type="dxa" w:w="1425"/>
            <w:gridSpan w:val="3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主持人</w:t>
            </w:r>
          </w:p>
        </w:tc>
        <w:tc>
          <w:tcPr>
            <w:tcW w:type="dxa" w:w="3815"/>
            <w:gridSpan w:val="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both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謝華賢</w:t>
            </w:r>
          </w:p>
        </w:tc>
      </w:tr>
      <w:tr>
        <w:tblPrEx>
          <w:shd w:val="clear" w:color="auto" w:fill="cadfca"/>
        </w:tblPrEx>
        <w:trPr>
          <w:trHeight w:val="997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 xml:space="preserve">地點</w:t>
            </w:r>
          </w:p>
        </w:tc>
        <w:tc>
          <w:tcPr>
            <w:tcW w:type="dxa" w:w="4918"/>
            <w:gridSpan w:val="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both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 泛源會議室</w:t>
            </w:r>
          </w:p>
        </w:tc>
        <w:tc>
          <w:tcPr>
            <w:tcW w:type="dxa" w:w="1425"/>
            <w:gridSpan w:val="3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記錄</w:t>
            </w:r>
          </w:p>
        </w:tc>
        <w:tc>
          <w:tcPr>
            <w:tcW w:type="dxa" w:w="3815"/>
            <w:gridSpan w:val="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500" w:lineRule="exact"/>
              <w:jc w:val="both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 xml:space="preserve">楊子賢</w:t>
            </w:r>
          </w:p>
        </w:tc>
      </w:tr>
      <w:tr>
        <w:tblPrEx>
          <w:shd w:val="clear" w:color="auto" w:fill="cadfca"/>
        </w:tblPrEx>
        <w:trPr>
          <w:trHeight w:val="1035" w:hRule="atLeast"/>
        </w:trPr>
        <w:tc>
          <w:tcPr>
            <w:tcW w:type="dxa" w:w="618"/>
            <w:vMerge w:val="restart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193"/>
            </w:tcMar>
            <w:vAlign w:val="center"/>
          </w:tcPr>
          <w:p>
            <w:pPr>
              <w:pStyle w:val="內文"/>
              <w:ind w:right="113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出席者簽名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技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術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長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行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銷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處</w:t>
            </w:r>
          </w:p>
        </w:tc>
        <w:tc>
          <w:tcPr>
            <w:tcW w:type="dxa" w:w="72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業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務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品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保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處</w:t>
            </w:r>
          </w:p>
        </w:tc>
        <w:tc>
          <w:tcPr>
            <w:tcW w:type="dxa" w:w="72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生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產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處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製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造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6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生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管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資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材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處</w:t>
            </w:r>
          </w:p>
        </w:tc>
        <w:tc>
          <w:tcPr>
            <w:tcW w:type="dxa" w:w="725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會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簽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>: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總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經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理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標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準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內文"/>
              <w:jc w:val="center"/>
              <w:rPr>
                <w:rFonts w:ascii="Arial" w:cs="Arial" w:hAnsi="Arial" w:eastAsia="Arial"/>
                <w:shd w:val="nil" w:color="auto" w:fill="auto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倉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Fonts w:ascii="Arial" w:cs="Arial" w:hAnsi="Arial" w:eastAsia="Arial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管</w:t>
            </w:r>
          </w:p>
          <w:p>
            <w:pPr>
              <w:pStyle w:val="內文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課</w:t>
            </w:r>
          </w:p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9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ca"/>
        </w:tblPrEx>
        <w:trPr>
          <w:trHeight w:val="1628" w:hRule="atLeast"/>
        </w:trPr>
        <w:tc>
          <w:tcPr>
            <w:tcW w:type="dxa" w:w="618"/>
            <w:vMerge w:val="continue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6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729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12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ca"/>
        </w:tblPrEx>
        <w:trPr>
          <w:trHeight w:val="447" w:hRule="atLeast"/>
        </w:trPr>
        <w:tc>
          <w:tcPr>
            <w:tcW w:type="dxa" w:w="618"/>
            <w:tcBorders>
              <w:top w:val="single" w:color="000000" w:sz="12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360" w:lineRule="exact"/>
              <w:jc w:val="center"/>
            </w:pPr>
            <w:r>
              <w:rPr>
                <w:rFonts w:ascii="Arial" w:hAnsi="Arial"/>
                <w:shd w:val="nil" w:color="auto" w:fill="auto"/>
                <w:rtl w:val="0"/>
                <w:lang w:val="en-US"/>
              </w:rPr>
              <w:t>No.</w:t>
            </w:r>
          </w:p>
        </w:tc>
        <w:tc>
          <w:tcPr>
            <w:tcW w:type="dxa" w:w="10159"/>
            <w:gridSpan w:val="16"/>
            <w:tcBorders>
              <w:top w:val="single" w:color="000000" w:sz="12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spacing w:line="360" w:lineRule="exact"/>
              <w:jc w:val="center"/>
            </w:pPr>
            <w:r>
              <w:rPr>
                <w:rFonts w:ascii="標楷體" w:cs="標楷體" w:hAnsi="標楷體" w:eastAsia="標楷體" w:hint="eastAsia"/>
                <w:shd w:val="nil" w:color="auto" w:fill="auto"/>
                <w:rtl w:val="0"/>
                <w:lang w:val="zh-TW" w:eastAsia="zh-TW"/>
              </w:rPr>
              <w:t>內容說明</w:t>
            </w:r>
          </w:p>
        </w:tc>
      </w:tr>
      <w:tr>
        <w:tblPrEx>
          <w:shd w:val="clear" w:color="auto" w:fill="cadfca"/>
        </w:tblPrEx>
        <w:trPr>
          <w:trHeight w:val="380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shd w:val="nil" w:color="auto" w:fill="auto"/>
                <w:rtl w:val="0"/>
                <w:lang w:val="en-US"/>
              </w:rPr>
              <w:t xml:space="preserve">  </w:t>
            </w:r>
          </w:p>
        </w:tc>
        <w:tc>
          <w:tcPr>
            <w:tcW w:type="dxa" w:w="10159"/>
            <w:gridSpan w:val="1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Arial" w:hAnsi="Arial"/>
                <w:b w:val="1"/>
                <w:bCs w:val="1"/>
                <w:shd w:val="nil" w:color="auto" w:fill="auto"/>
                <w:rtl w:val="0"/>
                <w:lang w:val="en-US"/>
              </w:rPr>
              <w:t xml:space="preserve">藍機右殼 黏結凸輪 黏結下齒板會議討論</w:t>
            </w:r>
          </w:p>
        </w:tc>
      </w:tr>
      <w:tr>
        <w:tblPrEx>
          <w:shd w:val="clear" w:color="auto" w:fill="cadfca"/>
        </w:tblPrEx>
        <w:trPr>
          <w:trHeight w:val="3270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jc w:val="center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1.</w:t>
            </w:r>
          </w:p>
        </w:tc>
        <w:tc>
          <w:tcPr>
            <w:tcW w:type="dxa" w:w="10159"/>
            <w:gridSpan w:val="1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議題：</w:t>
            </w: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藍機右殼L93XXAR1 外觀泛黃問題討論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1.1 現況: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目前部分藍機右殼存在顏色差異、外觀差異及長期庫存問題。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部分右殼已有貼面板結構，目前約有 3pcs貼面板零件有外觀／顏色差異。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部分右殼外觀上有白色斑點，過去已有使用案例，確認客戶曾同意使用，因此白色斑點原則上可依既有接受條件處理。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部分庫存已存放較長時間，若持續存放，可能產生變色、老化或外觀劣化。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目前已先將確認不能使用的 13pcs藍機右殼暫停使用／先不出貨。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1.2 主要問題: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庫存數量若扣除不良品，會影響原先對客戶承諾的配套數量。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若維修零件未來需求增加，可能發生庫存不足。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1.3 會議結論: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已確認泛黃的 13pcs先行管制，納入保留倉。</w:t>
            </w:r>
          </w:p>
        </w:tc>
      </w:tr>
      <w:tr>
        <w:tblPrEx>
          <w:shd w:val="clear" w:color="auto" w:fill="cadfca"/>
        </w:tblPrEx>
        <w:trPr>
          <w:trHeight w:val="3270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jc w:val="center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</w:t>
            </w:r>
          </w:p>
        </w:tc>
        <w:tc>
          <w:tcPr>
            <w:tcW w:type="dxa" w:w="10159"/>
            <w:gridSpan w:val="1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議題：</w:t>
            </w: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黏結凸輪92XX079角度公差及組裝功能問題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2.1 主要問題: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目前討論的關鍵尺寸為零件角度，原規範約為：19° ±0.5°。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目前若放寬至 ±1°，可能造成實際尺寸／位置差異放大。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角度變化會直接影響開關啟動行程及組裝調整時間。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2.2 品質風險: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組裝困難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開關啟動行程改變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調整時間增加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累積公差增加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維修零件組裝困難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客戶端後續更換零件可能受到影響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2.3 目前判斷: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品保處建議:目前製程在 ±0.5°條件下已存在調整困難，因此不能直接假設放寬至 ±1°即可解決問題。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技術長建議角度可以用19.5°-20°測試組裝功能是否可行。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必須透過實際組裝測試確認角度變化對製程時間及功能的影響。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目前建議以實際組裝的時間及功能結果作為判定依據，而非只看量測數據。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2.4 驗證方法: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建議採取對照試驗：以 19.5°-20° 5pcs 進行組裝時間與功能驗證。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比較項目：組裝時間、調整次數、啟動行程、功能結果、不良率、操作難易度。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2.5 會議結論: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暫不直接放寬角度公差，先進行 5pcs 小批量對照試驗。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若放寬後明顯增加組裝困難，維持原規格並要求供應商（承化）自費改善；若仍無法改善則啟動竹翔開模備案。</w:t>
            </w:r>
          </w:p>
        </w:tc>
      </w:tr>
      <w:tr>
        <w:tblPrEx>
          <w:shd w:val="clear" w:color="auto" w:fill="cadfca"/>
        </w:tblPrEx>
        <w:trPr>
          <w:trHeight w:val="3270" w:hRule="atLeast"/>
        </w:trPr>
        <w:tc>
          <w:tcPr>
            <w:tcW w:type="dxa" w:w="618"/>
            <w:tcBorders>
              <w:top w:val="single" w:color="000000" w:sz="6" w:space="0" w:shadow="0" w:frame="0"/>
              <w:left w:val="single" w:color="000000" w:sz="12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jc w:val="center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3.</w:t>
            </w:r>
          </w:p>
        </w:tc>
        <w:tc>
          <w:tcPr>
            <w:tcW w:type="dxa" w:w="10159"/>
            <w:gridSpan w:val="16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1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議題：</w:t>
            </w: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黏結下齒板(加工)_93XXAO2需80pcs試作及熱處理／噴砂製程驗證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3.1 現況: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目前已有 3pcs樣品在鑫將完成試作驗證OK。原熱處理廠（國泰）有黑痕問題，轉由鑫將執行。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後續規劃進行 80pcs試作，作為正式製程導入前的驗證批。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80pcs 要完整走過：加工 → 熱處理 → 噴砂 → 後續加工 → 電鍍 → 檢驗 → 製程確認。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3.2 重要品質要求: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熱處理後可能影響零件尺寸及形狀，不能只驗證熱處理後外觀，必須完成全製程後確認尺寸與功能。</w:t>
            </w:r>
          </w:p>
          <w:p>
            <w:pPr>
              <w:pStyle w:val="內文"/>
              <w:bidi w:val="0"/>
              <w:ind w:left="0" w:right="0" w:firstLine="0"/>
              <w:jc w:val="left"/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3.3 會議結論:</w:t>
            </w:r>
          </w:p>
          <w:p>
            <w:pPr>
              <w:pStyle w:val="內文"/>
              <w:numPr>
                <w:ilvl w:val="0"/>
                <w:numId w:val="1"/>
              </w:numPr>
              <w:bidi w:val="0"/>
              <w:ind w:right="0"/>
              <w:jc w:val="left"/>
              <w:rPr>
                <w:rFonts w:ascii="標楷體" w:cs="標楷體" w:hAnsi="標楷體" w:eastAsia="標楷體"/>
                <w:b w:val="1"/>
                <w:bCs w:val="1"/>
                <w:rtl w:val="0"/>
                <w:lang w:val="en-US"/>
              </w:rPr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80pcs試作案繼續執行，需完整走完製程並檢驗合格後方能作為量產依據。</w:t>
            </w:r>
          </w:p>
        </w:tc>
      </w:tr>
    </w:tbl>
    <w:p>
      <w:pPr>
        <w:pStyle w:val="Body Text"/>
      </w:pPr>
    </w:p>
    <w:p>
      <w:pPr>
        <w:pStyle w:val="內文"/>
      </w:pPr>
    </w:p>
    <w:p>
      <w:pPr>
        <w:pStyle w:val="內文"/>
      </w:pPr>
      <w:r>
        <w:rPr>
          <w:rFonts w:ascii="標楷體" w:cs="標楷體" w:hAnsi="標楷體" w:eastAsia="標楷體"/>
          <w:rtl w:val="0"/>
          <w:lang w:val="zh-TW" w:eastAsia="zh-TW"/>
        </w:rPr>
        <w:t xml:space="preserve">三、待辦事項 </w:t>
      </w:r>
    </w:p>
    <w:tbl>
      <w:tblPr>
        <w:tblW w:w="1099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ca"/>
        <w:tblLayout w:type="fixed"/>
      </w:tblPr>
      <w:tblGrid>
        <w:gridCol w:w="5715"/>
        <w:gridCol w:w="3348"/>
        <w:gridCol w:w="1935"/>
      </w:tblGrid>
      <w:tr>
        <w:tblPrEx>
          <w:shd w:val="clear" w:color="auto" w:fill="18a303"/>
        </w:tblPrEx>
        <w:trPr>
          <w:trHeight w:val="340" w:hRule="atLeast"/>
          <w:tblHeader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任務內容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負責人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zh-TW" w:eastAsia="zh-TW"/>
              </w:rPr>
              <w:t>預計完成時間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確認長期庫存零件是否有變色、老化或其他品質風險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品保處／倉庫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2026年底前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完成80pcs試作，並走完完整製程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資材處／供應商／泛源二廠加工組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依專案排程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完成80pcs熱處理、噴砂、加工後之尺寸及外觀檢驗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品保處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80件完成後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針對19.5°-20°等不同角度條件進行小批量對照試驗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承化／資材處／品保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儘速安排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確認角度對開關啟動行程之實際影響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生產處／品保處／研發處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小批量試驗完成後</w:t>
            </w:r>
          </w:p>
        </w:tc>
      </w:tr>
      <w:tr>
        <w:tblPrEx>
          <w:shd w:val="clear" w:color="auto" w:fill="cadfca"/>
        </w:tblPrEx>
        <w:trPr>
          <w:trHeight w:val="280" w:hRule="atLeast"/>
        </w:trPr>
        <w:tc>
          <w:tcPr>
            <w:tcW w:type="dxa" w:w="57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若承化改善仍無法達標，評估第二供應商／模具方案</w:t>
            </w:r>
          </w:p>
        </w:tc>
        <w:tc>
          <w:tcPr>
            <w:tcW w:type="dxa" w:w="334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資材處／研發處</w:t>
            </w:r>
          </w:p>
        </w:tc>
        <w:tc>
          <w:tcPr>
            <w:tcW w:type="dxa" w:w="19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內文"/>
            </w:pPr>
            <w:r>
              <w:rPr>
                <w:rFonts w:ascii="標楷體" w:cs="標楷體" w:hAnsi="標楷體" w:eastAsia="標楷體"/>
                <w:b w:val="1"/>
                <w:bCs w:val="1"/>
                <w:shd w:val="nil" w:color="auto" w:fill="auto"/>
                <w:rtl w:val="0"/>
                <w:lang w:val="en-US"/>
              </w:rPr>
              <w:t xml:space="preserve">第一階段測試失敗後</w:t>
            </w:r>
          </w:p>
        </w:tc>
      </w:tr>
    </w:tbl>
    <w:p>
      <w:pPr>
        <w:pStyle w:val="內文"/>
      </w:pPr>
    </w:p>
    <w:sectPr>
      <w:headerReference w:type="default" r:id="rId4"/>
      <w:footerReference w:type="default" r:id="rId5"/>
      <w:pgSz w:w="11900" w:h="16840" w:orient="portrait"/>
      <w:pgMar w:top="720" w:right="720" w:bottom="720" w:left="720" w:header="567" w:footer="56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標楷體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tl w:val="0"/>
        <w:lang w:val="en-US"/>
      </w:rPr>
      <w:t>FR-MR09 v.01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  <w:rPr>
        <w:lang w:val="zh-TW" w:eastAsia="zh-TW"/>
      </w:rPr>
    </w:pPr>
    <w:r>
      <w:rPr>
        <w:rFonts w:ascii="標楷體" w:cs="標楷體" w:hAnsi="標楷體" w:eastAsia="標楷體"/>
        <w:sz w:val="32"/>
        <w:szCs w:val="32"/>
        <w:rtl w:val="0"/>
        <w:lang w:val="zh-TW" w:eastAsia="zh-TW"/>
      </w:rPr>
      <w:t>台積電股份有限公司</w:t>
    </w:r>
  </w:p>
  <w:p>
    <w:pPr>
      <w:pStyle w:val="Header"/>
      <w:tabs>
        <w:tab w:val="clear" w:pos="4153"/>
        <w:tab w:val="clear" w:pos="8306"/>
      </w:tabs>
      <w:jc w:val="center"/>
    </w:pPr>
    <w:r>
      <w:rPr>
        <w:rFonts w:ascii="Times New Roman" w:hAnsi="Times New Roman"/>
        <w:sz w:val="28"/>
        <w:szCs w:val="28"/>
        <w:rtl w:val="0"/>
        <w:lang w:val="en-US"/>
      </w:rPr>
      <w:t>PANTECH INTERNATIONAL INC.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48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0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0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12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內文">
    <w:name w:val="內文"/>
    <w:next w:val="內文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FF"/>
      </a:hlink>
      <a:folHlink>
        <a:srgbClr val="FF00FF"/>
      </a:folHlink>
    </a:clrScheme>
    <a:fontScheme name="Office">
      <a:majorFont>
        <a:latin typeface="PingFang TC Semibold"/>
        <a:ea typeface="PingFang TC Semibold"/>
        <a:cs typeface="PingFang TC Semibold"/>
      </a:majorFont>
      <a:minorFont>
        <a:latin typeface="PingFang TC Regular"/>
        <a:ea typeface="PingFang TC Regular"/>
        <a:cs typeface="PingFang TC Regula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/>
  <dc:description/>
  <dc:identifier/>
  <dc:language/>
  <dc:subject/>
  <dc:title/>
</cp:coreProperties>
</file>