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工研院綠能與環境研究所：大型陸域與離岸風電技術評估與智慧運維產學合作備忘錄</w:t>
      </w:r>
    </w:p>
    <w:p>
      <w:r>
        <w:rPr>
          <w:b/>
        </w:rPr>
        <w:t>文件編號：</w:t>
      </w:r>
      <w:r>
        <w:t>ITRI-GEL-WIND-2026-003</w:t>
        <w:br/>
      </w:r>
      <w:r>
        <w:rPr>
          <w:b/>
        </w:rPr>
        <w:t>主責單位：</w:t>
      </w:r>
      <w:r>
        <w:t>工業技術研究院 綠能與環境研究所 風力發電技術研究組</w:t>
        <w:br/>
      </w:r>
      <w:r>
        <w:rPr>
          <w:b/>
        </w:rPr>
        <w:t>計畫負責人：</w:t>
      </w:r>
      <w:r>
        <w:t>陳志峰 博士 / 資深技術專家</w:t>
        <w:br/>
      </w:r>
      <w:r>
        <w:rPr>
          <w:b/>
        </w:rPr>
        <w:t>發布日期：</w:t>
      </w:r>
      <w:r>
        <w:t>2026 年 6 月 18 日</w:t>
      </w:r>
    </w:p>
    <w:p>
      <w:pPr>
        <w:pStyle w:val="Heading1"/>
      </w:pPr>
      <w:r>
        <w:t>壹、計畫宗旨與背景</w:t>
      </w:r>
    </w:p>
    <w:p>
      <w:r>
        <w:t>為落實國家 2050 淨零排放路徑，大型風力發電（涵蓋高發電容量之陸域風場與台灣海峽高潛能離岸風場）為主力基載綠能。本案由綠能所主導，聯合頂尖工科院校與海事工程團隊，針對台灣高溫、高濕、多颱風地震之複合型極端氣候，推動 15MW+ 等級大型風機之抗颱耐震設計、水下基礎應力監測及 AI 預測性運維技術開發。</w:t>
      </w:r>
    </w:p>
    <w:p>
      <w:pPr>
        <w:pStyle w:val="Heading1"/>
      </w:pPr>
      <w:r>
        <w:t>貳、關鍵技術指標與評估規格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技術範疇</w:t>
            </w:r>
          </w:p>
        </w:tc>
        <w:tc>
          <w:tcPr>
            <w:tcW w:type="dxa" w:w="2160"/>
          </w:tcPr>
          <w:p>
            <w:r>
              <w:t>陸域大型風電 (Onshore)</w:t>
            </w:r>
          </w:p>
        </w:tc>
        <w:tc>
          <w:tcPr>
            <w:tcW w:type="dxa" w:w="2160"/>
          </w:tcPr>
          <w:p>
            <w:r>
              <w:t>離岸大型風電 (Offshore)</w:t>
            </w:r>
          </w:p>
        </w:tc>
        <w:tc>
          <w:tcPr>
            <w:tcW w:type="dxa" w:w="2160"/>
          </w:tcPr>
          <w:p>
            <w:r>
              <w:t>驗收標準 / 規範</w:t>
            </w:r>
          </w:p>
        </w:tc>
      </w:tr>
      <w:tr>
        <w:tc>
          <w:tcPr>
            <w:tcW w:type="dxa" w:w="2160"/>
          </w:tcPr>
          <w:p>
            <w:r>
              <w:t>單機裝置容量</w:t>
            </w:r>
          </w:p>
        </w:tc>
        <w:tc>
          <w:tcPr>
            <w:tcW w:type="dxa" w:w="2160"/>
          </w:tcPr>
          <w:p>
            <w:r>
              <w:t>4.2 MW ~ 6.0 MW</w:t>
            </w:r>
          </w:p>
        </w:tc>
        <w:tc>
          <w:tcPr>
            <w:tcW w:type="dxa" w:w="2160"/>
          </w:tcPr>
          <w:p>
            <w:r>
              <w:t>14.0 MW ~ 16.0 MW (次世代標竿)</w:t>
            </w:r>
          </w:p>
        </w:tc>
        <w:tc>
          <w:tcPr>
            <w:tcW w:type="dxa" w:w="2160"/>
          </w:tcPr>
          <w:p>
            <w:r>
              <w:t>IEC 61400-1 Class T</w:t>
            </w:r>
          </w:p>
        </w:tc>
      </w:tr>
      <w:tr>
        <w:tc>
          <w:tcPr>
            <w:tcW w:type="dxa" w:w="2160"/>
          </w:tcPr>
          <w:p>
            <w:r>
              <w:t>支撐結構與地基</w:t>
            </w:r>
          </w:p>
        </w:tc>
        <w:tc>
          <w:tcPr>
            <w:tcW w:type="dxa" w:w="2160"/>
          </w:tcPr>
          <w:p>
            <w:r>
              <w:t>預力混凝土重力式基礎</w:t>
            </w:r>
          </w:p>
        </w:tc>
        <w:tc>
          <w:tcPr>
            <w:tcW w:type="dxa" w:w="2160"/>
          </w:tcPr>
          <w:p>
            <w:r>
              <w:t>套管式 (Jacket) / 浮動式 (Floating)</w:t>
            </w:r>
          </w:p>
        </w:tc>
        <w:tc>
          <w:tcPr>
            <w:tcW w:type="dxa" w:w="2160"/>
          </w:tcPr>
          <w:p>
            <w:r>
              <w:t>DNV-ST-0119 耐震抗剪</w:t>
            </w:r>
          </w:p>
        </w:tc>
      </w:tr>
      <w:tr>
        <w:tc>
          <w:tcPr>
            <w:tcW w:type="dxa" w:w="2160"/>
          </w:tcPr>
          <w:p>
            <w:r>
              <w:t>極端耐候設計</w:t>
            </w:r>
          </w:p>
        </w:tc>
        <w:tc>
          <w:tcPr>
            <w:tcW w:type="dxa" w:w="2160"/>
          </w:tcPr>
          <w:p>
            <w:r>
              <w:t>Class T 抗強颱 (70m/s)</w:t>
            </w:r>
          </w:p>
        </w:tc>
        <w:tc>
          <w:tcPr>
            <w:tcW w:type="dxa" w:w="2160"/>
          </w:tcPr>
          <w:p>
            <w:r>
              <w:t>耐極限陣風 + 浪潮波浪耦合分析</w:t>
            </w:r>
          </w:p>
        </w:tc>
        <w:tc>
          <w:tcPr>
            <w:tcW w:type="dxa" w:w="2160"/>
          </w:tcPr>
          <w:p>
            <w:r>
              <w:t>台灣海峽 50 年一遇迴歸期</w:t>
            </w:r>
          </w:p>
        </w:tc>
      </w:tr>
      <w:tr>
        <w:tc>
          <w:tcPr>
            <w:tcW w:type="dxa" w:w="2160"/>
          </w:tcPr>
          <w:p>
            <w:r>
              <w:t>智慧運維 (O&amp;M)</w:t>
            </w:r>
          </w:p>
        </w:tc>
        <w:tc>
          <w:tcPr>
            <w:tcW w:type="dxa" w:w="2160"/>
          </w:tcPr>
          <w:p>
            <w:r>
              <w:t>光學聲學巡檢、低頻降噪</w:t>
            </w:r>
          </w:p>
        </w:tc>
        <w:tc>
          <w:tcPr>
            <w:tcW w:type="dxa" w:w="2160"/>
          </w:tcPr>
          <w:p>
            <w:r>
              <w:t>無人機自動巡檢、數位分身 (Digital Twin)</w:t>
            </w:r>
          </w:p>
        </w:tc>
        <w:tc>
          <w:tcPr>
            <w:tcW w:type="dxa" w:w="2160"/>
          </w:tcPr>
          <w:p>
            <w:r>
              <w:t>可動率 (Availability) ≥ 96.5%</w:t>
            </w:r>
          </w:p>
        </w:tc>
      </w:tr>
      <w:tr>
        <w:tc>
          <w:tcPr>
            <w:tcW w:type="dxa" w:w="2160"/>
          </w:tcPr>
          <w:p>
            <w:r>
              <w:t>電網併網調度</w:t>
            </w:r>
          </w:p>
        </w:tc>
        <w:tc>
          <w:tcPr>
            <w:tcW w:type="dxa" w:w="2160"/>
          </w:tcPr>
          <w:p>
            <w:r>
              <w:t>即時功因調節、儲能虛擬電廠</w:t>
            </w:r>
          </w:p>
        </w:tc>
        <w:tc>
          <w:tcPr>
            <w:tcW w:type="dxa" w:w="2160"/>
          </w:tcPr>
          <w:p>
            <w:r>
              <w:t>海底高壓直流 (HVDC) / 交流併聯</w:t>
            </w:r>
          </w:p>
        </w:tc>
        <w:tc>
          <w:tcPr>
            <w:tcW w:type="dxa" w:w="2160"/>
          </w:tcPr>
          <w:p>
            <w:r>
              <w:t>台電再生能源併網規範</w:t>
            </w:r>
          </w:p>
        </w:tc>
      </w:tr>
    </w:tbl>
    <w:p>
      <w:pPr>
        <w:pStyle w:val="Heading1"/>
      </w:pPr>
      <w:r>
        <w:t>參、產學合作分工與時程里程碑</w:t>
      </w:r>
    </w:p>
    <w:p>
      <w:r>
        <w:t>本產學合作為期 12 個月，分為四個執行階段：</w:t>
        <w:br/>
        <w:t>1. 2026 Q3：台灣海峽特定海域風場環境數值模擬與風機選址優化。</w:t>
        <w:br/>
        <w:t>2. 2026 Q4：15MW 級巨型葉片氣動彈性力學與疲勞壽命分析平台建置。</w:t>
        <w:br/>
        <w:t>3. 2027 Q1：建置無人機自動巡航與葉片微裂紋 AI 影像辨識演算法。</w:t>
        <w:br/>
        <w:t>4. 2027 Q2：數位分身實機驗證（於示範風場進行 SCADA 數據回測與盲測評估）。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