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36"/>
          <w:szCs w:val="36"/>
          <w:u w:val="single"/>
        </w:rPr>
      </w:pPr>
      <w:r w:rsidDel="00000000" w:rsidR="00000000" w:rsidRPr="00000000">
        <w:rPr>
          <w:color w:val="ff0000"/>
          <w:sz w:val="36"/>
          <w:szCs w:val="36"/>
          <w:u w:val="single"/>
          <w:rtl w:val="0"/>
        </w:rPr>
        <w:t xml:space="preserve">Compte rendu de l’atelier sur la RGPD</w:t>
      </w:r>
    </w:p>
    <w:p w:rsidR="00000000" w:rsidDel="00000000" w:rsidP="00000000" w:rsidRDefault="00000000" w:rsidRPr="00000000" w14:paraId="00000002">
      <w:pPr>
        <w:jc w:val="center"/>
        <w:rPr>
          <w:color w:val="ff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Le Règlement général sur la protection des données (RGPD) est une réglementation européenne qui vise à renforcer la protection des données personnelles des individus au sein de l'Union européenne (UE). Il est entré en vigueur le 25 mai 2018 et a introduit des normes plus strictes pour la collecte, le traitement et la protection des données personnelles.</w:t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Voici les principales idées à retenir :</w:t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9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3090"/>
        <w:gridCol w:w="2700"/>
        <w:gridCol w:w="2535"/>
        <w:tblGridChange w:id="0">
          <w:tblGrid>
            <w:gridCol w:w="3270"/>
            <w:gridCol w:w="3090"/>
            <w:gridCol w:w="2700"/>
            <w:gridCol w:w="2535"/>
          </w:tblGrid>
        </w:tblGridChange>
      </w:tblGrid>
      <w:tr>
        <w:trPr>
          <w:cantSplit w:val="0"/>
          <w:trHeight w:val="4890.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  <w:rtl w:val="0"/>
              </w:rPr>
              <w:t xml:space="preserve">Champ d'application: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 Le RGPD s'applique à toutes les organisations, qu'elles soient situées dans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u w:val="single"/>
                <w:rtl w:val="0"/>
              </w:rPr>
              <w:t xml:space="preserve">l'UE ou non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  <w:u w:val="single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 qui traitent des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u w:val="single"/>
                <w:rtl w:val="0"/>
              </w:rPr>
              <w:t xml:space="preserve">données personnelles de résidents de l'UE.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 Il couvre un large éventail de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u w:val="single"/>
                <w:rtl w:val="0"/>
              </w:rPr>
              <w:t xml:space="preserve">données personnelles,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 telles que les noms, les adresses, les numéros de téléphone, les adresses électroniques, etc…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  <w:rtl w:val="0"/>
              </w:rPr>
              <w:t xml:space="preserve">2) Consentement: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 Les organisations doivent obtenir un consentement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u w:val="single"/>
                <w:rtl w:val="0"/>
              </w:rPr>
              <w:t xml:space="preserve">explicite et librement donné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 des individus avant de collecter ou de traiter leurs données personnelles. Les individus ont également le droit de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u w:val="single"/>
                <w:rtl w:val="0"/>
              </w:rPr>
              <w:t xml:space="preserve">retirer leur consentement à tout moment.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  <w:rtl w:val="0"/>
              </w:rPr>
              <w:t xml:space="preserve">3)Droits des individus: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Le RGPD accorde aux individus plusieurs droits, notamment le 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  <w:rtl w:val="0"/>
              </w:rPr>
              <w:t xml:space="preserve">droit d'accès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 à leurs données, le droit de 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  <w:rtl w:val="0"/>
              </w:rPr>
              <w:t xml:space="preserve">rectification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, le droit à l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  <w:rtl w:val="0"/>
              </w:rPr>
              <w:t xml:space="preserve">'effacement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 (ou "droit à l'oubli"), le droit à la 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  <w:rtl w:val="0"/>
              </w:rPr>
              <w:t xml:space="preserve">portabilité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 des données et le droit de s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  <w:rtl w:val="0"/>
              </w:rPr>
              <w:t xml:space="preserve">'opposer 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au traitement de leurs données.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  <w:rtl w:val="0"/>
              </w:rPr>
              <w:t xml:space="preserve">4)Responsabilité des entreprises: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 Les organisations sont tenues de mettre en place des politiques de protection des données, de 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u w:val="single"/>
                <w:rtl w:val="0"/>
              </w:rPr>
              <w:t xml:space="preserve">ommer un délégué à la protection des données 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(DPO) dans certains cas, et de signaler les violations de données dans un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u w:val="single"/>
                <w:rtl w:val="0"/>
              </w:rPr>
              <w:t xml:space="preserve">délai de 72 heures.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  <w:rtl w:val="0"/>
              </w:rPr>
              <w:t xml:space="preserve">5)Transferts internationaux de données: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Le RGPD impose des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u w:val="single"/>
                <w:rtl w:val="0"/>
              </w:rPr>
              <w:t xml:space="preserve">restrictions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 sur le transfert de données personnelles en dehors de l'UE, notamment en exigeant que les organisations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u w:val="single"/>
                <w:rtl w:val="0"/>
              </w:rPr>
              <w:t xml:space="preserve">garantissent un niveau de protection équivalent.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  <w:rtl w:val="0"/>
              </w:rPr>
              <w:t xml:space="preserve">6)Sanctions: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Le RGPD prévoit des amendes substantielles en cas de non-conformité, pouvant aller jusqu'à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u w:val="single"/>
                <w:rtl w:val="0"/>
              </w:rPr>
              <w:t xml:space="preserve"> 20 millions d'euros ou 4 % du chiffre d'affaires annuel mondial de l'entreprise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, selon le montant le plus élevé.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  <w:rtl w:val="0"/>
              </w:rPr>
              <w:t xml:space="preserve">7)Analyse d'impact sur la protection des données: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 Les organisations sont tenues de réaliser des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u w:val="single"/>
                <w:rtl w:val="0"/>
              </w:rPr>
              <w:t xml:space="preserve">évaluations d'impact sur la protection des données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 (DPIA) pour les traitements de données susceptibles de présenter un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u w:val="single"/>
                <w:rtl w:val="0"/>
              </w:rPr>
              <w:t xml:space="preserve">risque élevé pour les droits et libertés des individus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  <w:rtl w:val="0"/>
              </w:rPr>
              <w:t xml:space="preserve">8)Principes de protection des données: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Le RGPD repose sur des principes clés de protection des données, tels que la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u w:val="single"/>
                <w:rtl w:val="0"/>
              </w:rPr>
              <w:t xml:space="preserve">minimisation,la licéité,la finalité  et la transparence des données collectées, la limitation de la conservation des données, la confidentialité et la sécurité des données.</w:t>
            </w:r>
          </w:p>
        </w:tc>
      </w:tr>
    </w:tbl>
    <w:p w:rsidR="00000000" w:rsidDel="00000000" w:rsidP="00000000" w:rsidRDefault="00000000" w:rsidRPr="00000000" w14:paraId="0000001F">
      <w:pPr>
        <w:jc w:val="left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u w:val="single"/>
          <w:rtl w:val="0"/>
        </w:rPr>
        <w:t xml:space="preserve">Conclusion: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Le RGPD vise à créer un environnement où les données personnelles sont traitées de manière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u w:val="single"/>
          <w:rtl w:val="0"/>
        </w:rPr>
        <w:t xml:space="preserve">responsable, transparente et sécurisée,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tout en renforçant les droits des individus et en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u w:val="single"/>
          <w:rtl w:val="0"/>
        </w:rPr>
        <w:t xml:space="preserve">garantissant la conformité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des organisations à des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u w:val="single"/>
          <w:rtl w:val="0"/>
        </w:rPr>
        <w:t xml:space="preserve">normes de protection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des données plus strictes. Il s'agit d'une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u w:val="single"/>
          <w:rtl w:val="0"/>
        </w:rPr>
        <w:t xml:space="preserve"> réglementation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majeure visant à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u w:val="single"/>
          <w:rtl w:val="0"/>
        </w:rPr>
        <w:t xml:space="preserve">protéger la vie privée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et à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u w:val="single"/>
          <w:rtl w:val="0"/>
        </w:rPr>
        <w:t xml:space="preserve"> rétablir la confiance des individus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dans la manière dont leurs données sont gérées.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