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200" w:before="0"/>
              <w:jc w:val="center"/>
            </w:pPr>
            <w:r>
              <w:rPr>
                <w:rFonts w:ascii="Arial" w:cs="Arial" w:eastAsia="Arial" w:hAnsi="Arial"/>
                <w:b/>
                <w:bCs/>
                <w:color w:val="C9A84C"/>
                <w:sz w:val="48"/>
                <w:szCs w:val="48"/>
              </w:rPr>
              <w:t xml:space="preserve">JOHNSON ATTIN GROUP</w:t>
            </w:r>
          </w:p>
          <w:p>
            <w:pPr>
              <w:spacing w:after="200" w:before="0"/>
              <w:jc w:val="center"/>
            </w:pPr>
            <w:r>
              <w:rPr>
                <w:rFonts w:ascii="Arial" w:cs="Arial" w:eastAsia="Arial" w:hAnsi="Arial"/>
                <w:b/>
                <w:bCs/>
                <w:color w:val="FFFFFF"/>
                <w:sz w:val="30"/>
                <w:szCs w:val="30"/>
              </w:rPr>
              <w:t xml:space="preserve">JAG INTEGRATED BUSINESS PLATFORM</w:t>
            </w:r>
          </w:p>
          <w:p>
            <w:pPr>
              <w:spacing w:after="200" w:before="0"/>
              <w:jc w:val="center"/>
            </w:pPr>
            <w:r>
              <w:rPr>
                <w:rFonts w:ascii="Arial" w:cs="Arial" w:eastAsia="Arial" w:hAnsi="Arial"/>
                <w:b/>
                <w:bCs/>
                <w:color w:val="C9A84C"/>
                <w:sz w:val="26"/>
                <w:szCs w:val="26"/>
              </w:rPr>
              <w:t xml:space="preserve">AI SESSION CONTEXT SUMMARY</w:t>
            </w:r>
          </w:p>
          <w:p>
            <w:pPr>
              <w:spacing w:after="160" w:before="0"/>
              <w:jc w:val="center"/>
            </w:pPr>
            <w:r>
              <w:rPr>
                <w:rFonts w:ascii="Arial" w:cs="Arial" w:eastAsia="Arial" w:hAnsi="Arial"/>
                <w:color w:val="FFFFFF"/>
                <w:sz w:val="22"/>
                <w:szCs w:val="22"/>
              </w:rPr>
              <w:t xml:space="preserve">Architecture v1.9  |  Phase 5 — JAG Holdings Ledger UI (next)  |  June 2026</w:t>
            </w:r>
          </w:p>
          <w:p>
            <w:pPr>
              <w:spacing w:after="400" w:before="0"/>
              <w:jc w:val="center"/>
            </w:pPr>
            <w:r>
              <w:rPr>
                <w:rFonts w:ascii="Arial" w:cs="Arial" w:eastAsia="Arial" w:hAnsi="Arial"/>
                <w:i/>
                <w:iCs/>
                <w:color w:val="C9A84C"/>
                <w:sz w:val="22"/>
                <w:szCs w:val="22"/>
              </w:rPr>
              <w:t xml:space="preserve">Phase 4 Finance COMPLETE. 49/49 RLS tests passing. All finance routes live.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000000"/>
                <w:sz w:val="22"/>
                <w:szCs w:val="22"/>
              </w:rPr>
              <w:t xml:space="preserve">OPSEC NOTICE: This document is the ONLY version to be shared with AI systems, external consultants, or any digital channel. It contains NO account numbers, succession instructions, ownership percentages, lawyer identities, or specific financial values. The full classified Master Architecture document (JAG_Master_Architecture_v1.9.docx) must remain offline at all times.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color w:val="000000"/>
                <w:sz w:val="22"/>
                <w:szCs w:val="22"/>
              </w:rPr>
              <w:t xml:space="preserve">HOW TO USE THIS DOCUMENT: Load it at the start of every Claude session before any build work. It gives Claude the full architectural context needed to write correct, consistent code. For code and architecture changes, Claude reads generator scripts directly from the JAG Holdings folder — the Master Architecture .docx never needs to be uploaded.</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 PROJECT OVERVIEW</w:t>
            </w:r>
          </w:p>
        </w:tc>
      </w:tr>
    </w:tbl>
    <w:p>
      <w:pPr>
        <w:spacing w:after="100" w:before="100"/>
      </w:pPr>
      <w:r>
        <w:t xml:space="preserve"/>
      </w:r>
    </w:p>
    <w:p>
      <w:pPr>
        <w:spacing w:after="80" w:before="80"/>
      </w:pPr>
      <w:r>
        <w:rPr>
          <w:rFonts w:ascii="Arial" w:cs="Arial" w:eastAsia="Arial" w:hAnsi="Arial"/>
          <w:sz w:val="22"/>
          <w:szCs w:val="22"/>
        </w:rPr>
        <w:t xml:space="preserve">The JAG Integrated Business Platform is a self-hosted, modular enterprise management system being designed and built by Robert Johnson-Attin for the Johnson Attin Group — a diversified family conglomerate based in Trinidad and Tobago. The platform consolidates operations across 12+ business entities into a single authenticated system with a central financial backbone (JAG Holdings).</w:t>
      </w:r>
    </w:p>
    <w:p>
      <w:pPr>
        <w:spacing w:after="100" w:before="100"/>
      </w:pPr>
      <w:r>
        <w:t xml:space="preserve"/>
      </w:r>
    </w:p>
    <w:p>
      <w:pPr>
        <w:spacing w:after="140" w:before="260"/>
      </w:pPr>
      <w:r>
        <w:rPr>
          <w:rFonts w:ascii="Arial" w:cs="Arial" w:eastAsia="Arial" w:hAnsi="Arial"/>
          <w:b/>
          <w:bCs/>
          <w:color w:val="1F3864"/>
          <w:sz w:val="26"/>
          <w:szCs w:val="26"/>
        </w:rPr>
        <w:t xml:space="preserve">THREE GOLDEN RULES (architectural mandates):</w:t>
      </w:r>
    </w:p>
    <w:p>
      <w:pPr>
        <w:pStyle w:val="ListParagraph"/>
        <w:numPr>
          <w:ilvl w:val="0"/>
          <w:numId w:val="2"/>
        </w:numPr>
        <w:spacing w:after="60" w:before="60"/>
      </w:pPr>
      <w:r>
        <w:rPr>
          <w:rFonts w:ascii="Arial" w:cs="Arial" w:eastAsia="Arial" w:hAnsi="Arial"/>
          <w:b w:val="false"/>
          <w:bCs w:val="false"/>
          <w:sz w:val="22"/>
          <w:szCs w:val="22"/>
        </w:rPr>
        <w:t xml:space="preserve">Enter Once — no data is entered twice across any module</w:t>
      </w:r>
    </w:p>
    <w:p>
      <w:pPr>
        <w:pStyle w:val="ListParagraph"/>
        <w:numPr>
          <w:ilvl w:val="0"/>
          <w:numId w:val="2"/>
        </w:numPr>
        <w:spacing w:after="60" w:before="60"/>
      </w:pPr>
      <w:r>
        <w:rPr>
          <w:rFonts w:ascii="Arial" w:cs="Arial" w:eastAsia="Arial" w:hAnsi="Arial"/>
          <w:b w:val="false"/>
          <w:bCs w:val="false"/>
          <w:sz w:val="22"/>
          <w:szCs w:val="22"/>
        </w:rPr>
        <w:t xml:space="preserve">Same Language — all inter-module communication uses the same data structures and APIs</w:t>
      </w:r>
    </w:p>
    <w:p>
      <w:pPr>
        <w:pStyle w:val="ListParagraph"/>
        <w:numPr>
          <w:ilvl w:val="0"/>
          <w:numId w:val="2"/>
        </w:numPr>
        <w:spacing w:after="60" w:before="60"/>
      </w:pPr>
      <w:r>
        <w:rPr>
          <w:rFonts w:ascii="Arial" w:cs="Arial" w:eastAsia="Arial" w:hAnsi="Arial"/>
          <w:b w:val="false"/>
          <w:bCs w:val="false"/>
          <w:sz w:val="22"/>
          <w:szCs w:val="22"/>
        </w:rPr>
        <w:t xml:space="preserve">You Own Everything — self-hosted, no vendor lock-in, no SaaS dependency, complete data sovereignty</w:t>
      </w:r>
    </w:p>
    <w:p>
      <w:pPr>
        <w:spacing w:after="100" w:before="100"/>
      </w:pPr>
      <w:r>
        <w:t xml:space="preserve"/>
      </w:r>
    </w:p>
    <w:p>
      <w:pPr>
        <w:spacing w:after="80" w:before="80"/>
      </w:pPr>
      <w:r>
        <w:rPr>
          <w:rFonts w:ascii="Arial" w:cs="Arial" w:eastAsia="Arial" w:hAnsi="Arial"/>
          <w:sz w:val="22"/>
          <w:szCs w:val="22"/>
        </w:rPr>
        <w:t xml:space="preserve">Tech stack: PostgreSQL 18 (local dev) + RLS + pgcrypto, Node.js/TypeScript strict mode, Docker + Docker Compose, Caddy + Let's Encrypt, MinIO (self-hosted object storage), Progressive Web App (PWA), Keycloak 26.x (self-hosted SSO), Ollama (local AI model on main Windows workstation — NOT the Dell Inspiron), Loki + Grafana (observability — live from Phase 1B). Hosted on Oracle Cloud Free Tier ARM VM. Local Dell Inspiron = passive WAL streaming target + async MinIO file sync only. Main workstation = dev environment + Ollama AI compute.</w:t>
      </w:r>
    </w:p>
    <w:p>
      <w:pPr>
        <w:spacing w:after="100" w:before="100"/>
      </w:pPr>
      <w:r>
        <w:t xml:space="preserve"/>
      </w:r>
    </w:p>
    <w:p>
      <w:pPr>
        <w:spacing w:after="80" w:before="80"/>
      </w:pPr>
      <w:r>
        <w:rPr>
          <w:rFonts w:ascii="Arial" w:cs="Arial" w:eastAsia="Arial" w:hAnsi="Arial"/>
          <w:b/>
          <w:bCs/>
          <w:sz w:val="22"/>
          <w:szCs w:val="22"/>
        </w:rPr>
        <w:t xml:space="preserve">COMPANION DOCUMENT — load alongside this summary at every build session:</w:t>
      </w:r>
    </w:p>
    <w:p>
      <w:pPr>
        <w:spacing w:after="80" w:before="80"/>
      </w:pPr>
      <w:r>
        <w:rPr>
          <w:rFonts w:ascii="Arial" w:cs="Arial" w:eastAsia="Arial" w:hAnsi="Arial"/>
          <w:sz w:val="22"/>
          <w:szCs w:val="22"/>
        </w:rPr>
        <w:t xml:space="preserve">JAG_Engineering_Standards_v1.1.docx — 13 non-negotiable engineering standards (STD-01 through STD-13). Violations are build defects, not style issues.</w:t>
      </w:r>
    </w:p>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2. BUSINESS ENTITIES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CRITICAL — BAR and Members Club are ONE merged module (JAG Entertainment Ops) with a mandatory entity tag per transaction. They remain SEPARATE financial entities — independent P&amp;L, revenue, and accounts. Non-negotiable reporting requirement.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CRITICAL — Members Club is a PRIVATE SOCIAL CLUB, not a regulated casino. Compliance scope: visitor log, chip float open/close reconciliation, cash tracking, annual license renewal alert, standard audit trail. NO AML tags, NO Gaming Commission export format, NO hash-chained audit log, NO dual-signature requirements.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160"/>
        <w:gridCol w:w="16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engineering &amp; contracting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revenue entity. Full construction PM: BOQ, variation orders, progress claims, subcontractor retention, Gantt, foreman site diary.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Properties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 management &amp; acquisition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rental portfolio + Property Pipeline module. Rebuilt on IMS architecture.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China sourcing, forex, logistics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Caribbean last-mile delivery concept. Spanish customer strings 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Entertainment — BAR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Food and beverage operations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Merged with Members Club. Offline-critical. Mandatory entity tag per transaction.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(merged)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Entertainment — Members Club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members social club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Simplified spec. Annual license. Chip float, visitor log, cash tracking. NOT a regulated casino.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(merged)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Consolidated wealth &amp; banking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 B: accounts scoped per entity (owner_entity_id). All 9 route groups live. Phase 4 COMPLETE.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1B /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&amp; asset management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Cross-entity barcode/QR standard. Offline-critical for barcode scanning.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CRM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relationship management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 master, JABCO sales pipeline, DragonBridge pricing tiers, loyalty.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1B, 3,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Lifestyle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loyalty &amp; rewards tracker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 airline, hotel, credit card reward programmes for family members.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DocVault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management &amp; e-signatures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DocuSeal (self-hosted). Data Room mode per entity for sale-readiness.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Succession Planning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Estate &amp; access planning 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JAG Holdings core. Succession activation: parallel Co-Owner provisioning to wife's account; Robert's account never demoted.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Isolated family member portal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mirror of JAG ecosystem scoped to Brian's entities only. Robert sees 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financial backbone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ledger, SSO, insurance, intercompany eliminations. Core schema Phase 1B; full UI Phase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 / 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Agricultural land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 entity.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Trading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 retail — online + physical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entity.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3. ARCHITECTURE DECISIONS — ALL LOCKED (v1.9 + Phase 4)</w:t>
            </w:r>
          </w:p>
        </w:tc>
      </w:tr>
    </w:tbl>
    <w:p>
      <w:pPr>
        <w:spacing w:after="100" w:before="100"/>
      </w:pPr>
      <w:r>
        <w:t xml:space="preserve"/>
      </w:r>
    </w:p>
    <w:p>
      <w:pPr>
        <w:spacing w:after="80" w:before="80"/>
      </w:pPr>
      <w:r>
        <w:rPr>
          <w:rFonts w:ascii="Arial" w:cs="Arial" w:eastAsia="Arial" w:hAnsi="Arial"/>
          <w:b/>
          <w:bCs/>
          <w:sz w:val="22"/>
          <w:szCs w:val="22"/>
        </w:rPr>
        <w:t xml:space="preserve">All decisions below are final. Do not re-propose alternatives unless explicitly instructed by Robert.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Chosen Approach</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engine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18 (local dev) — self-hosted, five logical databases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isolation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Five logical DBs: jag_core / jag_commercial / jag_entertainment / jag_family / jag_properties. Cross-DB queries via postgres_fdw in JAG Holdings only.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server / TLS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Caddy + Let's Encrypt with Cloudflare DNS-01 wildcard certs. NOT Duck DNS.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26.x (self-hosted Docker). Single realm: jag. One client: jag-api. Custom JWT mappers: jag_user_id + jag_tenant_id verified live. WebAuthn biometric flow configured.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 + Phase 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Keycloak 26 User Profile schema</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BREAKING CHANGE: custom user attributes MUST be declared via PUT /admin/realms/jag/users/profile BEFORE setting them. KC26 silently drops undeclared attributes. keycloak-mappers-setup.sh handles this automatically.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 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session variables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use SELECT set_config($1, $2, true). NEVER use SET LOCAL x = $1 — PostgreSQL does not allow parameterised SET statements.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 Phase 1B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schema — Option 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Accounts scoped per JAG entity via owner_entity_id (UUID matching jag_core.tenants.id). Net worth consolidates via fin_net_worth_snapshots. CONSOLIDATED pseudo-entity: 00000000-0000-0000-0000-000000000000.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 Phase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extraction engine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(self-hosted on main Windows workstation), mistral model. Nightly 2am batch via npm run batch:statements. Confidence &gt;= 0.85 = auto-import. &lt; 0.85 = pending review queue. Bank data never leaves infrastructure.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 Phase 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upload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multer (multipart) in jag-api. Dev: local uploads/statements/ directory. Production: MinIO object storage (path stored in fin_bank_statement_jobs.storage_path).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 Phase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Succession activation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Co-Owner access provisioned to wife's Keycloak account only. Robert's Owner account is NEVER programmatically demoted.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Loki + Grafana in Docker on Oracle VM. Structured JSON logs. 14-day retention. LIVE as of Phase 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capability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Offline-critical: BAR cash logging, JABCO site diary, IMS barcode scanning. Non-conflicting updates auto-merge; conflicts route to Conflict Review queue.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migration safety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STD-13 Expand-and-Contract — columns/tables never renamed or dropped in a single cycle. 5-step pattern.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model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C: AI-assisted build, Robert as architect/reviewer/approver.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4. ROLE MATRIX — SINGLE SIGN-ON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 all entities, all data, all modules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Johnson-Attin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Admin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CRUD within assigned entity only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Trusted manager per business unit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 Staff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log, count, transfer — no delete, no valuations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Foremen, bar staff, warehouse clerks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export reports only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accountant, insurance broker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Advisor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Time-limited, scoped read/export only. Auto-expiry.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Lawyers (estate review), potential buyers (Data Room mode)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Member — Emergency Designate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read-only all entities. Can direct staff using complete system visibility.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Wife — Mandarin Chinese default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portal — his entities only. Cannot see JAG operations.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Robert's brother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access only — scheduled jobs, integrations, FX pulls, backups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Automated processes</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5. PHASE PLAN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PRE-0A/0B checklist. ERD/DBML. OpenAPI YAML. Keycloak config. jag-event-dispatcher. WiPay sandbox POC. Bank statement parser POC. Cloudflare DNS. DR failover runbook. DragonBridge sub-architecture.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VM provisioned. Docker + PostgreSQL. Caddy + Cloudflare DNS. WAL streaming. Keycloak container. jag-event-dispatcher. GitHub Actions deploy script.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realm + clients + role matrix. WebAuthn biometric. RLS per database. i18n engine (EN + ZH). node-pg-migrate on all five databases. Cross-tenant penetration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1B</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core. JAG Finance core schema. JAG CRM. Backup system. PWA EN + ZH. Notification centre. Loki/Grafana observability (live).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full construction PM. JAG Properties. JAG DocVault. JAG Succession Planning. JAG Lifestyle data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 DragonBridge. JAG Entertainment Ops (BAR + Members Club merged). NLCB booth. JAG Lifestyle full tracker. All migrations complete. ~122 endpoints live.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 full UI. All 9 route groups live: accounts, transactions, net-worth, fx-rates, investments, loans, bank-statements, pending-review. AI extraction engine (Ollama batch + fin_bank_statement_jobs + fin_pending_review_queue). 49/49 RLS tests passing.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 (NOW)</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 unified ledger UI. Insurance module. Expense management. Intercompany eliminations. Accountant read-only portal. MS Project sync.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HR (OrangeHRM). NFC fully wired. Spanish full rollout. OWASP ZAP security audit. Twilio automated messaging.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7</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 JAG Trading (POS + online retail). New Entity Onboarding workflow.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UPCOMING</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6. ENGINEERING STANDARDS — QUICK REFERENCE</w:t>
            </w:r>
          </w:p>
        </w:tc>
      </w:tr>
    </w:tbl>
    <w:p>
      <w:pPr>
        <w:spacing w:after="100" w:before="100"/>
      </w:pPr>
      <w:r>
        <w:t xml:space="preserve"/>
      </w:r>
    </w:p>
    <w:p>
      <w:pPr>
        <w:spacing w:after="80" w:before="80"/>
      </w:pPr>
      <w:r>
        <w:rPr>
          <w:rFonts w:ascii="Arial" w:cs="Arial" w:eastAsia="Arial" w:hAnsi="Arial"/>
          <w:b/>
          <w:bCs/>
          <w:sz w:val="22"/>
          <w:szCs w:val="22"/>
        </w:rPr>
        <w:t xml:space="preserve">These 13 standards apply to every line of code across all phases. Full detail in JAG_Engineering_Standards_v1.1.docx.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Isolation — modules communicate via JAG Holdings API only; never write directly to another module's database tables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RLS First — tenant isolation enforced at PostgreSQL layer; app-layer filtering is second line of defence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First — write a failing isolation/security test before coding any data-access feature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STD-04</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Migration First — every schema change is a versioned node-pg-migrate file; never run raw SQL on production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Versioning — all endpoints prefixed /api/v1/ from day one; breaking changes require /api/v2/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STD-06</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Envelope — all API responses use { success, data, error, code }; no raw stack traces to clients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 all credentials stored in Oracle Vault / env vars; never in code or Compose 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STD-08</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 — every log event is JSON: timestamp, entity, action, user_id, tenant_id, severity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Strict Mode — strict: true in tsconfig.json; no 'any' 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STD-10</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Validation — all API inputs validated with Zod schemas server-side before touching the database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Financial Ops — all financial writes carry idempotency keys; duplicate delivery never double-posts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Gate — production only via automated deploy script; tests pass + migrations run + Robert sign-off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Expand-and-Contract Migrations — columns/tables never renamed or dropped in a single cycle. 5-step pattern.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 — added v1.9</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7. KEY IMPLEMENTATION FINDINGS (Phase 3 &amp; 4)</w:t>
            </w:r>
          </w:p>
        </w:tc>
      </w:tr>
    </w:tbl>
    <w:p>
      <w:pPr>
        <w:spacing w:after="100" w:before="100"/>
      </w:pPr>
      <w:r>
        <w:t xml:space="preserve"/>
      </w:r>
    </w:p>
    <w:p>
      <w:pPr>
        <w:spacing w:after="80" w:before="80"/>
      </w:pPr>
      <w:r>
        <w:rPr>
          <w:rFonts w:ascii="Arial" w:cs="Arial" w:eastAsia="Arial" w:hAnsi="Arial"/>
          <w:b/>
          <w:bCs/>
          <w:sz w:val="22"/>
          <w:szCs w:val="22"/>
        </w:rPr>
        <w:t xml:space="preserve">KEYCLOAK 26 BREAKING CHANGE — Declarative User Profile:</w:t>
      </w:r>
    </w:p>
    <w:p>
      <w:pPr>
        <w:spacing w:after="80" w:before="80"/>
      </w:pPr>
      <w:r>
        <w:rPr>
          <w:rFonts w:ascii="Arial" w:cs="Arial" w:eastAsia="Arial" w:hAnsi="Arial"/>
          <w:sz w:val="22"/>
          <w:szCs w:val="22"/>
        </w:rPr>
        <w:t xml:space="preserve">Custom user attributes (e.g. jag_tenant_id) MUST be declared in the realm User Profile schema via PUT /admin/realms/jag/users/profile BEFORE setting them on any user. KC26 silently drops undeclared attributes — returns HTTP 204 but does NOT persist the value. Script keycloak-mappers-setup.sh handles declaration automatically. The Attributes tab in the KC26 Admin Console is hidden for admin-only attributes — always use the REST API or scripts.</w:t>
      </w:r>
    </w:p>
    <w:p>
      <w:pPr>
        <w:spacing w:after="100" w:before="100"/>
      </w:pPr>
      <w:r>
        <w:t xml:space="preserve"/>
      </w:r>
    </w:p>
    <w:p>
      <w:pPr>
        <w:spacing w:after="80" w:before="80"/>
      </w:pPr>
      <w:r>
        <w:rPr>
          <w:rFonts w:ascii="Arial" w:cs="Arial" w:eastAsia="Arial" w:hAnsi="Arial"/>
          <w:b/>
          <w:bCs/>
          <w:sz w:val="22"/>
          <w:szCs w:val="22"/>
        </w:rPr>
        <w:t xml:space="preserve">POSTGRESQL SESSION VARIABLES:</w:t>
      </w:r>
    </w:p>
    <w:p>
      <w:pPr>
        <w:spacing w:after="80" w:before="80"/>
      </w:pPr>
      <w:r>
        <w:rPr>
          <w:rFonts w:ascii="Arial" w:cs="Arial" w:eastAsia="Arial" w:hAnsi="Arial"/>
          <w:sz w:val="22"/>
          <w:szCs w:val="22"/>
        </w:rPr>
        <w:t xml:space="preserve">ALWAYS use: SELECT set_config($1, $2, true)   NEVER use: SET LOCAL x = $1 — PostgreSQL does not allow parameterised SET statements. is_local=true scopes the setting to the current transaction. This applies everywhere: withTenantRLS, withOwnerRLS, test setup, migration scripts, batch processor.</w:t>
      </w:r>
    </w:p>
    <w:p>
      <w:pPr>
        <w:spacing w:after="100" w:before="100"/>
      </w:pPr>
      <w:r>
        <w:t xml:space="preserve"/>
      </w:r>
    </w:p>
    <w:p>
      <w:pPr>
        <w:spacing w:after="80" w:before="80"/>
      </w:pPr>
      <w:r>
        <w:rPr>
          <w:rFonts w:ascii="Arial" w:cs="Arial" w:eastAsia="Arial" w:hAnsi="Arial"/>
          <w:b/>
          <w:bCs/>
          <w:sz w:val="22"/>
          <w:szCs w:val="22"/>
        </w:rPr>
        <w:t xml:space="preserve">WebAuthn rpId constraint:</w:t>
      </w:r>
    </w:p>
    <w:p>
      <w:pPr>
        <w:spacing w:after="80" w:before="80"/>
      </w:pPr>
      <w:r>
        <w:rPr>
          <w:rFonts w:ascii="Arial" w:cs="Arial" w:eastAsia="Arial" w:hAnsi="Arial"/>
          <w:sz w:val="22"/>
          <w:szCs w:val="22"/>
        </w:rPr>
        <w:t xml:space="preserve">KC_WEBAUTHN_RP_ID is bound to the credential at registration time and CANNOT be changed after. Run keycloak-webauthn-setup.sh with KC_WEBAUTHN_RP_ID=jabco.tt BEFORE any user registers a biometric device on the production domain.</w:t>
      </w:r>
    </w:p>
    <w:p>
      <w:pPr>
        <w:spacing w:after="100" w:before="100"/>
      </w:pPr>
      <w:r>
        <w:t xml:space="preserve"/>
      </w:r>
    </w:p>
    <w:p>
      <w:pPr>
        <w:spacing w:after="80" w:before="80"/>
      </w:pPr>
      <w:r>
        <w:rPr>
          <w:rFonts w:ascii="Arial" w:cs="Arial" w:eastAsia="Arial" w:hAnsi="Arial"/>
          <w:b/>
          <w:bCs/>
          <w:sz w:val="22"/>
          <w:szCs w:val="22"/>
        </w:rPr>
        <w:t xml:space="preserve">Finance module RLS pattern:</w:t>
      </w:r>
    </w:p>
    <w:p>
      <w:pPr>
        <w:pStyle w:val="ListParagraph"/>
        <w:numPr>
          <w:ilvl w:val="0"/>
          <w:numId w:val="2"/>
        </w:numPr>
        <w:spacing w:after="60" w:before="60"/>
      </w:pPr>
      <w:r>
        <w:rPr>
          <w:rFonts w:ascii="Arial" w:cs="Arial" w:eastAsia="Arial" w:hAnsi="Arial"/>
          <w:b w:val="false"/>
          <w:bCs w:val="false"/>
          <w:sz w:val="22"/>
          <w:szCs w:val="22"/>
        </w:rPr>
        <w:t xml:space="preserve">jag_family uses withOwnerRLS (app.current_owner_id). Finance tables follow owner-scoped isolation — not tenant-scoped.</w:t>
      </w:r>
    </w:p>
    <w:p>
      <w:pPr>
        <w:pStyle w:val="ListParagraph"/>
        <w:numPr>
          <w:ilvl w:val="0"/>
          <w:numId w:val="2"/>
        </w:numPr>
        <w:spacing w:after="60" w:before="60"/>
      </w:pPr>
      <w:r>
        <w:rPr>
          <w:rFonts w:ascii="Arial" w:cs="Arial" w:eastAsia="Arial" w:hAnsi="Arial"/>
          <w:b w:val="false"/>
          <w:bCs w:val="false"/>
          <w:sz w:val="22"/>
          <w:szCs w:val="22"/>
        </w:rPr>
        <w:t xml:space="preserve">fin_fx_rates is a shared reference table — all authenticated owners can read and write. RLS policy: any non-null current_owner_id grants access.</w:t>
      </w:r>
    </w:p>
    <w:p>
      <w:pPr>
        <w:pStyle w:val="ListParagraph"/>
        <w:numPr>
          <w:ilvl w:val="0"/>
          <w:numId w:val="2"/>
        </w:numPr>
        <w:spacing w:after="60" w:before="60"/>
      </w:pPr>
      <w:r>
        <w:rPr>
          <w:rFonts w:ascii="Arial" w:cs="Arial" w:eastAsia="Arial" w:hAnsi="Arial"/>
          <w:b w:val="false"/>
          <w:bCs w:val="false"/>
          <w:sz w:val="22"/>
          <w:szCs w:val="22"/>
        </w:rPr>
        <w:t xml:space="preserve">fin_net_worth_snapshots.net_worth_ttd is a PostgreSQL GENERATED column (total_assets_ttd - total_liabilities_ttd STORED). Never set it manually.</w:t>
      </w:r>
    </w:p>
    <w:p>
      <w:pPr>
        <w:pStyle w:val="ListParagraph"/>
        <w:numPr>
          <w:ilvl w:val="0"/>
          <w:numId w:val="2"/>
        </w:numPr>
        <w:spacing w:after="60" w:before="60"/>
      </w:pPr>
      <w:r>
        <w:rPr>
          <w:rFonts w:ascii="Arial" w:cs="Arial" w:eastAsia="Arial" w:hAnsi="Arial"/>
          <w:b w:val="false"/>
          <w:bCs w:val="false"/>
          <w:sz w:val="22"/>
          <w:szCs w:val="22"/>
        </w:rPr>
        <w:t xml:space="preserve">CONSOLIDATED net worth row uses pseudo-entity UUID: 00000000-0000-0000-0000-000000000000.</w:t>
      </w:r>
    </w:p>
    <w:p>
      <w:pPr>
        <w:spacing w:after="100" w:before="100"/>
      </w:pPr>
      <w:r>
        <w:t xml:space="preserve"/>
      </w:r>
    </w:p>
    <w:p>
      <w:pPr>
        <w:spacing w:after="80" w:before="80"/>
      </w:pPr>
      <w:r>
        <w:rPr>
          <w:rFonts w:ascii="Arial" w:cs="Arial" w:eastAsia="Arial" w:hAnsi="Arial"/>
          <w:b/>
          <w:bCs/>
          <w:sz w:val="22"/>
          <w:szCs w:val="22"/>
        </w:rPr>
        <w:t xml:space="preserve">AI extraction engine (Phase 4):</w:t>
      </w:r>
    </w:p>
    <w:p>
      <w:pPr>
        <w:pStyle w:val="ListParagraph"/>
        <w:numPr>
          <w:ilvl w:val="0"/>
          <w:numId w:val="2"/>
        </w:numPr>
        <w:spacing w:after="60" w:before="60"/>
      </w:pPr>
      <w:r>
        <w:rPr>
          <w:rFonts w:ascii="Arial" w:cs="Arial" w:eastAsia="Arial" w:hAnsi="Arial"/>
          <w:b w:val="false"/>
          <w:bCs w:val="false"/>
          <w:sz w:val="22"/>
          <w:szCs w:val="22"/>
        </w:rPr>
        <w:t xml:space="preserve">Ollama runs on the main Windows workstation (http://localhost:11434). Model: mistral.</w:t>
      </w:r>
    </w:p>
    <w:p>
      <w:pPr>
        <w:pStyle w:val="ListParagraph"/>
        <w:numPr>
          <w:ilvl w:val="0"/>
          <w:numId w:val="2"/>
        </w:numPr>
        <w:spacing w:after="60" w:before="60"/>
      </w:pPr>
      <w:r>
        <w:rPr>
          <w:rFonts w:ascii="Arial" w:cs="Arial" w:eastAsia="Arial" w:hAnsi="Arial"/>
          <w:b w:val="false"/>
          <w:bCs w:val="false"/>
          <w:sz w:val="22"/>
          <w:szCs w:val="22"/>
        </w:rPr>
        <w:t xml:space="preserve">Batch: npm run batch:statements (or node dist/batch/bank-statement-batch.js in prod). Requires BATCH_OWNER_ID and DATABASE_URL_FAMILY env vars.</w:t>
      </w:r>
    </w:p>
    <w:p>
      <w:pPr>
        <w:pStyle w:val="ListParagraph"/>
        <w:numPr>
          <w:ilvl w:val="0"/>
          <w:numId w:val="2"/>
        </w:numPr>
        <w:spacing w:after="60" w:before="60"/>
      </w:pPr>
      <w:r>
        <w:rPr>
          <w:rFonts w:ascii="Arial" w:cs="Arial" w:eastAsia="Arial" w:hAnsi="Arial"/>
          <w:b w:val="false"/>
          <w:bCs w:val="false"/>
          <w:sz w:val="22"/>
          <w:szCs w:val="22"/>
        </w:rPr>
        <w:t xml:space="preserve">Confidence &gt;= 0.85 = auto-import as UNCLASSIFIED transaction. &lt; 0.85 = imported with is_pending_review=true + entry in fin_pending_review_queue.</w:t>
      </w:r>
    </w:p>
    <w:p>
      <w:pPr>
        <w:pStyle w:val="ListParagraph"/>
        <w:numPr>
          <w:ilvl w:val="0"/>
          <w:numId w:val="2"/>
        </w:numPr>
        <w:spacing w:after="60" w:before="60"/>
      </w:pPr>
      <w:r>
        <w:rPr>
          <w:rFonts w:ascii="Arial" w:cs="Arial" w:eastAsia="Arial" w:hAnsi="Arial"/>
          <w:b w:val="false"/>
          <w:bCs w:val="false"/>
          <w:sz w:val="22"/>
          <w:szCs w:val="22"/>
        </w:rPr>
        <w:t xml:space="preserve">File upload: multer, 20MB limit, PDF/CSV/TXT only. Dev: uploads/statements/ directory. Prod: swap storage_path for MinIO object key.</w:t>
      </w:r>
    </w:p>
    <w:p>
      <w:pPr>
        <w:pStyle w:val="ListParagraph"/>
        <w:numPr>
          <w:ilvl w:val="0"/>
          <w:numId w:val="2"/>
        </w:numPr>
        <w:spacing w:after="60" w:before="60"/>
      </w:pPr>
      <w:r>
        <w:rPr>
          <w:rFonts w:ascii="Arial" w:cs="Arial" w:eastAsia="Arial" w:hAnsi="Arial"/>
          <w:b w:val="false"/>
          <w:bCs w:val="false"/>
          <w:sz w:val="22"/>
          <w:szCs w:val="22"/>
        </w:rPr>
        <w:t xml:space="preserve">RLS test fix (Phase 4 close): PROP block UUIDs changed p0-&gt;d0 (p is not valid hex). FX rate test changed CURRENT_DATE to fixed date 2000-01-01.</w:t>
      </w:r>
    </w:p>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8. FINANCE ROUTES — COMPLETE REFERENCE (Phase 4)</w:t>
            </w:r>
          </w:p>
        </w:tc>
      </w:tr>
    </w:tbl>
    <w:p>
      <w:pPr>
        <w:spacing w:after="100" w:before="100"/>
      </w:pPr>
      <w:r>
        <w:t xml:space="preserve"/>
      </w:r>
    </w:p>
    <w:p>
      <w:pPr>
        <w:spacing w:after="80" w:before="80"/>
      </w:pPr>
      <w:r>
        <w:rPr>
          <w:rFonts w:ascii="Arial" w:cs="Arial" w:eastAsia="Arial" w:hAnsi="Arial"/>
          <w:i/>
          <w:iCs/>
          <w:sz w:val="22"/>
          <w:szCs w:val="22"/>
        </w:rPr>
        <w:t xml:space="preserve">All routes under /api/v1/finance/. Protected by requireAuth() + brianPortalGate('FINANCE'). RLS set by withOwnerRLS.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 Group</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/accounts, GET/PATCH/DELETE /accounts/:id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routes/finance/accounts.ts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/transactions, GET/PATCH /transactions/:id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routes/finance/transactions.ts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Worth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/net-worth, POST /net-worth/snapshot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routes/finance/net-worth.ts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FX Rates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/fx-rates, POST /fx-rates, GET /fx-rates/:currency/latest, GET /fx-rates/:currency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routes/finance/fx-rates.ts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/investments, GET/PATCH /investments/:id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routes/finance/investments.ts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/loans, GET/PATCH /loans/:id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routes/finance/loans.ts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Statements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/bank-statements/upload, GET /bank-statements, GET /bank-statements/:id, POST /bank-statements/:id/requeue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routes/finance/bank-statements.ts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Review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/pending-review, GET /pending-review/:id, PATCH /pending-review/:id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routes/finance/pending-review.ts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Processor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run batch:statements (nightly 2am)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batch/bank-statement-batch.ts</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9. OPEN DESIGN QUESTIONS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Needed Before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 full sub-architecture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China-to-TT order workflow, customs, HS codes, duty calculation, container tracking, landed cost across CNY/USD/TTD. Most operationally complex entity.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Daughter's inheritance designation per entity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(Succession module)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entities, what percentage, at what age trigger. Deferred — to be resolved in lawyer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growth targets per 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(CRM 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targets, hiring triggers, capacity thresholds per entity. Needed to configure CRM growth alerts.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Lifestyle: programme details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Programme names, member numbers, tiers, approximate point balances, credit card reward categories and earn 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schema: Option B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 — Option B confirmed June 2026. Entity-scoped accounts via owner_entity_id.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WIPAY_WEBHOOK_SECRET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(payments)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to retrieve from WiPay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WIPAY_DEFAULT_OWNER_ID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(payments)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Robert's real users.id after first Keycloak login via POST /api/v1/auth/sync-user.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 Keycloak users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 Phase 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Robert, Wife, Brian, operators in Keycloak. Run bash scripts/set-user-tenant.sh &lt;kc-uuid&gt; &lt;tenant-uuid&gt; for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WebAuthn rpId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any user registers biometric on jabco.tt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KC_WEBAUTHN_RP_ID=jabco.tt bash scripts/keycloak-webauthn-setup.sh BEFORE first device registration. Cannot change after.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MinIO integration for bank statement upload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local uploads/statements/ with MinIO. Update storage_path in fin_bank_statement_jobs to MinIO object key. Zero code rework — just swap the multer storage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ledger UI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start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 unified ledger: chart of accounts, intercompany eliminations, insurance module, expense management scope.</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10. TENANT UUIDs (jag_core.tenants)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UUID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JAG_HOLDINGS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00000000-0000-0000-0001-000000000001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00000000-0000-0000-0001-000000000002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JAG_PROPERTIES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00000000-0000-0000-0001-000000000003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JAG_ENTERTAINMENT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00000000-0000-0000-0001-000000000004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JAG_FINANCE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00000000-0000-0000-0001-000000000005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00000000-0000-0000-0001-000000000006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NLCB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00000000-0000-0000-0001-000000000007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CONSOLIDATED (net worth)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00000000-0000-0000-0000-000000000000</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11. SESSION INSTRUCTIONS FOR CLAUDE</w:t>
            </w:r>
          </w:p>
        </w:tc>
      </w:tr>
    </w:tbl>
    <w:p>
      <w:pPr>
        <w:spacing w:after="100" w:before="100"/>
      </w:pPr>
      <w:r>
        <w:t xml:space="preserve"/>
      </w:r>
    </w:p>
    <w:p>
      <w:pPr>
        <w:spacing w:after="80" w:before="80"/>
      </w:pPr>
      <w:r>
        <w:rPr>
          <w:rFonts w:ascii="Arial" w:cs="Arial" w:eastAsia="Arial" w:hAnsi="Arial"/>
          <w:b/>
          <w:bCs/>
          <w:sz w:val="22"/>
          <w:szCs w:val="22"/>
        </w:rPr>
        <w:t xml:space="preserve">At the start of every build session: (1) Load this document. (2) Load JAG_Engineering_Standards_v1.1.docx. (3) State the phase and module you are building. Claude will read the relevant source files directly from the JAG Holdings folder — no sensitive files need to be uploaded.</w:t>
      </w:r>
    </w:p>
    <w:p>
      <w:pPr>
        <w:spacing w:after="100" w:before="100"/>
      </w:pPr>
      <w:r>
        <w:t xml:space="preserve"/>
      </w:r>
    </w:p>
    <w:p>
      <w:pPr>
        <w:spacing w:after="140" w:before="260"/>
      </w:pPr>
      <w:r>
        <w:rPr>
          <w:rFonts w:ascii="Arial" w:cs="Arial" w:eastAsia="Arial" w:hAnsi="Arial"/>
          <w:b/>
          <w:bCs/>
          <w:color w:val="1F3864"/>
          <w:sz w:val="26"/>
          <w:szCs w:val="26"/>
        </w:rPr>
        <w:t xml:space="preserve">What Claude must do in every session:</w:t>
      </w:r>
    </w:p>
    <w:p>
      <w:pPr>
        <w:pStyle w:val="ListParagraph"/>
        <w:numPr>
          <w:ilvl w:val="0"/>
          <w:numId w:val="2"/>
        </w:numPr>
        <w:spacing w:after="60" w:before="60"/>
      </w:pPr>
      <w:r>
        <w:rPr>
          <w:rFonts w:ascii="Arial" w:cs="Arial" w:eastAsia="Arial" w:hAnsi="Arial"/>
          <w:b w:val="false"/>
          <w:bCs w:val="false"/>
          <w:sz w:val="22"/>
          <w:szCs w:val="22"/>
        </w:rPr>
        <w:t xml:space="preserve">Apply all 13 engineering standards (STD-01 through STD-13) to every line of code written</w:t>
      </w:r>
    </w:p>
    <w:p>
      <w:pPr>
        <w:pStyle w:val="ListParagraph"/>
        <w:numPr>
          <w:ilvl w:val="0"/>
          <w:numId w:val="2"/>
        </w:numPr>
        <w:spacing w:after="60" w:before="60"/>
      </w:pPr>
      <w:r>
        <w:rPr>
          <w:rFonts w:ascii="Arial" w:cs="Arial" w:eastAsia="Arial" w:hAnsi="Arial"/>
          <w:b w:val="false"/>
          <w:bCs w:val="false"/>
          <w:sz w:val="22"/>
          <w:szCs w:val="22"/>
        </w:rPr>
        <w:t xml:space="preserve">Never re-propose architecture decisions listed as LOCKED in Section 3</w:t>
      </w:r>
    </w:p>
    <w:p>
      <w:pPr>
        <w:pStyle w:val="ListParagraph"/>
        <w:numPr>
          <w:ilvl w:val="0"/>
          <w:numId w:val="2"/>
        </w:numPr>
        <w:spacing w:after="60" w:before="60"/>
      </w:pPr>
      <w:r>
        <w:rPr>
          <w:rFonts w:ascii="Arial" w:cs="Arial" w:eastAsia="Arial" w:hAnsi="Arial"/>
          <w:b w:val="false"/>
          <w:bCs w:val="false"/>
          <w:sz w:val="22"/>
          <w:szCs w:val="22"/>
        </w:rPr>
        <w:t xml:space="preserve">Write node-pg-migrate files for every schema change — never raw SQL on production. Apply STD-13 Expand-and-Contract for any column rename or drop.</w:t>
      </w:r>
    </w:p>
    <w:p>
      <w:pPr>
        <w:pStyle w:val="ListParagraph"/>
        <w:numPr>
          <w:ilvl w:val="0"/>
          <w:numId w:val="2"/>
        </w:numPr>
        <w:spacing w:after="60" w:before="60"/>
      </w:pPr>
      <w:r>
        <w:rPr>
          <w:rFonts w:ascii="Arial" w:cs="Arial" w:eastAsia="Arial" w:hAnsi="Arial"/>
          <w:b w:val="false"/>
          <w:bCs w:val="false"/>
          <w:sz w:val="22"/>
          <w:szCs w:val="22"/>
        </w:rPr>
        <w:t xml:space="preserve">Use SELECT set_config($1, $2, true) for PostgreSQL session variables — NEVER SET LOCAL x = $1</w:t>
      </w:r>
    </w:p>
    <w:p>
      <w:pPr>
        <w:pStyle w:val="ListParagraph"/>
        <w:numPr>
          <w:ilvl w:val="0"/>
          <w:numId w:val="2"/>
        </w:numPr>
        <w:spacing w:after="60" w:before="60"/>
      </w:pPr>
      <w:r>
        <w:rPr>
          <w:rFonts w:ascii="Arial" w:cs="Arial" w:eastAsia="Arial" w:hAnsi="Arial"/>
          <w:b w:val="false"/>
          <w:bCs w:val="false"/>
          <w:sz w:val="22"/>
          <w:szCs w:val="22"/>
        </w:rPr>
        <w:t xml:space="preserve">Before setting any new Keycloak custom attribute: declare it in the User Profile schema first. KC26 silently drops undeclared attributes.</w:t>
      </w:r>
    </w:p>
    <w:p>
      <w:pPr>
        <w:pStyle w:val="ListParagraph"/>
        <w:numPr>
          <w:ilvl w:val="0"/>
          <w:numId w:val="2"/>
        </w:numPr>
        <w:spacing w:after="60" w:before="60"/>
      </w:pPr>
      <w:r>
        <w:rPr>
          <w:rFonts w:ascii="Arial" w:cs="Arial" w:eastAsia="Arial" w:hAnsi="Arial"/>
          <w:b w:val="false"/>
          <w:bCs w:val="false"/>
          <w:sz w:val="22"/>
          <w:szCs w:val="22"/>
        </w:rPr>
        <w:t xml:space="preserve">Include idempotency keys on all financial write endpoints</w:t>
      </w:r>
    </w:p>
    <w:p>
      <w:pPr>
        <w:pStyle w:val="ListParagraph"/>
        <w:numPr>
          <w:ilvl w:val="0"/>
          <w:numId w:val="2"/>
        </w:numPr>
        <w:spacing w:after="60" w:before="60"/>
      </w:pPr>
      <w:r>
        <w:rPr>
          <w:rFonts w:ascii="Arial" w:cs="Arial" w:eastAsia="Arial" w:hAnsi="Arial"/>
          <w:b w:val="false"/>
          <w:bCs w:val="false"/>
          <w:sz w:val="22"/>
          <w:szCs w:val="22"/>
        </w:rPr>
        <w:t xml:space="preserve">Write pending_events outbox table entries within the same transaction as financial events — never separately</w:t>
      </w:r>
    </w:p>
    <w:p>
      <w:pPr>
        <w:pStyle w:val="ListParagraph"/>
        <w:numPr>
          <w:ilvl w:val="0"/>
          <w:numId w:val="2"/>
        </w:numPr>
        <w:spacing w:after="60" w:before="60"/>
      </w:pPr>
      <w:r>
        <w:rPr>
          <w:rFonts w:ascii="Arial" w:cs="Arial" w:eastAsia="Arial" w:hAnsi="Arial"/>
          <w:b w:val="false"/>
          <w:bCs w:val="false"/>
          <w:sz w:val="22"/>
          <w:szCs w:val="22"/>
        </w:rPr>
        <w:t xml:space="preserve">Scope all database queries with the correct owner/tenant — never query across database boundaries without postgres_fdw through JAG Holdings</w:t>
      </w:r>
    </w:p>
    <w:p>
      <w:pPr>
        <w:pStyle w:val="ListParagraph"/>
        <w:numPr>
          <w:ilvl w:val="0"/>
          <w:numId w:val="2"/>
        </w:numPr>
        <w:spacing w:after="60" w:before="60"/>
      </w:pPr>
      <w:r>
        <w:rPr>
          <w:rFonts w:ascii="Arial" w:cs="Arial" w:eastAsia="Arial" w:hAnsi="Arial"/>
          <w:b w:val="false"/>
          <w:bCs w:val="false"/>
          <w:sz w:val="22"/>
          <w:szCs w:val="22"/>
        </w:rPr>
        <w:t xml:space="preserve">Use Keycloak JWT claims for role — never trust application-layer role claims alone</w:t>
      </w:r>
    </w:p>
    <w:p>
      <w:pPr>
        <w:pStyle w:val="ListParagraph"/>
        <w:numPr>
          <w:ilvl w:val="0"/>
          <w:numId w:val="2"/>
        </w:numPr>
        <w:spacing w:after="60" w:before="60"/>
      </w:pPr>
      <w:r>
        <w:rPr>
          <w:rFonts w:ascii="Arial" w:cs="Arial" w:eastAsia="Arial" w:hAnsi="Arial"/>
          <w:b w:val="false"/>
          <w:bCs w:val="false"/>
          <w:sz w:val="22"/>
          <w:szCs w:val="22"/>
        </w:rPr>
        <w:t xml:space="preserve">Add last_modified_at + last_modified_by to all shared master record tables</w:t>
      </w:r>
    </w:p>
    <w:p>
      <w:pPr>
        <w:pStyle w:val="ListParagraph"/>
        <w:numPr>
          <w:ilvl w:val="0"/>
          <w:numId w:val="2"/>
        </w:numPr>
        <w:spacing w:after="60" w:before="60"/>
      </w:pPr>
      <w:r>
        <w:rPr>
          <w:rFonts w:ascii="Arial" w:cs="Arial" w:eastAsia="Arial" w:hAnsi="Arial"/>
          <w:b w:val="false"/>
          <w:bCs w:val="false"/>
          <w:sz w:val="22"/>
          <w:szCs w:val="22"/>
        </w:rPr>
        <w:t xml:space="preserve">End every session with a handoff note: what was built, what was tested, what the next session should start with</w:t>
      </w:r>
    </w:p>
    <w:p>
      <w:pPr>
        <w:spacing w:after="100" w:before="100"/>
      </w:pPr>
      <w:r>
        <w:t xml:space="preserve"/>
      </w:r>
    </w:p>
    <w:p>
      <w:pPr>
        <w:spacing w:after="140" w:before="260"/>
      </w:pPr>
      <w:r>
        <w:rPr>
          <w:rFonts w:ascii="Arial" w:cs="Arial" w:eastAsia="Arial" w:hAnsi="Arial"/>
          <w:b/>
          <w:bCs/>
          <w:color w:val="1F3864"/>
          <w:sz w:val="26"/>
          <w:szCs w:val="26"/>
        </w:rPr>
        <w:t xml:space="preserve">Current session context (Phase 5 start):</w:t>
      </w:r>
    </w:p>
    <w:p>
      <w:pPr>
        <w:pStyle w:val="ListParagraph"/>
        <w:numPr>
          <w:ilvl w:val="0"/>
          <w:numId w:val="2"/>
        </w:numPr>
        <w:spacing w:after="60" w:before="60"/>
      </w:pPr>
      <w:r>
        <w:rPr>
          <w:rFonts w:ascii="Arial" w:cs="Arial" w:eastAsia="Arial" w:hAnsi="Arial"/>
          <w:b w:val="false"/>
          <w:bCs w:val="false"/>
          <w:sz w:val="22"/>
          <w:szCs w:val="22"/>
        </w:rPr>
        <w:t xml:space="preserve">Phase 4 Finance: COMPLETE. All 9 route groups live. 49/49 RLS tests passing.</w:t>
      </w:r>
    </w:p>
    <w:p>
      <w:pPr>
        <w:pStyle w:val="ListParagraph"/>
        <w:numPr>
          <w:ilvl w:val="0"/>
          <w:numId w:val="2"/>
        </w:numPr>
        <w:spacing w:after="60" w:before="60"/>
      </w:pPr>
      <w:r>
        <w:rPr>
          <w:rFonts w:ascii="Arial" w:cs="Arial" w:eastAsia="Arial" w:hAnsi="Arial"/>
          <w:b w:val="false"/>
          <w:bCs w:val="false"/>
          <w:sz w:val="22"/>
          <w:szCs w:val="22"/>
        </w:rPr>
        <w:t xml:space="preserve">AI extraction engine: Ollama batch processor live (batch/bank-statement-batch.ts). Requires BATCH_OWNER_ID + DATABASE_URL_FAMILY.</w:t>
      </w:r>
    </w:p>
    <w:p>
      <w:pPr>
        <w:pStyle w:val="ListParagraph"/>
        <w:numPr>
          <w:ilvl w:val="0"/>
          <w:numId w:val="2"/>
        </w:numPr>
        <w:spacing w:after="60" w:before="60"/>
      </w:pPr>
      <w:r>
        <w:rPr>
          <w:rFonts w:ascii="Arial" w:cs="Arial" w:eastAsia="Arial" w:hAnsi="Arial"/>
          <w:b w:val="false"/>
          <w:bCs w:val="false"/>
          <w:sz w:val="22"/>
          <w:szCs w:val="22"/>
        </w:rPr>
        <w:t xml:space="preserve">jag-api new dependencies: multer ^2.1.1, pdf-parse ^2.4.5</w:t>
      </w:r>
    </w:p>
    <w:p>
      <w:pPr>
        <w:pStyle w:val="ListParagraph"/>
        <w:numPr>
          <w:ilvl w:val="0"/>
          <w:numId w:val="2"/>
        </w:numPr>
        <w:spacing w:after="60" w:before="60"/>
      </w:pPr>
      <w:r>
        <w:rPr>
          <w:rFonts w:ascii="Arial" w:cs="Arial" w:eastAsia="Arial" w:hAnsi="Arial"/>
          <w:b w:val="false"/>
          <w:bCs w:val="false"/>
          <w:sz w:val="22"/>
          <w:szCs w:val="22"/>
        </w:rPr>
        <w:t xml:space="preserve">Next: Phase 5 — JAG Holdings unified ledger UI. Insurance module. Expense management. Intercompany eliminations. Accountant read-only portal.</w:t>
      </w:r>
    </w:p>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12. WHAT THIS DOCUMENT DOES NOT CONTAIN</w:t>
            </w:r>
          </w:p>
        </w:tc>
      </w:tr>
    </w:tbl>
    <w:p>
      <w:pPr>
        <w:spacing w:after="100" w:before="100"/>
      </w:pPr>
      <w:r>
        <w:t xml:space="preserve"/>
      </w:r>
    </w:p>
    <w:p>
      <w:pPr>
        <w:spacing w:after="80" w:before="80"/>
      </w:pPr>
      <w:r>
        <w:rPr>
          <w:rFonts w:ascii="Arial" w:cs="Arial" w:eastAsia="Arial" w:hAnsi="Arial"/>
          <w:b/>
          <w:bCs/>
          <w:sz w:val="22"/>
          <w:szCs w:val="22"/>
        </w:rPr>
        <w:t xml:space="preserve">The following information exists in the full classified Master Architecture only (JAG_Master_Architecture_v1.9.docx). That document is OFFLINE ONLY. NEVER share it with any AI system, cloud service, or external consultant.</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Bank account numbers, account names, or financial institution details</w:t>
      </w:r>
    </w:p>
    <w:p>
      <w:pPr>
        <w:pStyle w:val="ListParagraph"/>
        <w:numPr>
          <w:ilvl w:val="0"/>
          <w:numId w:val="2"/>
        </w:numPr>
        <w:spacing w:after="60" w:before="60"/>
      </w:pPr>
      <w:r>
        <w:rPr>
          <w:rFonts w:ascii="Arial" w:cs="Arial" w:eastAsia="Arial" w:hAnsi="Arial"/>
          <w:b w:val="false"/>
          <w:bCs w:val="false"/>
          <w:sz w:val="22"/>
          <w:szCs w:val="22"/>
        </w:rPr>
        <w:t xml:space="preserve">Ownership percentages or shareholding structures per entity</w:t>
      </w:r>
    </w:p>
    <w:p>
      <w:pPr>
        <w:pStyle w:val="ListParagraph"/>
        <w:numPr>
          <w:ilvl w:val="0"/>
          <w:numId w:val="2"/>
        </w:numPr>
        <w:spacing w:after="60" w:before="60"/>
      </w:pPr>
      <w:r>
        <w:rPr>
          <w:rFonts w:ascii="Arial" w:cs="Arial" w:eastAsia="Arial" w:hAnsi="Arial"/>
          <w:b w:val="false"/>
          <w:bCs w:val="false"/>
          <w:sz w:val="22"/>
          <w:szCs w:val="22"/>
        </w:rPr>
        <w:t xml:space="preserve">Succession plan specifics — credential custodian identity, will instructions, POA holder names, trustee clauses, executor designations, beneficiary details</w:t>
      </w:r>
    </w:p>
    <w:p>
      <w:pPr>
        <w:pStyle w:val="ListParagraph"/>
        <w:numPr>
          <w:ilvl w:val="0"/>
          <w:numId w:val="2"/>
        </w:numPr>
        <w:spacing w:after="60" w:before="60"/>
      </w:pPr>
      <w:r>
        <w:rPr>
          <w:rFonts w:ascii="Arial" w:cs="Arial" w:eastAsia="Arial" w:hAnsi="Arial"/>
          <w:b w:val="false"/>
          <w:bCs w:val="false"/>
          <w:sz w:val="22"/>
          <w:szCs w:val="22"/>
        </w:rPr>
        <w:t xml:space="preserve">Specific net worth figures, asset valuations, or investment balances</w:t>
      </w:r>
    </w:p>
    <w:p>
      <w:pPr>
        <w:pStyle w:val="ListParagraph"/>
        <w:numPr>
          <w:ilvl w:val="0"/>
          <w:numId w:val="2"/>
        </w:numPr>
        <w:spacing w:after="60" w:before="60"/>
      </w:pPr>
      <w:r>
        <w:rPr>
          <w:rFonts w:ascii="Arial" w:cs="Arial" w:eastAsia="Arial" w:hAnsi="Arial"/>
          <w:b w:val="false"/>
          <w:bCs w:val="false"/>
          <w:sz w:val="22"/>
          <w:szCs w:val="22"/>
        </w:rPr>
        <w:t xml:space="preserve">Legal entity registration numbers or Tax Identification Numbers (TINs)</w:t>
      </w:r>
    </w:p>
    <w:p>
      <w:pPr>
        <w:pStyle w:val="ListParagraph"/>
        <w:numPr>
          <w:ilvl w:val="0"/>
          <w:numId w:val="2"/>
        </w:numPr>
        <w:spacing w:after="60" w:before="60"/>
      </w:pPr>
      <w:r>
        <w:rPr>
          <w:rFonts w:ascii="Arial" w:cs="Arial" w:eastAsia="Arial" w:hAnsi="Arial"/>
          <w:b w:val="false"/>
          <w:bCs w:val="false"/>
          <w:sz w:val="22"/>
          <w:szCs w:val="22"/>
        </w:rPr>
        <w:t xml:space="preserve">Lawyer identities, firm names, or engagement details</w:t>
      </w:r>
    </w:p>
    <w:p>
      <w:pPr>
        <w:pStyle w:val="ListParagraph"/>
        <w:numPr>
          <w:ilvl w:val="0"/>
          <w:numId w:val="2"/>
        </w:numPr>
        <w:spacing w:after="60" w:before="60"/>
      </w:pPr>
      <w:r>
        <w:rPr>
          <w:rFonts w:ascii="Arial" w:cs="Arial" w:eastAsia="Arial" w:hAnsi="Arial"/>
          <w:b w:val="false"/>
          <w:bCs w:val="false"/>
          <w:sz w:val="22"/>
          <w:szCs w:val="22"/>
        </w:rPr>
        <w:t xml:space="preserve">Family member full names beyond Robert Johnson-Attin</w:t>
      </w:r>
    </w:p>
    <w:p>
      <w:pPr>
        <w:pStyle w:val="ListParagraph"/>
        <w:numPr>
          <w:ilvl w:val="0"/>
          <w:numId w:val="2"/>
        </w:numPr>
        <w:spacing w:after="60" w:before="60"/>
      </w:pPr>
      <w:r>
        <w:rPr>
          <w:rFonts w:ascii="Arial" w:cs="Arial" w:eastAsia="Arial" w:hAnsi="Arial"/>
          <w:b w:val="false"/>
          <w:bCs w:val="false"/>
          <w:sz w:val="22"/>
          <w:szCs w:val="22"/>
        </w:rPr>
        <w:t xml:space="preserve">Property addresses, title details, or mortgage lender names</w:t>
      </w:r>
    </w:p>
    <w:p>
      <w:pPr>
        <w:spacing w:after="100" w:before="100"/>
      </w:pPr>
      <w:r>
        <w:t xml:space="preserve"/>
      </w:r>
    </w:p>
    <w:p>
      <w:pPr>
        <w:pBdr>
          <w:top w:val="single" w:color="1F3864" w:sz="4" w:space="4"/>
        </w:pBdr>
        <w:spacing w:after="0" w:before="300"/>
        <w:jc w:val="center"/>
      </w:pPr>
      <w:r>
        <w:rPr>
          <w:rFonts w:ascii="Arial" w:cs="Arial" w:eastAsia="Arial" w:hAnsi="Arial"/>
          <w:color w:val="888888"/>
          <w:sz w:val="16"/>
          <w:szCs w:val="16"/>
        </w:rPr>
        <w:t xml:space="preserve">Johnson Attin Group  |  JAG Platform Context Summary v2.3  |  Reflects Architecture v1.9 + Phase 4 COMPLETE  |  Confidential — For AI Session and External Channel Use Only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2026-06-05T16:56:25.691Z</dcterms:created>
  <dcterms:modified xsi:type="dcterms:W3CDTF">2026-06-05T16:56:25.692Z</dcterms:modified>
</cp:coreProperties>
</file>

<file path=docProps/custom.xml><?xml version="1.0" encoding="utf-8"?>
<Properties xmlns="http://schemas.openxmlformats.org/officeDocument/2006/custom-properties" xmlns:vt="http://schemas.openxmlformats.org/officeDocument/2006/docPropsVTypes"/>
</file>