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720"/>
              <w:left w:type="dxa" w:w="480"/>
              <w:bottom w:type="dxa" w:w="720"/>
              <w:right w:type="dxa" w:w="480"/>
            </w:tcMar>
          </w:tcPr>
          <w:p>
            <w:pPr>
              <w:spacing w:after="240" w:before="480"/>
              <w:jc w:val="center"/>
            </w:pPr>
            <w:r>
              <w:rPr>
                <w:rFonts w:ascii="Arial" w:cs="Arial" w:eastAsia="Arial" w:hAnsi="Arial"/>
                <w:b/>
                <w:bCs/>
                <w:color w:val="C9A84C"/>
                <w:sz w:val="48"/>
                <w:szCs w:val="48"/>
              </w:rPr>
              <w:t xml:space="preserve">JOHNSON ATTIN GROUP</w:t>
            </w:r>
          </w:p>
          <w:p>
            <w:pPr>
              <w:spacing w:after="240" w:before="0"/>
              <w:jc w:val="center"/>
            </w:pPr>
            <w:r>
              <w:rPr>
                <w:rFonts w:ascii="Arial" w:cs="Arial" w:eastAsia="Arial" w:hAnsi="Arial"/>
                <w:b/>
                <w:bCs/>
                <w:color w:val="FFFFFF"/>
                <w:sz w:val="32"/>
                <w:szCs w:val="32"/>
              </w:rPr>
              <w:t xml:space="preserve">JAG INTEGRATED BUSINESS PLATFORM</w:t>
            </w:r>
          </w:p>
          <w:p>
            <w:pPr>
              <w:spacing w:after="240" w:before="0"/>
              <w:jc w:val="center"/>
            </w:pPr>
            <w:r>
              <w:rPr>
                <w:rFonts w:ascii="Arial" w:cs="Arial" w:eastAsia="Arial" w:hAnsi="Arial"/>
                <w:b/>
                <w:bCs/>
                <w:color w:val="C9A84C"/>
                <w:sz w:val="48"/>
                <w:szCs w:val="48"/>
              </w:rPr>
              <w:t xml:space="preserve">ENGINEERING STANDARDS</w:t>
            </w:r>
          </w:p>
          <w:p>
            <w:pPr>
              <w:spacing w:after="480" w:before="0"/>
              <w:jc w:val="center"/>
            </w:pPr>
            <w:r>
              <w:rPr>
                <w:rFonts w:ascii="Arial" w:cs="Arial" w:eastAsia="Arial" w:hAnsi="Arial"/>
                <w:b/>
                <w:bCs/>
                <w:color w:val="D5E8F0"/>
                <w:sz w:val="36"/>
                <w:szCs w:val="36"/>
              </w:rPr>
              <w:t xml:space="preserve">&amp; CODING CONSTRAINTS</w:t>
            </w:r>
          </w:p>
          <w:p>
            <w:pPr>
              <w:spacing w:after="120" w:before="240"/>
              <w:jc w:val="center"/>
            </w:pPr>
            <w:r>
              <w:rPr>
                <w:rFonts w:ascii="Arial" w:cs="Arial" w:eastAsia="Arial" w:hAnsi="Arial"/>
                <w:color w:val="FFFFFF"/>
                <w:sz w:val="22"/>
                <w:szCs w:val="22"/>
              </w:rPr>
              <w:t xml:space="preserve">Version 1.1  |  May 23, 2026</w:t>
            </w:r>
          </w:p>
          <w:p>
            <w:pPr>
              <w:spacing w:after="120" w:before="0"/>
              <w:jc w:val="center"/>
            </w:pPr>
            <w:r>
              <w:rPr>
                <w:rFonts w:ascii="Arial" w:cs="Arial" w:eastAsia="Arial" w:hAnsi="Arial"/>
                <w:i/>
                <w:iCs/>
                <w:color w:val="C9A84C"/>
                <w:sz w:val="22"/>
                <w:szCs w:val="22"/>
              </w:rPr>
              <w:t xml:space="preserve">13 non-negotiable standards  |  STD-13 Expand-and-Contract added</w:t>
            </w:r>
          </w:p>
          <w:p>
            <w:pPr>
              <w:spacing w:after="480" w:before="0"/>
              <w:jc w:val="center"/>
            </w:pPr>
            <w:r>
              <w:rPr>
                <w:rFonts w:ascii="Arial" w:cs="Arial" w:eastAsia="Arial" w:hAnsi="Arial"/>
                <w:color w:val="D5E8F0"/>
                <w:sz w:val="22"/>
                <w:szCs w:val="22"/>
              </w:rPr>
              <w:t xml:space="preserve">Owner: Robert Johnson-Attin  |  Barataria, Trinidad &amp; Tobago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9A84C" w:val="clear"/>
            <w:tcMar>
              <w:top w:type="dxa" w:w="120"/>
              <w:left w:type="dxa" w:w="180"/>
              <w:bottom w:type="dxa" w:w="120"/>
              <w:right w:type="dxa" w:w="180"/>
            </w:tcMar>
          </w:tcPr>
          <w:p>
            <w:r>
              <w:rPr>
                <w:rFonts w:ascii="Arial" w:cs="Arial" w:eastAsia="Arial" w:hAnsi="Arial"/>
                <w:color w:val="000000"/>
                <w:sz w:val="22"/>
                <w:szCs w:val="22"/>
              </w:rPr>
              <w:t xml:space="preserve">SHARE THIS DOCUMENT AT THE START OF EVERY CLAUDE SESSION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CONFIDENTIAL — Internal use only. This document defines the non-negotiable engineering rules for the JAG Integrated Business Platform build. Every rule in this document applies regardless of which phase is being built, who is building it, or what time pressure exists. There are no exceptions without a written change request from Robert Johnson-Attin.</w:t>
            </w:r>
          </w:p>
        </w:tc>
      </w:tr>
    </w:tbl>
    <w:p>
      <w:pPr>
        <w:pageBreakBefore/>
        <w:spacing w:after="0" w:before="0"/>
      </w:pPr>
    </w:p>
    <w:tbl>
      <w:tblPr>
        <w:tblW w:type="dxa" w:w="9360"/>
        <w:tblBorders>
          <w:top w:val="none" w:color="auto" w:sz="0"/>
          <w:left w:val="none" w:color="auto" w:sz="0"/>
          <w:bottom w:val="none" w:color="auto" w:sz="0"/>
          <w:right w:val="none" w:color="auto" w:sz="0"/>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80"/>
              <w:left w:type="dxa" w:w="480"/>
              <w:bottom w:type="dxa" w:w="480"/>
              <w:right w:type="dxa" w:w="480"/>
            </w:tcMar>
          </w:tcPr>
          <w:p>
            <w:pPr>
              <w:jc w:val="center"/>
            </w:pPr>
            <w:r>
              <w:rPr>
                <w:rFonts w:ascii="Arial" w:cs="Arial" w:hAnsi="Arial"/>
                <w:b/>
                <w:bCs/>
                <w:color w:val="C9A84C"/>
                <w:sz w:val="40"/>
                <w:szCs w:val="40"/>
              </w:rPr>
              <w:t>TABLE OF CONTENTS</w:t>
            </w:r>
          </w:p>
        </w:tc>
      </w:tr>
    </w:tbl>
    <w:p>
      <w:pPr>
        <w:spacing w:after="80" w:before="80"/>
      </w:pPr>
    </w:p>
    <w:p>
      <w:pPr>
        <w:pBdr>
          <w:bottom w:val="single" w:sz="4" w:space="1" w:color="C9A84C"/>
        </w:pBdr>
        <w:spacing w:after="60" w:before="60"/>
      </w:pPr>
    </w:p>
    <w:p>
      <w:pPr>
        <w:spacing w:after="60" w:before="60"/>
      </w:pPr>
      <w:r>
        <w:rPr>
          <w:rFonts w:ascii="Arial" w:cs="Arial" w:hAnsi="Arial"/>
          <w:b/>
          <w:bCs/>
          <w:color w:val="1F3864"/>
          <w:sz w:val="22"/>
          <w:szCs w:val="22"/>
        </w:rPr>
        <w:t xml:space="preserve">1.  WHY THIS DOCUMENT EXISTS</w:t>
      </w:r>
    </w:p>
    <w:p>
      <w:pPr>
        <w:pBdr>
          <w:bottom w:val="single" w:sz="4" w:space="1" w:color="C9A84C"/>
        </w:pBdr>
        <w:spacing w:after="60" w:before="60"/>
      </w:pPr>
    </w:p>
    <w:p>
      <w:pPr>
        <w:spacing w:after="60" w:before="60"/>
      </w:pPr>
      <w:r>
        <w:rPr>
          <w:rFonts w:ascii="Arial" w:cs="Arial" w:hAnsi="Arial"/>
          <w:b/>
          <w:bCs/>
          <w:color w:val="1F3864"/>
          <w:sz w:val="22"/>
          <w:szCs w:val="22"/>
        </w:rPr>
        <w:t xml:space="preserve">2.  QUICK REFERENCE — PASTE INTO EVERY CLAUDE SESSION</w:t>
      </w:r>
    </w:p>
    <w:p>
      <w:pPr>
        <w:pBdr>
          <w:bottom w:val="single" w:sz="4" w:space="1" w:color="C9A84C"/>
        </w:pBdr>
        <w:spacing w:after="60" w:before="60"/>
      </w:pPr>
    </w:p>
    <w:p>
      <w:pPr>
        <w:spacing w:after="60" w:before="60"/>
      </w:pPr>
      <w:r>
        <w:rPr>
          <w:rFonts w:ascii="Arial" w:cs="Arial" w:hAnsi="Arial"/>
          <w:b/>
          <w:bCs/>
          <w:color w:val="1F3864"/>
          <w:sz w:val="22"/>
          <w:szCs w:val="22"/>
        </w:rPr>
        <w:t xml:space="preserve">3.  FULL STANDARDS — DETAILED SPECIFICATION</w:t>
      </w:r>
    </w:p>
    <w:p>
      <w:pPr>
        <w:spacing w:after="60" w:before="60"/>
        <w:ind w:left="360"/>
      </w:pPr>
      <w:r>
        <w:rPr>
          <w:rFonts w:ascii="Arial" w:cs="Arial" w:hAnsi="Arial"/>
          <w:color w:val="555555"/>
          <w:sz w:val="20"/>
          <w:szCs w:val="20"/>
        </w:rPr>
        <w:t xml:space="preserve">    STD-01  Module Isolation  [HARD RULE]</w:t>
      </w:r>
    </w:p>
    <w:p>
      <w:pPr>
        <w:spacing w:after="60" w:before="60"/>
        <w:ind w:left="360"/>
      </w:pPr>
      <w:r>
        <w:rPr>
          <w:rFonts w:ascii="Arial" w:cs="Arial" w:hAnsi="Arial"/>
          <w:color w:val="555555"/>
          <w:sz w:val="20"/>
          <w:szCs w:val="20"/>
        </w:rPr>
        <w:t xml:space="preserve">    STD-02  RLS First — Database-Layer Tenant Isolation  [HARD RULE]</w:t>
      </w:r>
    </w:p>
    <w:p>
      <w:pPr>
        <w:spacing w:after="60" w:before="60"/>
        <w:ind w:left="360"/>
      </w:pPr>
      <w:r>
        <w:rPr>
          <w:rFonts w:ascii="Arial" w:cs="Arial" w:hAnsi="Arial"/>
          <w:color w:val="555555"/>
          <w:sz w:val="20"/>
          <w:szCs w:val="20"/>
        </w:rPr>
        <w:t xml:space="preserve">    STD-03  Test First — Security Before Feature  [HARD RULE]</w:t>
      </w:r>
    </w:p>
    <w:p>
      <w:pPr>
        <w:spacing w:after="60" w:before="60"/>
        <w:ind w:left="360"/>
      </w:pPr>
      <w:r>
        <w:rPr>
          <w:rFonts w:ascii="Arial" w:cs="Arial" w:hAnsi="Arial"/>
          <w:color w:val="555555"/>
          <w:sz w:val="20"/>
          <w:szCs w:val="20"/>
        </w:rPr>
        <w:t xml:space="preserve">    STD-04  Migration First — All Schema Changes Are Files  [HARD RULE]</w:t>
      </w:r>
    </w:p>
    <w:p>
      <w:pPr>
        <w:spacing w:after="60" w:before="60"/>
        <w:ind w:left="360"/>
      </w:pPr>
      <w:r>
        <w:rPr>
          <w:rFonts w:ascii="Arial" w:cs="Arial" w:hAnsi="Arial"/>
          <w:color w:val="555555"/>
          <w:sz w:val="20"/>
          <w:szCs w:val="20"/>
        </w:rPr>
        <w:t xml:space="preserve">    STD-05  API Versioning — All Endpoints at /api/v1/  [ARCHITECTURE]</w:t>
      </w:r>
    </w:p>
    <w:p>
      <w:pPr>
        <w:spacing w:after="60" w:before="60"/>
        <w:ind w:left="360"/>
      </w:pPr>
      <w:r>
        <w:rPr>
          <w:rFonts w:ascii="Arial" w:cs="Arial" w:hAnsi="Arial"/>
          <w:color w:val="555555"/>
          <w:sz w:val="20"/>
          <w:szCs w:val="20"/>
        </w:rPr>
        <w:t xml:space="preserve">    STD-06  Error Envelope — Standard API Error Format  [ARCHITECTURE]</w:t>
      </w:r>
    </w:p>
    <w:p>
      <w:pPr>
        <w:spacing w:after="60" w:before="60"/>
        <w:ind w:left="360"/>
      </w:pPr>
      <w:r>
        <w:rPr>
          <w:rFonts w:ascii="Arial" w:cs="Arial" w:hAnsi="Arial"/>
          <w:color w:val="555555"/>
          <w:sz w:val="20"/>
          <w:szCs w:val="20"/>
        </w:rPr>
        <w:t xml:space="preserve">    STD-07  No Secrets in Code — All Credentials in ENV / Vault  [HARD RULE]</w:t>
      </w:r>
    </w:p>
    <w:p>
      <w:pPr>
        <w:spacing w:after="60" w:before="60"/>
        <w:ind w:left="360"/>
      </w:pPr>
      <w:r>
        <w:rPr>
          <w:rFonts w:ascii="Arial" w:cs="Arial" w:hAnsi="Arial"/>
          <w:color w:val="555555"/>
          <w:sz w:val="20"/>
          <w:szCs w:val="20"/>
        </w:rPr>
        <w:t xml:space="preserve">    STD-08  Structured Logging — JSON With Required Fields  [ARCHITECTURE]</w:t>
      </w:r>
    </w:p>
    <w:p>
      <w:pPr>
        <w:spacing w:after="60" w:before="60"/>
        <w:ind w:left="360"/>
      </w:pPr>
      <w:r>
        <w:rPr>
          <w:rFonts w:ascii="Arial" w:cs="Arial" w:hAnsi="Arial"/>
          <w:color w:val="555555"/>
          <w:sz w:val="20"/>
          <w:szCs w:val="20"/>
        </w:rPr>
        <w:t xml:space="preserve">    STD-09  TypeScript Strict Mode — No Exceptions  [ARCHITECTURE]</w:t>
      </w:r>
    </w:p>
    <w:p>
      <w:pPr>
        <w:spacing w:after="60" w:before="60"/>
        <w:ind w:left="360"/>
      </w:pPr>
      <w:r>
        <w:rPr>
          <w:rFonts w:ascii="Arial" w:cs="Arial" w:hAnsi="Arial"/>
          <w:color w:val="555555"/>
          <w:sz w:val="20"/>
          <w:szCs w:val="20"/>
        </w:rPr>
        <w:t xml:space="preserve">    STD-10  Input Validation — Zod Schemas on All User Input  [HARD RULE]</w:t>
      </w:r>
    </w:p>
    <w:p>
      <w:pPr>
        <w:spacing w:after="60" w:before="60"/>
        <w:ind w:left="360"/>
      </w:pPr>
      <w:r>
        <w:rPr>
          <w:rFonts w:ascii="Arial" w:cs="Arial" w:hAnsi="Arial"/>
          <w:color w:val="555555"/>
          <w:sz w:val="20"/>
          <w:szCs w:val="20"/>
        </w:rPr>
        <w:t xml:space="preserve">    STD-11  Idempotent Financial Operations  [HARD RULE]</w:t>
      </w:r>
    </w:p>
    <w:p>
      <w:pPr>
        <w:spacing w:after="60" w:before="60"/>
        <w:ind w:left="360"/>
      </w:pPr>
      <w:r>
        <w:rPr>
          <w:rFonts w:ascii="Arial" w:cs="Arial" w:hAnsi="Arial"/>
          <w:color w:val="555555"/>
          <w:sz w:val="20"/>
          <w:szCs w:val="20"/>
        </w:rPr>
        <w:t xml:space="preserve">    STD-12  Deploy Gate — Three Conditions to Ship  [HARD RULE]</w:t>
      </w:r>
    </w:p>
    <w:p>
      <w:pPr>
        <w:spacing w:after="60" w:before="60"/>
        <w:ind w:left="360"/>
      </w:pPr>
      <w:r>
        <w:rPr>
          <w:rFonts w:ascii="Arial" w:cs="Arial" w:hAnsi="Arial"/>
          <w:color w:val="555555"/>
          <w:sz w:val="20"/>
          <w:szCs w:val="20"/>
        </w:rPr>
        <w:t xml:space="preserve">    STD-13  Expand-and-Contract Migrations  [HARD RULE]</w:t>
      </w:r>
    </w:p>
    <w:p>
      <w:pPr>
        <w:pBdr>
          <w:bottom w:val="single" w:sz="4" w:space="1" w:color="C9A84C"/>
        </w:pBdr>
        <w:spacing w:after="60" w:before="60"/>
      </w:pPr>
    </w:p>
    <w:p>
      <w:pPr>
        <w:spacing w:after="60" w:before="60"/>
      </w:pPr>
      <w:r>
        <w:rPr>
          <w:rFonts w:ascii="Arial" w:cs="Arial" w:hAnsi="Arial"/>
          <w:b/>
          <w:bCs/>
          <w:color w:val="1F3864"/>
          <w:sz w:val="22"/>
          <w:szCs w:val="22"/>
        </w:rPr>
        <w:t xml:space="preserve">4.  STANDARDS SUMMARY TABLE</w:t>
      </w:r>
    </w:p>
    <w:p>
      <w:pPr>
        <w:pBdr>
          <w:bottom w:val="single" w:sz="4" w:space="1" w:color="C9A84C"/>
        </w:pBdr>
        <w:spacing w:after="60" w:before="60"/>
      </w:pPr>
    </w:p>
    <w:p>
      <w:pPr>
        <w:spacing w:after="60" w:before="60"/>
      </w:pPr>
      <w:r>
        <w:rPr>
          <w:rFonts w:ascii="Arial" w:cs="Arial" w:hAnsi="Arial"/>
          <w:b/>
          <w:bCs/>
          <w:color w:val="1F3864"/>
          <w:sz w:val="22"/>
          <w:szCs w:val="22"/>
        </w:rPr>
        <w:t xml:space="preserve">5.  HOW TO APPLY THESE STANDARDS AT EACH BUILD PHASE</w:t>
      </w:r>
    </w:p>
    <w:p>
      <w:pPr>
        <w:pBdr>
          <w:bottom w:val="single" w:sz="4" w:space="1" w:color="C9A84C"/>
        </w:pBdr>
        <w:spacing w:after="60" w:before="60"/>
      </w:pPr>
    </w:p>
    <w:p>
      <w:pPr>
        <w:spacing w:after="60" w:before="60"/>
      </w:pPr>
      <w:r>
        <w:rPr>
          <w:rFonts w:ascii="Arial" w:cs="Arial" w:hAnsi="Arial"/>
          <w:b/>
          <w:bCs/>
          <w:color w:val="1F3864"/>
          <w:sz w:val="22"/>
          <w:szCs w:val="22"/>
        </w:rPr>
        <w:t xml:space="preserve">6.  CHANGE CONTROL FOR THIS DOCUMENT</w:t>
      </w:r>
    </w:p>
    <w:p>
      <w:pPr>
        <w:pBdr>
          <w:bottom w:val="single" w:sz="4" w:space="1" w:color="C9A84C"/>
        </w:pBdr>
        <w:spacing w:after="60" w:before="60"/>
      </w:pPr>
    </w:p>
    <w:p>
      <w:pPr>
        <w:pageBreakBefore/>
      </w:pPr>
    </w:p>
    <w:p>
      <w:pPr>
        <w:spacing w:after="100" w:before="100"/>
      </w:pPr>
      <w:r>
        <w:t xml:space="preserve"/>
      </w:r>
    </w:p>
    <w:p>
      <w:pPr>
        <w:spacing w:after="80" w:before="80"/>
      </w:pPr>
      <w:r>
        <w:rPr>
          <w:rFonts w:ascii="Arial" w:cs="Arial" w:eastAsia="Arial" w:hAnsi="Arial"/>
          <w:sz w:val="22"/>
          <w:szCs w:val="22"/>
        </w:rPr>
        <w:t xml:space="preserve">HOW TO USE: Paste this document — or the Quick Reference in Section 2 — into your Claude session context alongside the JAG Master Architecture document. Say: "Apply all JAG Engineering Standards (STD-01 through STD-13) to every piece of code you write in this session." Claude will apply these rules consistently. Without this context, AI coding assistants will make locally reasonable choices that are globally inconsistent across sessions.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 WHY THIS DOCUMENT EXISTS</w:t>
            </w:r>
          </w:p>
        </w:tc>
      </w:tr>
    </w:tbl>
    <w:p>
      <w:pPr>
        <w:spacing w:after="100" w:before="100"/>
      </w:pPr>
      <w:r>
        <w:t xml:space="preserve"/>
      </w:r>
    </w:p>
    <w:p>
      <w:pPr>
        <w:spacing w:after="80" w:before="80"/>
      </w:pPr>
      <w:r>
        <w:rPr>
          <w:rFonts w:ascii="Arial" w:cs="Arial" w:eastAsia="Arial" w:hAnsi="Arial"/>
          <w:sz w:val="22"/>
          <w:szCs w:val="22"/>
        </w:rPr>
        <w:t xml:space="preserve">The JAG platform will be built over 7 phases across an estimated 18-24 months. Multiple Claude sessions will contribute code across that timeline. Each session starts fresh — it shares the master architecture document but has no memory of the specific coding decisions made in prior sessions.</w:t>
      </w:r>
    </w:p>
    <w:p>
      <w:pPr>
        <w:spacing w:after="100" w:before="100"/>
      </w:pPr>
      <w:r>
        <w:t xml:space="preserve"/>
      </w:r>
    </w:p>
    <w:p>
      <w:pPr>
        <w:spacing w:after="80" w:before="80"/>
      </w:pPr>
      <w:r>
        <w:rPr>
          <w:rFonts w:ascii="Arial" w:cs="Arial" w:eastAsia="Arial" w:hAnsi="Arial"/>
          <w:sz w:val="22"/>
          <w:szCs w:val="22"/>
        </w:rPr>
        <w:t xml:space="preserve">Without explicit, written engineering constraints, this creates a consistency risk: a module written in month three may handle tenant data filtering differently than the one written in month one. A security check implemented one way in JAG Properties may be skipped or implemented differently in DragonBridge. Over time, the codebase becomes a patchwork of locally sensible but globally inconsistent patterns.</w:t>
      </w:r>
    </w:p>
    <w:p>
      <w:pPr>
        <w:spacing w:after="100" w:before="100"/>
      </w:pPr>
      <w:r>
        <w:t xml:space="preserve"/>
      </w:r>
    </w:p>
    <w:p>
      <w:pPr>
        <w:spacing w:after="80" w:before="80"/>
      </w:pPr>
      <w:r>
        <w:rPr>
          <w:rFonts w:ascii="Arial" w:cs="Arial" w:eastAsia="Arial" w:hAnsi="Arial"/>
          <w:sz w:val="22"/>
          <w:szCs w:val="22"/>
        </w:rPr>
        <w:t xml:space="preserve">This document solves that problem. It defines 13 non-negotiable engineering standards that apply to every line of code written for the JAG platform, regardless of phase, module, or session. When these standards are shared with Claude at the start of every session, the AI applies them consistently — exactly as a senior developer would enforce coding standards on a team.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THE CORE RISK THIS DOCUMENT PREVENTS: AI-assisted development produces inconsistent code quality as sessions accumulate and original context drifts. A codebase built over 18 months without enforced standards will be harder to debug, harder to audit, harder to extend, and harder to hand off than one built with them from day 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2. QUICK REFERENCE — PASTE INTO EVERY CLAUDE SESSION</w:t>
            </w:r>
          </w:p>
        </w:tc>
      </w:tr>
    </w:tbl>
    <w:p>
      <w:pPr>
        <w:spacing w:after="100" w:before="100"/>
      </w:pPr>
      <w:r>
        <w:t xml:space="preserve"/>
      </w:r>
    </w:p>
    <w:p>
      <w:pPr>
        <w:spacing w:after="80" w:before="80"/>
      </w:pPr>
      <w:r>
        <w:rPr>
          <w:rFonts w:ascii="Arial" w:cs="Arial" w:eastAsia="Arial" w:hAnsi="Arial"/>
          <w:sz w:val="22"/>
          <w:szCs w:val="22"/>
        </w:rPr>
        <w:t xml:space="preserve">Copy the block below and paste it into your Claude session prompt alongside the JAG Master Architecture document. This is the minimum context Claude needs to apply all 13 standards.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r>
              <w:rPr>
                <w:rFonts w:ascii="Courier New" w:cs="Courier New" w:eastAsia="Courier New" w:hAnsi="Courier New"/>
                <w:b/>
                <w:bCs/>
                <w:color w:val="1F3864"/>
                <w:sz w:val="20"/>
                <w:szCs w:val="20"/>
              </w:rPr>
              <w:t xml:space="preserve">=== JAG ENGINEERING STANDARDS — APPLY TO ALL CODE IN THIS SESSION ===</w:t>
            </w:r>
          </w:p>
          <w:p>
            <w:pPr>
              <w:spacing w:before="80"/>
            </w:pPr>
            <w:r>
              <w:rPr>
                <w:rFonts w:ascii="Courier New" w:cs="Courier New" w:eastAsia="Courier New" w:hAnsi="Courier New"/>
                <w:sz w:val="20"/>
                <w:szCs w:val="20"/>
              </w:rPr>
              <w:t xml:space="preserve">STD-01 MODULE ISOLATION: Modules communicate via JAG Holdings API only.</w:t>
            </w:r>
          </w:p>
          <w:p>
            <w:r>
              <w:rPr>
                <w:rFonts w:ascii="Courier New" w:cs="Courier New" w:eastAsia="Courier New" w:hAnsi="Courier New"/>
                <w:sz w:val="20"/>
                <w:szCs w:val="20"/>
              </w:rPr>
              <w:t xml:space="preserve">         Never write directly to another module's database tables.</w:t>
            </w:r>
          </w:p>
          <w:p>
            <w:pPr>
              <w:spacing w:before="60"/>
            </w:pPr>
            <w:r>
              <w:rPr>
                <w:rFonts w:ascii="Courier New" w:cs="Courier New" w:eastAsia="Courier New" w:hAnsi="Courier New"/>
                <w:sz w:val="20"/>
                <w:szCs w:val="20"/>
              </w:rPr>
              <w:t xml:space="preserve">STD-02 RLS FIRST: Tenant isolation is enforced at the PostgreSQL layer.</w:t>
            </w:r>
          </w:p>
          <w:p>
            <w:r>
              <w:rPr>
                <w:rFonts w:ascii="Courier New" w:cs="Courier New" w:eastAsia="Courier New" w:hAnsi="Courier New"/>
                <w:sz w:val="20"/>
                <w:szCs w:val="20"/>
              </w:rPr>
              <w:t xml:space="preserve">         Application-layer filtering is a second line of defence, not the first.</w:t>
            </w:r>
          </w:p>
          <w:p>
            <w:pPr>
              <w:spacing w:before="60"/>
            </w:pPr>
            <w:r>
              <w:rPr>
                <w:rFonts w:ascii="Courier New" w:cs="Courier New" w:eastAsia="Courier New" w:hAnsi="Courier New"/>
                <w:sz w:val="20"/>
                <w:szCs w:val="20"/>
              </w:rPr>
              <w:t xml:space="preserve">STD-03 TEST FIRST (SECURITY): Write a failing tenant-isolation test before</w:t>
            </w:r>
          </w:p>
          <w:p>
            <w:r>
              <w:rPr>
                <w:rFonts w:ascii="Courier New" w:cs="Courier New" w:eastAsia="Courier New" w:hAnsi="Courier New"/>
                <w:sz w:val="20"/>
                <w:szCs w:val="20"/>
              </w:rPr>
              <w:t xml:space="preserve">         building any data-access feature. Ship only when the test passes.</w:t>
            </w:r>
          </w:p>
          <w:p>
            <w:pPr>
              <w:spacing w:before="60"/>
            </w:pPr>
            <w:r>
              <w:rPr>
                <w:rFonts w:ascii="Courier New" w:cs="Courier New" w:eastAsia="Courier New" w:hAnsi="Courier New"/>
                <w:sz w:val="20"/>
                <w:szCs w:val="20"/>
              </w:rPr>
              <w:t xml:space="preserve">STD-04 MIGRATION FIRST: Every schema change is a migration file.</w:t>
            </w:r>
          </w:p>
          <w:p>
            <w:r>
              <w:rPr>
                <w:rFonts w:ascii="Courier New" w:cs="Courier New" w:eastAsia="Courier New" w:hAnsi="Courier New"/>
                <w:sz w:val="20"/>
                <w:szCs w:val="20"/>
              </w:rPr>
              <w:t xml:space="preserve">         No ad-hoc SQL on the live database. Ever.</w:t>
            </w:r>
          </w:p>
          <w:p>
            <w:pPr>
              <w:spacing w:before="60"/>
            </w:pPr>
            <w:r>
              <w:rPr>
                <w:rFonts w:ascii="Courier New" w:cs="Courier New" w:eastAsia="Courier New" w:hAnsi="Courier New"/>
                <w:sz w:val="20"/>
                <w:szCs w:val="20"/>
              </w:rPr>
              <w:t xml:space="preserve">STD-05 API VERSIONING: All endpoints are /api/v1/. No breaking changes</w:t>
            </w:r>
          </w:p>
          <w:p>
            <w:r>
              <w:rPr>
                <w:rFonts w:ascii="Courier New" w:cs="Courier New" w:eastAsia="Courier New" w:hAnsi="Courier New"/>
                <w:sz w:val="20"/>
                <w:szCs w:val="20"/>
              </w:rPr>
              <w:t xml:space="preserve">         without a version increment.</w:t>
            </w:r>
          </w:p>
          <w:p>
            <w:pPr>
              <w:spacing w:before="60"/>
            </w:pPr>
            <w:r>
              <w:rPr>
                <w:rFonts w:ascii="Courier New" w:cs="Courier New" w:eastAsia="Courier New" w:hAnsi="Courier New"/>
                <w:sz w:val="20"/>
                <w:szCs w:val="20"/>
              </w:rPr>
              <w:t xml:space="preserve">STD-06 ERROR ENVELOPE: All API errors return:</w:t>
            </w:r>
          </w:p>
          <w:p>
            <w:r>
              <w:rPr>
                <w:rFonts w:ascii="Courier New" w:cs="Courier New" w:eastAsia="Courier New" w:hAnsi="Courier New"/>
                <w:sz w:val="20"/>
                <w:szCs w:val="20"/>
              </w:rPr>
              <w:t xml:space="preserve">         { success, data, error, code }. No raw stack traces to client.</w:t>
            </w:r>
          </w:p>
          <w:p>
            <w:pPr>
              <w:spacing w:before="60"/>
            </w:pPr>
            <w:r>
              <w:rPr>
                <w:rFonts w:ascii="Courier New" w:cs="Courier New" w:eastAsia="Courier New" w:hAnsi="Courier New"/>
                <w:sz w:val="20"/>
                <w:szCs w:val="20"/>
              </w:rPr>
              <w:t xml:space="preserve">STD-07 NO SECRETS IN CODE: All credentials live in env vars or Oracle Vault.</w:t>
            </w:r>
          </w:p>
          <w:p>
            <w:r>
              <w:rPr>
                <w:rFonts w:ascii="Courier New" w:cs="Courier New" w:eastAsia="Courier New" w:hAnsi="Courier New"/>
                <w:sz w:val="20"/>
                <w:szCs w:val="20"/>
              </w:rPr>
              <w:t xml:space="preserve">         Zero exceptions.</w:t>
            </w:r>
          </w:p>
          <w:p>
            <w:pPr>
              <w:spacing w:before="60"/>
            </w:pPr>
            <w:r>
              <w:rPr>
                <w:rFonts w:ascii="Courier New" w:cs="Courier New" w:eastAsia="Courier New" w:hAnsi="Courier New"/>
                <w:sz w:val="20"/>
                <w:szCs w:val="20"/>
              </w:rPr>
              <w:t xml:space="preserve">STD-08 STRUCTURED LOGGING: Every server event logs JSON with:</w:t>
            </w:r>
          </w:p>
          <w:p>
            <w:r>
              <w:rPr>
                <w:rFonts w:ascii="Courier New" w:cs="Courier New" w:eastAsia="Courier New" w:hAnsi="Courier New"/>
                <w:sz w:val="20"/>
                <w:szCs w:val="20"/>
              </w:rPr>
              <w:t xml:space="preserve">         entity, action, user_id, tenant_id, timestamp, severity.</w:t>
            </w:r>
          </w:p>
          <w:p>
            <w:pPr>
              <w:spacing w:before="60"/>
            </w:pPr>
            <w:r>
              <w:rPr>
                <w:rFonts w:ascii="Courier New" w:cs="Courier New" w:eastAsia="Courier New" w:hAnsi="Courier New"/>
                <w:sz w:val="20"/>
                <w:szCs w:val="20"/>
              </w:rPr>
              <w:t xml:space="preserve">STD-09 TYPESCRIPT STRICT: tsconfig strict:true always. No any types.</w:t>
            </w:r>
          </w:p>
          <w:p>
            <w:r>
              <w:rPr>
                <w:rFonts w:ascii="Courier New" w:cs="Courier New" w:eastAsia="Courier New" w:hAnsi="Courier New"/>
                <w:sz w:val="20"/>
                <w:szCs w:val="20"/>
              </w:rPr>
              <w:t xml:space="preserve">         No implicit returns.</w:t>
            </w:r>
          </w:p>
          <w:p>
            <w:pPr>
              <w:spacing w:before="60"/>
            </w:pPr>
            <w:r>
              <w:rPr>
                <w:rFonts w:ascii="Courier New" w:cs="Courier New" w:eastAsia="Courier New" w:hAnsi="Courier New"/>
                <w:sz w:val="20"/>
                <w:szCs w:val="20"/>
              </w:rPr>
              <w:t xml:space="preserve">STD-10 INPUT VALIDATION: Validate and sanitise all user input server-side</w:t>
            </w:r>
          </w:p>
          <w:p>
            <w:r>
              <w:rPr>
                <w:rFonts w:ascii="Courier New" w:cs="Courier New" w:eastAsia="Courier New" w:hAnsi="Courier New"/>
                <w:sz w:val="20"/>
                <w:szCs w:val="20"/>
              </w:rPr>
              <w:t xml:space="preserve">         before touching the database. Use Zod schemas.</w:t>
            </w:r>
          </w:p>
          <w:p>
            <w:pPr>
              <w:spacing w:before="60"/>
            </w:pPr>
            <w:r>
              <w:rPr>
                <w:rFonts w:ascii="Courier New" w:cs="Courier New" w:eastAsia="Courier New" w:hAnsi="Courier New"/>
                <w:sz w:val="20"/>
                <w:szCs w:val="20"/>
              </w:rPr>
              <w:t xml:space="preserve">STD-11 IDEMPOTENT FINANCIAL OPS: All financial write operations carry</w:t>
            </w:r>
          </w:p>
          <w:p>
            <w:r>
              <w:rPr>
                <w:rFonts w:ascii="Courier New" w:cs="Courier New" w:eastAsia="Courier New" w:hAnsi="Courier New"/>
                <w:sz w:val="20"/>
                <w:szCs w:val="20"/>
              </w:rPr>
              <w:t xml:space="preserve">         an idempotency key. Duplicate submissions must never double-post.</w:t>
            </w:r>
          </w:p>
          <w:p>
            <w:pPr>
              <w:spacing w:before="60"/>
            </w:pPr>
            <w:r>
              <w:rPr>
                <w:rFonts w:ascii="Courier New" w:cs="Courier New" w:eastAsia="Courier New" w:hAnsi="Courier New"/>
                <w:sz w:val="20"/>
                <w:szCs w:val="20"/>
              </w:rPr>
              <w:t xml:space="preserve">STD-12 DEPLOY GATE: No code goes to production without:</w:t>
            </w:r>
          </w:p>
          <w:p>
            <w:r>
              <w:rPr>
                <w:rFonts w:ascii="Courier New" w:cs="Courier New" w:eastAsia="Courier New" w:hAnsi="Courier New"/>
                <w:sz w:val="20"/>
                <w:szCs w:val="20"/>
              </w:rPr>
              <w:t xml:space="preserve">         (a) passing all tests, (b) running migrations, (c) Robert sign-off.</w:t>
            </w:r>
          </w:p>
          <w:p>
            <w:pPr>
              <w:spacing w:before="60"/>
            </w:pPr>
            <w:r>
              <w:rPr>
                <w:rFonts w:ascii="Courier New" w:cs="Courier New" w:eastAsia="Courier New" w:hAnsi="Courier New"/>
                <w:b/>
                <w:bCs/>
                <w:color w:val="8B0000"/>
                <w:sz w:val="20"/>
                <w:szCs w:val="20"/>
              </w:rPr>
              <w:t xml:space="preserve">STD-13 EXPAND-AND-CONTRACT: Columns and tables are never renamed or dropped</w:t>
            </w:r>
          </w:p>
          <w:p>
            <w:r>
              <w:rPr>
                <w:rFonts w:ascii="Courier New" w:cs="Courier New" w:eastAsia="Courier New" w:hAnsi="Courier New"/>
                <w:b/>
                <w:bCs/>
                <w:color w:val="8B0000"/>
                <w:sz w:val="20"/>
                <w:szCs w:val="20"/>
              </w:rPr>
              <w:t xml:space="preserve">         in a single deployment. Use the 5-step Expand-and-Contract pattern.</w:t>
            </w:r>
          </w:p>
          <w:p>
            <w:pPr>
              <w:spacing w:before="80"/>
            </w:pPr>
            <w:r>
              <w:rPr>
                <w:rFonts w:ascii="Courier New" w:cs="Courier New" w:eastAsia="Courier New" w:hAnsi="Courier New"/>
                <w:b/>
                <w:bCs/>
                <w:color w:val="1F3864"/>
                <w:sz w:val="20"/>
                <w:szCs w:val="20"/>
              </w:rPr>
              <w:t xml:space="preserve">=== END JAG ENGINEERING STANDARDS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3. FULL STANDARDS — DETAILED SPECIFICATION</w:t>
            </w:r>
          </w:p>
        </w:tc>
      </w:tr>
    </w:tbl>
    <w:p>
      <w:pPr>
        <w:spacing w:after="100" w:before="100"/>
      </w:pPr>
      <w:r>
        <w:t xml:space="preserve"/>
      </w:r>
    </w:p>
    <w:p>
      <w:pPr>
        <w:spacing w:after="80" w:before="80"/>
      </w:pPr>
      <w:r>
        <w:rPr>
          <w:rFonts w:ascii="Arial" w:cs="Arial" w:eastAsia="Arial" w:hAnsi="Arial"/>
          <w:sz w:val="22"/>
          <w:szCs w:val="22"/>
        </w:rPr>
        <w:t xml:space="preserve">Each standard below includes the rule, the rationale, a bad example, and the correct implementation. Read this section once thoroughly. Use the Quick Reference in Section 2 for ongoing session prompting.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STD-01  MODULE ISOLATION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Security   Origin: Enforced by: Third Architect (primary) + Claude (confirmed)</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The JAG platform has 12+ business entities. If modules can write directly to each other's database tables, a bug in one module can corrupt data in another. A JABCO foreman's mobile app should never be able to — even accidentally — modify a BAR cash float or a tenant's rent record. Module isolation makes each entity's data physically protected from lateral corruption.</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Every business module (JABCO, BAR, Members Club, DragonBridge, Properties, Brian's Portal, etc.) is a self-contained unit.</w:t>
      </w:r>
    </w:p>
    <w:p>
      <w:pPr>
        <w:pStyle w:val="ListParagraph"/>
        <w:numPr>
          <w:ilvl w:val="0"/>
          <w:numId w:val="2"/>
        </w:numPr>
        <w:spacing w:after="60" w:before="60"/>
      </w:pPr>
      <w:r>
        <w:rPr>
          <w:rFonts w:ascii="Arial" w:cs="Arial" w:eastAsia="Arial" w:hAnsi="Arial"/>
          <w:b w:val="false"/>
          <w:bCs w:val="false"/>
          <w:sz w:val="22"/>
          <w:szCs w:val="22"/>
        </w:rPr>
        <w:t xml:space="preserve">Modules may READ shared master data (vendors, customers, FX rates, users) from jag_core via API calls only.</w:t>
      </w:r>
    </w:p>
    <w:p>
      <w:pPr>
        <w:pStyle w:val="ListParagraph"/>
        <w:numPr>
          <w:ilvl w:val="0"/>
          <w:numId w:val="2"/>
        </w:numPr>
        <w:spacing w:after="60" w:before="60"/>
      </w:pPr>
      <w:r>
        <w:rPr>
          <w:rFonts w:ascii="Arial" w:cs="Arial" w:eastAsia="Arial" w:hAnsi="Arial"/>
          <w:b w:val="false"/>
          <w:bCs w:val="false"/>
          <w:sz w:val="22"/>
          <w:szCs w:val="22"/>
        </w:rPr>
        <w:t xml:space="preserve">Modules must NEVER write directly to another module's database tables — not even to jag_core. All writes to shared data go through the JAG Holdings API, which validates, logs, and posts the change.</w:t>
      </w:r>
    </w:p>
    <w:p>
      <w:pPr>
        <w:pStyle w:val="ListParagraph"/>
        <w:numPr>
          <w:ilvl w:val="0"/>
          <w:numId w:val="2"/>
        </w:numPr>
        <w:spacing w:after="60" w:before="60"/>
      </w:pPr>
      <w:r>
        <w:rPr>
          <w:rFonts w:ascii="Arial" w:cs="Arial" w:eastAsia="Arial" w:hAnsi="Arial"/>
          <w:b w:val="false"/>
          <w:bCs w:val="false"/>
          <w:sz w:val="22"/>
          <w:szCs w:val="22"/>
        </w:rPr>
        <w:t xml:space="preserve">Shared master records (e.g. a vendor that exists in both JABCO and DragonBridge) are owned by jag_core. Modules reference them by foreign key. Modules do not duplicate them.</w:t>
      </w:r>
    </w:p>
    <w:p>
      <w:pPr>
        <w:pStyle w:val="ListParagraph"/>
        <w:numPr>
          <w:ilvl w:val="0"/>
          <w:numId w:val="2"/>
        </w:numPr>
        <w:spacing w:after="60" w:before="60"/>
      </w:pPr>
      <w:r>
        <w:rPr>
          <w:rFonts w:ascii="Arial" w:cs="Arial" w:eastAsia="Arial" w:hAnsi="Arial"/>
          <w:b w:val="false"/>
          <w:bCs w:val="false"/>
          <w:sz w:val="22"/>
          <w:szCs w:val="22"/>
        </w:rPr>
        <w:t xml:space="preserve">Inter-module data flows are events posted to the JAG Holdings API — never direct SQL INSERTs or UPDATEs across database boundaries.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JABCO module writing directly to Properties table</w:t>
      </w:r>
    </w:p>
    <w:p>
      <w:pPr>
        <w:spacing w:after="40" w:before="40"/>
      </w:pPr>
      <w:r>
        <w:rPr>
          <w:rFonts w:ascii="Courier New" w:cs="Courier New" w:eastAsia="Courier New" w:hAnsi="Courier New"/>
          <w:color w:val="1F3864"/>
          <w:sz w:val="18"/>
          <w:szCs w:val="18"/>
        </w:rPr>
        <w:t xml:space="preserve">await db.query("INSERT INTO jag_properties.rents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JABCO posts an event to Holdings API</w:t>
      </w:r>
    </w:p>
    <w:p>
      <w:pPr>
        <w:spacing w:after="40" w:before="40"/>
      </w:pPr>
      <w:r>
        <w:rPr>
          <w:rFonts w:ascii="Courier New" w:cs="Courier New" w:eastAsia="Courier New" w:hAnsi="Courier New"/>
          <w:color w:val="1F3864"/>
          <w:sz w:val="18"/>
          <w:szCs w:val="18"/>
        </w:rPr>
        <w:t xml:space="preserve">await api.post('/api/v1/holdings/events', { type: 'intercompany_charge', ...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STD-02  RLS FIRST — DATABASE-LAYER TENANT ISOLATION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Security   Origin: Enforced by: Third Architect (primary) + Gemini (confirmed) + Claude (confirmed)</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Application-layer filtering (WHERE tenant_id = $1 in your Node.js code) can be bypassed by a bug, a missing WHERE clause, or a future developer who forgets the rule. PostgreSQL Row-Level Security cannot be bypassed by application code — it is enforced at the database engine level. Brian's data must be physically unreachable from a JABCO connection, not just filtered by application logic.</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Every table in every JAG database has a PostgreSQL RLS policy enforced at the database level.</w:t>
      </w:r>
    </w:p>
    <w:p>
      <w:pPr>
        <w:pStyle w:val="ListParagraph"/>
        <w:numPr>
          <w:ilvl w:val="0"/>
          <w:numId w:val="2"/>
        </w:numPr>
        <w:spacing w:after="60" w:before="60"/>
      </w:pPr>
      <w:r>
        <w:rPr>
          <w:rFonts w:ascii="Arial" w:cs="Arial" w:eastAsia="Arial" w:hAnsi="Arial"/>
          <w:b w:val="false"/>
          <w:bCs w:val="false"/>
          <w:sz w:val="22"/>
          <w:szCs w:val="22"/>
        </w:rPr>
        <w:t xml:space="preserve">Application-layer tenant filtering (WHERE tenant_id = $1) is ALSO required — it is the second line of defence, not the first.</w:t>
      </w:r>
    </w:p>
    <w:p>
      <w:pPr>
        <w:pStyle w:val="ListParagraph"/>
        <w:numPr>
          <w:ilvl w:val="0"/>
          <w:numId w:val="2"/>
        </w:numPr>
        <w:spacing w:after="60" w:before="60"/>
      </w:pPr>
      <w:r>
        <w:rPr>
          <w:rFonts w:ascii="Arial" w:cs="Arial" w:eastAsia="Arial" w:hAnsi="Arial"/>
          <w:b w:val="false"/>
          <w:bCs w:val="false"/>
          <w:sz w:val="22"/>
          <w:szCs w:val="22"/>
        </w:rPr>
        <w:t xml:space="preserve">Never assume that because the application filters correctly, the database does not need RLS. Both layers must be active simultaneously.</w:t>
      </w:r>
    </w:p>
    <w:p>
      <w:pPr>
        <w:pStyle w:val="ListParagraph"/>
        <w:numPr>
          <w:ilvl w:val="0"/>
          <w:numId w:val="2"/>
        </w:numPr>
        <w:spacing w:after="60" w:before="60"/>
      </w:pPr>
      <w:r>
        <w:rPr>
          <w:rFonts w:ascii="Arial" w:cs="Arial" w:eastAsia="Arial" w:hAnsi="Arial"/>
          <w:b w:val="false"/>
          <w:bCs w:val="false"/>
          <w:sz w:val="22"/>
          <w:szCs w:val="22"/>
        </w:rPr>
        <w:t xml:space="preserve">Brian's portal databases (jag_brian) are fully air-gapped: no connection string from any JAG operational module can reach jag_brian.</w:t>
      </w:r>
    </w:p>
    <w:p>
      <w:pPr>
        <w:pStyle w:val="ListParagraph"/>
        <w:numPr>
          <w:ilvl w:val="0"/>
          <w:numId w:val="2"/>
        </w:numPr>
        <w:spacing w:after="60" w:before="60"/>
      </w:pPr>
      <w:r>
        <w:rPr>
          <w:rFonts w:ascii="Arial" w:cs="Arial" w:eastAsia="Arial" w:hAnsi="Arial"/>
          <w:b w:val="false"/>
          <w:bCs w:val="false"/>
          <w:sz w:val="22"/>
          <w:szCs w:val="22"/>
        </w:rPr>
        <w:t xml:space="preserve">After every schema migration, run the cross-tenant isolation test suite (STD-03) to verify RLS is still enforced correctly.</w:t>
      </w:r>
    </w:p>
    <w:p>
      <w:pPr>
        <w:pStyle w:val="ListParagraph"/>
        <w:numPr>
          <w:ilvl w:val="0"/>
          <w:numId w:val="2"/>
        </w:numPr>
        <w:spacing w:after="60" w:before="60"/>
      </w:pPr>
      <w:r>
        <w:rPr>
          <w:rFonts w:ascii="Arial" w:cs="Arial" w:eastAsia="Arial" w:hAnsi="Arial"/>
          <w:b w:val="false"/>
          <w:bCs w:val="false"/>
          <w:sz w:val="22"/>
          <w:szCs w:val="22"/>
        </w:rPr>
        <w:t xml:space="preserve">Superuser database connections are used only for migrations and emergency recovery — never for application runtime queries.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Relying only on app-layer filtering</w:t>
      </w:r>
    </w:p>
    <w:p>
      <w:pPr>
        <w:spacing w:after="40" w:before="40"/>
      </w:pPr>
      <w:r>
        <w:rPr>
          <w:rFonts w:ascii="Courier New" w:cs="Courier New" w:eastAsia="Courier New" w:hAnsi="Courier New"/>
          <w:color w:val="1F3864"/>
          <w:sz w:val="18"/>
          <w:szCs w:val="18"/>
        </w:rPr>
        <w:t xml:space="preserve">const rents = await db.query('SELECT * FROM rents WHERE tenant_id = $1', [tenantId]);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RLS enforced at DB + app filter as second layer</w:t>
      </w:r>
    </w:p>
    <w:p>
      <w:pPr>
        <w:spacing w:after="40" w:before="40"/>
      </w:pPr>
      <w:r>
        <w:rPr>
          <w:rFonts w:ascii="Courier New" w:cs="Courier New" w:eastAsia="Courier New" w:hAnsi="Courier New"/>
          <w:color w:val="1F3864"/>
          <w:sz w:val="18"/>
          <w:szCs w:val="18"/>
        </w:rPr>
        <w:t xml:space="preserve">// DB connection established with: SET LOCAL app.current_tenant = $tenantId;</w:t>
      </w:r>
    </w:p>
    <w:p>
      <w:pPr>
        <w:spacing w:after="40" w:before="40"/>
      </w:pPr>
      <w:r>
        <w:rPr>
          <w:rFonts w:ascii="Courier New" w:cs="Courier New" w:eastAsia="Courier New" w:hAnsi="Courier New"/>
          <w:color w:val="1F3864"/>
          <w:sz w:val="18"/>
          <w:szCs w:val="18"/>
        </w:rPr>
        <w:t xml:space="preserve">// RLS policy: CREATE POLICY tenant_isolation ON rents</w:t>
      </w:r>
    </w:p>
    <w:p>
      <w:pPr>
        <w:spacing w:after="40" w:before="40"/>
      </w:pPr>
      <w:r>
        <w:rPr>
          <w:rFonts w:ascii="Courier New" w:cs="Courier New" w:eastAsia="Courier New" w:hAnsi="Courier New"/>
          <w:color w:val="1F3864"/>
          <w:sz w:val="18"/>
          <w:szCs w:val="18"/>
        </w:rPr>
        <w:t xml:space="preserve">//   USING (tenant_id = current_setting('app.current_tenant')::uuid);</w:t>
      </w:r>
    </w:p>
    <w:p>
      <w:pPr>
        <w:spacing w:after="40" w:before="40"/>
      </w:pPr>
      <w:r>
        <w:rPr>
          <w:rFonts w:ascii="Courier New" w:cs="Courier New" w:eastAsia="Courier New" w:hAnsi="Courier New"/>
          <w:color w:val="1F3864"/>
          <w:sz w:val="18"/>
          <w:szCs w:val="18"/>
        </w:rPr>
        <w:t xml:space="preserve">// App still adds WHERE clause as defence-in-depth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STD-03  TEST FIRST — SECURITY BEFORE FEATURE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Testing   Origin: Enforced by: Third Architect (primary)</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The most common way security checks get skipped is time pressure. When a feature is needed urgently, a developer writes the feature first and plans to 'add the security test later.' Later never comes. By requiring the security test to be written FIRST — and to fail before the feature exists — this rule makes it structurally impossible to ship a feature without its security verification.</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Before writing any code for a new data-access feature, write a test that proves an unauthorised user CANNOT access the data. This test must fail before the feature is built.</w:t>
      </w:r>
    </w:p>
    <w:p>
      <w:pPr>
        <w:pStyle w:val="ListParagraph"/>
        <w:numPr>
          <w:ilvl w:val="0"/>
          <w:numId w:val="2"/>
        </w:numPr>
        <w:spacing w:after="60" w:before="60"/>
      </w:pPr>
      <w:r>
        <w:rPr>
          <w:rFonts w:ascii="Arial" w:cs="Arial" w:eastAsia="Arial" w:hAnsi="Arial"/>
          <w:b w:val="false"/>
          <w:bCs w:val="false"/>
          <w:sz w:val="22"/>
          <w:szCs w:val="22"/>
        </w:rPr>
        <w:t xml:space="preserve">Write the feature. The test must now pass. If the test cannot be made to pass, the feature does not ship.</w:t>
      </w:r>
    </w:p>
    <w:p>
      <w:pPr>
        <w:pStyle w:val="ListParagraph"/>
        <w:numPr>
          <w:ilvl w:val="0"/>
          <w:numId w:val="2"/>
        </w:numPr>
        <w:spacing w:after="60" w:before="60"/>
      </w:pPr>
      <w:r>
        <w:rPr>
          <w:rFonts w:ascii="Arial" w:cs="Arial" w:eastAsia="Arial" w:hAnsi="Arial"/>
          <w:b w:val="false"/>
          <w:bCs w:val="false"/>
          <w:sz w:val="22"/>
          <w:szCs w:val="22"/>
        </w:rPr>
        <w:t xml:space="preserve">Every API endpoint that reads or writes data gets at minimum: (1) authorised-access test, (2) unauthorised-access test with wrong tenant, (3) unauthorised-access test with wrong role.</w:t>
      </w:r>
    </w:p>
    <w:p>
      <w:pPr>
        <w:pStyle w:val="ListParagraph"/>
        <w:numPr>
          <w:ilvl w:val="0"/>
          <w:numId w:val="2"/>
        </w:numPr>
        <w:spacing w:after="60" w:before="60"/>
      </w:pPr>
      <w:r>
        <w:rPr>
          <w:rFonts w:ascii="Arial" w:cs="Arial" w:eastAsia="Arial" w:hAnsi="Arial"/>
          <w:b w:val="false"/>
          <w:bCs w:val="false"/>
          <w:sz w:val="22"/>
          <w:szCs w:val="22"/>
        </w:rPr>
        <w:t xml:space="preserve">Financial calculation tests (reconciliation, FX conversion, intercompany elimination) are written before the calculation function is implemented.</w:t>
      </w:r>
    </w:p>
    <w:p>
      <w:pPr>
        <w:pStyle w:val="ListParagraph"/>
        <w:numPr>
          <w:ilvl w:val="0"/>
          <w:numId w:val="2"/>
        </w:numPr>
        <w:spacing w:after="60" w:before="60"/>
      </w:pPr>
      <w:r>
        <w:rPr>
          <w:rFonts w:ascii="Arial" w:cs="Arial" w:eastAsia="Arial" w:hAnsi="Arial"/>
          <w:b w:val="false"/>
          <w:bCs w:val="false"/>
          <w:sz w:val="22"/>
          <w:szCs w:val="22"/>
        </w:rPr>
        <w:t xml:space="preserve">Tests live in a /tests directory at the module level. They run automatically on every deployment via the deploy script (STD-12).</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Build the feature, plan to test later</w:t>
      </w:r>
    </w:p>
    <w:p>
      <w:pPr>
        <w:spacing w:after="40" w:before="40"/>
      </w:pPr>
      <w:r>
        <w:rPr>
          <w:rFonts w:ascii="Courier New" w:cs="Courier New" w:eastAsia="Courier New" w:hAnsi="Courier New"/>
          <w:color w:val="1F3864"/>
          <w:sz w:val="18"/>
          <w:szCs w:val="18"/>
        </w:rPr>
        <w:t xml:space="preserve">async function getRents(tenantId) { return db.query('SELECT * FROM rents');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Test written first (fails), then feature built until test passes</w:t>
      </w:r>
    </w:p>
    <w:p>
      <w:pPr>
        <w:spacing w:after="40" w:before="40"/>
      </w:pPr>
      <w:r>
        <w:rPr>
          <w:rFonts w:ascii="Courier New" w:cs="Courier New" w:eastAsia="Courier New" w:hAnsi="Courier New"/>
          <w:color w:val="1F3864"/>
          <w:sz w:val="18"/>
          <w:szCs w:val="18"/>
        </w:rPr>
        <w:t xml:space="preserve">test('rejects wrong tenant', async () =&gt; {</w:t>
      </w:r>
    </w:p>
    <w:p>
      <w:pPr>
        <w:spacing w:after="40" w:before="40"/>
      </w:pPr>
      <w:r>
        <w:rPr>
          <w:rFonts w:ascii="Courier New" w:cs="Courier New" w:eastAsia="Courier New" w:hAnsi="Courier New"/>
          <w:color w:val="1F3864"/>
          <w:sz w:val="18"/>
          <w:szCs w:val="18"/>
        </w:rPr>
        <w:t xml:space="preserve">  const res = await api.get('/api/v1/rents', { headers: { tenant: 'WRONG_ID' } });</w:t>
      </w:r>
    </w:p>
    <w:p>
      <w:pPr>
        <w:spacing w:after="40" w:before="40"/>
      </w:pPr>
      <w:r>
        <w:rPr>
          <w:rFonts w:ascii="Courier New" w:cs="Courier New" w:eastAsia="Courier New" w:hAnsi="Courier New"/>
          <w:color w:val="1F3864"/>
          <w:sz w:val="18"/>
          <w:szCs w:val="18"/>
        </w:rPr>
        <w:t xml:space="preserve">  expect(res.status).toBe(403);</w:t>
      </w:r>
    </w:p>
    <w:p>
      <w:pPr>
        <w:spacing w:after="40" w:before="40"/>
      </w:pPr>
      <w:r>
        <w:rPr>
          <w:rFonts w:ascii="Courier New" w:cs="Courier New" w:eastAsia="Courier New" w:hAnsi="Courier New"/>
          <w:color w:val="1F3864"/>
          <w:sz w:val="18"/>
          <w:szCs w:val="18"/>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STD-04  MIGRATION FIRST — ALL SCHEMA CHANGES ARE FILES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Data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A database schema is a living document across 7 phases and 18+ months. Without migration files, nobody knows which SQL was run on the live server versus the development machine. By month 6, you will have schema drift. This makes every future change a gamble.</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Every schema change — new table, new column, index, constraint, RLS policy change — is a migration file created using node-pg-migrate.</w:t>
      </w:r>
    </w:p>
    <w:p>
      <w:pPr>
        <w:pStyle w:val="ListParagraph"/>
        <w:numPr>
          <w:ilvl w:val="0"/>
          <w:numId w:val="2"/>
        </w:numPr>
        <w:spacing w:after="60" w:before="60"/>
      </w:pPr>
      <w:r>
        <w:rPr>
          <w:rFonts w:ascii="Arial" w:cs="Arial" w:eastAsia="Arial" w:hAnsi="Arial"/>
          <w:b w:val="false"/>
          <w:bCs w:val="false"/>
          <w:sz w:val="22"/>
          <w:szCs w:val="22"/>
        </w:rPr>
        <w:t xml:space="preserve">Migration files are numbered sequentially and committed to the git repository before any application code that depends on them.</w:t>
      </w:r>
    </w:p>
    <w:p>
      <w:pPr>
        <w:pStyle w:val="ListParagraph"/>
        <w:numPr>
          <w:ilvl w:val="0"/>
          <w:numId w:val="2"/>
        </w:numPr>
        <w:spacing w:after="60" w:before="60"/>
      </w:pPr>
      <w:r>
        <w:rPr>
          <w:rFonts w:ascii="Arial" w:cs="Arial" w:eastAsia="Arial" w:hAnsi="Arial"/>
          <w:b w:val="false"/>
          <w:bCs w:val="false"/>
          <w:sz w:val="22"/>
          <w:szCs w:val="22"/>
        </w:rPr>
        <w:t xml:space="preserve">No manual SQL is ever run on the live production database outside of a migration file. No exceptions.</w:t>
      </w:r>
    </w:p>
    <w:p>
      <w:pPr>
        <w:pStyle w:val="ListParagraph"/>
        <w:numPr>
          <w:ilvl w:val="0"/>
          <w:numId w:val="2"/>
        </w:numPr>
        <w:spacing w:after="60" w:before="60"/>
      </w:pPr>
      <w:r>
        <w:rPr>
          <w:rFonts w:ascii="Arial" w:cs="Arial" w:eastAsia="Arial" w:hAnsi="Arial"/>
          <w:b w:val="false"/>
          <w:bCs w:val="false"/>
          <w:sz w:val="22"/>
          <w:szCs w:val="22"/>
        </w:rPr>
        <w:t xml:space="preserve">Migration files run automatically as part of the deploy script (STD-12) before the application restarts.</w:t>
      </w:r>
    </w:p>
    <w:p>
      <w:pPr>
        <w:pStyle w:val="ListParagraph"/>
        <w:numPr>
          <w:ilvl w:val="0"/>
          <w:numId w:val="2"/>
        </w:numPr>
        <w:spacing w:after="60" w:before="60"/>
      </w:pPr>
      <w:r>
        <w:rPr>
          <w:rFonts w:ascii="Arial" w:cs="Arial" w:eastAsia="Arial" w:hAnsi="Arial"/>
          <w:b w:val="false"/>
          <w:bCs w:val="false"/>
          <w:sz w:val="22"/>
          <w:szCs w:val="22"/>
        </w:rPr>
        <w:t xml:space="preserve">Rollback migrations are written alongside forward migrations for every change that could destroy data.</w:t>
      </w:r>
    </w:p>
    <w:p>
      <w:pPr>
        <w:pStyle w:val="ListParagraph"/>
        <w:numPr>
          <w:ilvl w:val="0"/>
          <w:numId w:val="2"/>
        </w:numPr>
        <w:spacing w:after="60" w:before="60"/>
      </w:pPr>
      <w:r>
        <w:rPr>
          <w:rFonts w:ascii="Arial" w:cs="Arial" w:eastAsia="Arial" w:hAnsi="Arial"/>
          <w:b w:val="false"/>
          <w:bCs w:val="false"/>
          <w:sz w:val="22"/>
          <w:szCs w:val="22"/>
        </w:rPr>
        <w:t xml:space="preserve">Migrations run against all five logical databases as appropriate — a migration for jag_commercial does not touch jag_core unless explicitly required.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Running ad-hoc SQL directly on production</w:t>
      </w:r>
    </w:p>
    <w:p>
      <w:pPr>
        <w:spacing w:after="40" w:before="40"/>
      </w:pPr>
      <w:r>
        <w:rPr>
          <w:rFonts w:ascii="Courier New" w:cs="Courier New" w:eastAsia="Courier New" w:hAnsi="Courier New"/>
          <w:color w:val="1F3864"/>
          <w:sz w:val="18"/>
          <w:szCs w:val="18"/>
        </w:rPr>
        <w:t xml:space="preserve">psql -c "ALTER TABLE rents ADD COLUMN late_fee NUMERIC;"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Create a migration file</w:t>
      </w:r>
    </w:p>
    <w:p>
      <w:pPr>
        <w:spacing w:after="40" w:before="40"/>
      </w:pPr>
      <w:r>
        <w:rPr>
          <w:rFonts w:ascii="Courier New" w:cs="Courier New" w:eastAsia="Courier New" w:hAnsi="Courier New"/>
          <w:color w:val="1F3864"/>
          <w:sz w:val="18"/>
          <w:szCs w:val="18"/>
        </w:rPr>
        <w:t xml:space="preserve">// migrations/20260522_001_add_late_fee_to_rents.js</w:t>
      </w:r>
    </w:p>
    <w:p>
      <w:pPr>
        <w:spacing w:after="40" w:before="40"/>
      </w:pPr>
      <w:r>
        <w:rPr>
          <w:rFonts w:ascii="Courier New" w:cs="Courier New" w:eastAsia="Courier New" w:hAnsi="Courier New"/>
          <w:color w:val="1F3864"/>
          <w:sz w:val="18"/>
          <w:szCs w:val="18"/>
        </w:rPr>
        <w:t xml:space="preserve">exports.up = async (db) =&gt; {</w:t>
      </w:r>
    </w:p>
    <w:p>
      <w:pPr>
        <w:spacing w:after="40" w:before="40"/>
      </w:pPr>
      <w:r>
        <w:rPr>
          <w:rFonts w:ascii="Courier New" w:cs="Courier New" w:eastAsia="Courier New" w:hAnsi="Courier New"/>
          <w:color w:val="1F3864"/>
          <w:sz w:val="18"/>
          <w:szCs w:val="18"/>
        </w:rPr>
        <w:t xml:space="preserve">  await db.addColumn('rents', 'late_fee', { type: 'numeric', notNull: false });</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exports.down = async (db) =&gt; { await db.removeColumn('rents', 'late_fee');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6"/>
                <w:szCs w:val="26"/>
              </w:rPr>
              <w:t xml:space="preserve">STD-05  API VERSIONING — ALL ENDPOINTS AT /api/v1/   </w:t>
            </w:r>
            <w:r>
              <w:rPr>
                <w:rFonts w:ascii="Arial" w:cs="Arial" w:eastAsia="Arial" w:hAnsi="Arial"/>
                <w:b/>
                <w:bCs/>
                <w:color w:val="1F3864"/>
                <w:sz w:val="22"/>
                <w:szCs w:val="22"/>
              </w:rPr>
              <w:t xml:space="preserve">[ARCHITECTURE]</w:t>
            </w:r>
          </w:p>
          <w:p>
            <w:pPr>
              <w:spacing w:before="60"/>
            </w:pPr>
            <w:r>
              <w:rPr>
                <w:rFonts w:ascii="Arial" w:cs="Arial" w:eastAsia="Arial" w:hAnsi="Arial"/>
                <w:i/>
                <w:iCs/>
                <w:color w:val="555555"/>
                <w:sz w:val="18"/>
                <w:szCs w:val="18"/>
              </w:rPr>
              <w:t xml:space="preserve">Category: API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Phase 1 endpoints will still be in use when Phase 4 modules are added. If an endpoint signature changes without versioning, existing integrations break silently. With 12+ modules all talking to JAG Holdings, a single unversioned breaking change can cascade across the entire platform.</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All API endpoints are prefixed with /api/v1/ from day one.</w:t>
      </w:r>
    </w:p>
    <w:p>
      <w:pPr>
        <w:pStyle w:val="ListParagraph"/>
        <w:numPr>
          <w:ilvl w:val="0"/>
          <w:numId w:val="2"/>
        </w:numPr>
        <w:spacing w:after="60" w:before="60"/>
      </w:pPr>
      <w:r>
        <w:rPr>
          <w:rFonts w:ascii="Arial" w:cs="Arial" w:eastAsia="Arial" w:hAnsi="Arial"/>
          <w:b w:val="false"/>
          <w:bCs w:val="false"/>
          <w:sz w:val="22"/>
          <w:szCs w:val="22"/>
        </w:rPr>
        <w:t xml:space="preserve">Breaking changes (changed response shape, removed fields, changed authentication) require a new version prefix (/api/v2/).</w:t>
      </w:r>
    </w:p>
    <w:p>
      <w:pPr>
        <w:pStyle w:val="ListParagraph"/>
        <w:numPr>
          <w:ilvl w:val="0"/>
          <w:numId w:val="2"/>
        </w:numPr>
        <w:spacing w:after="60" w:before="60"/>
      </w:pPr>
      <w:r>
        <w:rPr>
          <w:rFonts w:ascii="Arial" w:cs="Arial" w:eastAsia="Arial" w:hAnsi="Arial"/>
          <w:b w:val="false"/>
          <w:bCs w:val="false"/>
          <w:sz w:val="22"/>
          <w:szCs w:val="22"/>
        </w:rPr>
        <w:t xml:space="preserve">Old versions remain functional for a minimum of one full phase after the new version is released.</w:t>
      </w:r>
    </w:p>
    <w:p>
      <w:pPr>
        <w:pStyle w:val="ListParagraph"/>
        <w:numPr>
          <w:ilvl w:val="0"/>
          <w:numId w:val="2"/>
        </w:numPr>
        <w:spacing w:after="60" w:before="60"/>
      </w:pPr>
      <w:r>
        <w:rPr>
          <w:rFonts w:ascii="Arial" w:cs="Arial" w:eastAsia="Arial" w:hAnsi="Arial"/>
          <w:b w:val="false"/>
          <w:bCs w:val="false"/>
          <w:sz w:val="22"/>
          <w:szCs w:val="22"/>
        </w:rPr>
        <w:t xml:space="preserve">Internal module-to-module API calls follow the same versioning rules as external-facing APIs.</w:t>
      </w:r>
    </w:p>
    <w:p>
      <w:pPr>
        <w:pStyle w:val="ListParagraph"/>
        <w:numPr>
          <w:ilvl w:val="0"/>
          <w:numId w:val="2"/>
        </w:numPr>
        <w:spacing w:after="60" w:before="60"/>
      </w:pPr>
      <w:r>
        <w:rPr>
          <w:rFonts w:ascii="Arial" w:cs="Arial" w:eastAsia="Arial" w:hAnsi="Arial"/>
          <w:b w:val="false"/>
          <w:bCs w:val="false"/>
          <w:sz w:val="22"/>
          <w:szCs w:val="22"/>
        </w:rPr>
        <w:t xml:space="preserve">API contract changes are documented in the changelog before code is written.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Unversioned endpoint</w:t>
      </w:r>
    </w:p>
    <w:p>
      <w:pPr>
        <w:spacing w:after="40" w:before="40"/>
      </w:pPr>
      <w:r>
        <w:rPr>
          <w:rFonts w:ascii="Courier New" w:cs="Courier New" w:eastAsia="Courier New" w:hAnsi="Courier New"/>
          <w:color w:val="1F3864"/>
          <w:sz w:val="18"/>
          <w:szCs w:val="18"/>
        </w:rPr>
        <w:t xml:space="preserve">app.get('/rents', getRents);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Versioned from day one</w:t>
      </w:r>
    </w:p>
    <w:p>
      <w:pPr>
        <w:spacing w:after="40" w:before="40"/>
      </w:pPr>
      <w:r>
        <w:rPr>
          <w:rFonts w:ascii="Courier New" w:cs="Courier New" w:eastAsia="Courier New" w:hAnsi="Courier New"/>
          <w:color w:val="1F3864"/>
          <w:sz w:val="18"/>
          <w:szCs w:val="18"/>
        </w:rPr>
        <w:t xml:space="preserve">app.get('/api/v1/properties/rents', getRents);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6"/>
                <w:szCs w:val="26"/>
              </w:rPr>
              <w:t xml:space="preserve">STD-06  ERROR ENVELOPE — STANDARD API ERROR FORMAT   </w:t>
            </w:r>
            <w:r>
              <w:rPr>
                <w:rFonts w:ascii="Arial" w:cs="Arial" w:eastAsia="Arial" w:hAnsi="Arial"/>
                <w:b/>
                <w:bCs/>
                <w:color w:val="1F3864"/>
                <w:sz w:val="22"/>
                <w:szCs w:val="22"/>
              </w:rPr>
              <w:t xml:space="preserve">[ARCHITECTURE]</w:t>
            </w:r>
          </w:p>
          <w:p>
            <w:pPr>
              <w:spacing w:before="60"/>
            </w:pPr>
            <w:r>
              <w:rPr>
                <w:rFonts w:ascii="Arial" w:cs="Arial" w:eastAsia="Arial" w:hAnsi="Arial"/>
                <w:i/>
                <w:iCs/>
                <w:color w:val="555555"/>
                <w:sz w:val="18"/>
                <w:szCs w:val="18"/>
              </w:rPr>
              <w:t xml:space="preserve">Category: API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When errors are returned inconsistently — sometimes as plain strings, sometimes as HTTP status codes only, sometimes as raw stack traces — client code cannot reliably handle them. Mobile PWA users see cryptic errors. Raw stack traces exposed to clients are also a security risk.</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All API responses — success or error — use the standard JAG envelope format.</w:t>
      </w:r>
    </w:p>
    <w:p>
      <w:pPr>
        <w:pStyle w:val="ListParagraph"/>
        <w:numPr>
          <w:ilvl w:val="0"/>
          <w:numId w:val="2"/>
        </w:numPr>
        <w:spacing w:after="60" w:before="60"/>
      </w:pPr>
      <w:r>
        <w:rPr>
          <w:rFonts w:ascii="Arial" w:cs="Arial" w:eastAsia="Arial" w:hAnsi="Arial"/>
          <w:b w:val="false"/>
          <w:bCs w:val="false"/>
          <w:sz w:val="22"/>
          <w:szCs w:val="22"/>
        </w:rPr>
        <w:t xml:space="preserve">Success: { success: true, data: { ... } }</w:t>
      </w:r>
    </w:p>
    <w:p>
      <w:pPr>
        <w:pStyle w:val="ListParagraph"/>
        <w:numPr>
          <w:ilvl w:val="0"/>
          <w:numId w:val="2"/>
        </w:numPr>
        <w:spacing w:after="60" w:before="60"/>
      </w:pPr>
      <w:r>
        <w:rPr>
          <w:rFonts w:ascii="Arial" w:cs="Arial" w:eastAsia="Arial" w:hAnsi="Arial"/>
          <w:b w:val="false"/>
          <w:bCs w:val="false"/>
          <w:sz w:val="22"/>
          <w:szCs w:val="22"/>
        </w:rPr>
        <w:t xml:space="preserve">Error: { success: false, data: null, error: 'Human-readable message', code: 'ERROR_CODE_CONSTANT' }</w:t>
      </w:r>
    </w:p>
    <w:p>
      <w:pPr>
        <w:pStyle w:val="ListParagraph"/>
        <w:numPr>
          <w:ilvl w:val="0"/>
          <w:numId w:val="2"/>
        </w:numPr>
        <w:spacing w:after="60" w:before="60"/>
      </w:pPr>
      <w:r>
        <w:rPr>
          <w:rFonts w:ascii="Arial" w:cs="Arial" w:eastAsia="Arial" w:hAnsi="Arial"/>
          <w:b w:val="false"/>
          <w:bCs w:val="false"/>
          <w:sz w:val="22"/>
          <w:szCs w:val="22"/>
        </w:rPr>
        <w:t xml:space="preserve">HTTP status codes are used correctly: 200, 400, 401, 403, 404, 500.</w:t>
      </w:r>
    </w:p>
    <w:p>
      <w:pPr>
        <w:pStyle w:val="ListParagraph"/>
        <w:numPr>
          <w:ilvl w:val="0"/>
          <w:numId w:val="2"/>
        </w:numPr>
        <w:spacing w:after="60" w:before="60"/>
      </w:pPr>
      <w:r>
        <w:rPr>
          <w:rFonts w:ascii="Arial" w:cs="Arial" w:eastAsia="Arial" w:hAnsi="Arial"/>
          <w:b w:val="false"/>
          <w:bCs w:val="false"/>
          <w:sz w:val="22"/>
          <w:szCs w:val="22"/>
        </w:rPr>
        <w:t xml:space="preserve">Raw stack traces, database error messages, and internal paths are never included in API error responses sent to clients.</w:t>
      </w:r>
    </w:p>
    <w:p>
      <w:pPr>
        <w:pStyle w:val="ListParagraph"/>
        <w:numPr>
          <w:ilvl w:val="0"/>
          <w:numId w:val="2"/>
        </w:numPr>
        <w:spacing w:after="60" w:before="60"/>
      </w:pPr>
      <w:r>
        <w:rPr>
          <w:rFonts w:ascii="Arial" w:cs="Arial" w:eastAsia="Arial" w:hAnsi="Arial"/>
          <w:b w:val="false"/>
          <w:bCs w:val="false"/>
          <w:sz w:val="22"/>
          <w:szCs w:val="22"/>
        </w:rPr>
        <w:t xml:space="preserve">Detailed errors are logged server-side (STD-08) with full stack trace. The client receives only the human-readable message and error code.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Raw error thrown to client</w:t>
      </w:r>
    </w:p>
    <w:p>
      <w:pPr>
        <w:spacing w:after="40" w:before="40"/>
      </w:pPr>
      <w:r>
        <w:rPr>
          <w:rFonts w:ascii="Courier New" w:cs="Courier New" w:eastAsia="Courier New" w:hAnsi="Courier New"/>
          <w:color w:val="1F3864"/>
          <w:sz w:val="18"/>
          <w:szCs w:val="18"/>
        </w:rPr>
        <w:t xml:space="preserve">res.status(500).json({ error: err.stack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Standard envelope</w:t>
      </w:r>
    </w:p>
    <w:p>
      <w:pPr>
        <w:spacing w:after="40" w:before="40"/>
      </w:pPr>
      <w:r>
        <w:rPr>
          <w:rFonts w:ascii="Courier New" w:cs="Courier New" w:eastAsia="Courier New" w:hAnsi="Courier New"/>
          <w:color w:val="1F3864"/>
          <w:sz w:val="18"/>
          <w:szCs w:val="18"/>
        </w:rPr>
        <w:t xml:space="preserve">res.status(500).json({</w:t>
      </w:r>
    </w:p>
    <w:p>
      <w:pPr>
        <w:spacing w:after="40" w:before="40"/>
      </w:pPr>
      <w:r>
        <w:rPr>
          <w:rFonts w:ascii="Courier New" w:cs="Courier New" w:eastAsia="Courier New" w:hAnsi="Courier New"/>
          <w:color w:val="1F3864"/>
          <w:sz w:val="18"/>
          <w:szCs w:val="18"/>
        </w:rPr>
        <w:t xml:space="preserve">  success: false, data: null,</w:t>
      </w:r>
    </w:p>
    <w:p>
      <w:pPr>
        <w:spacing w:after="40" w:before="40"/>
      </w:pPr>
      <w:r>
        <w:rPr>
          <w:rFonts w:ascii="Courier New" w:cs="Courier New" w:eastAsia="Courier New" w:hAnsi="Courier New"/>
          <w:color w:val="1F3864"/>
          <w:sz w:val="18"/>
          <w:szCs w:val="18"/>
        </w:rPr>
        <w:t xml:space="preserve">  error: 'Failed to retrieve rent records. Please try again.',</w:t>
      </w:r>
    </w:p>
    <w:p>
      <w:pPr>
        <w:spacing w:after="40" w:before="40"/>
      </w:pPr>
      <w:r>
        <w:rPr>
          <w:rFonts w:ascii="Courier New" w:cs="Courier New" w:eastAsia="Courier New" w:hAnsi="Courier New"/>
          <w:color w:val="1F3864"/>
          <w:sz w:val="18"/>
          <w:szCs w:val="18"/>
        </w:rPr>
        <w:t xml:space="preserve">  code: 'RENTS_FETCH_ERROR'</w:t>
      </w:r>
    </w:p>
    <w:p>
      <w:pPr>
        <w:spacing w:after="40" w:before="40"/>
      </w:pPr>
      <w:r>
        <w:rPr>
          <w:rFonts w:ascii="Courier New" w:cs="Courier New" w:eastAsia="Courier New" w:hAnsi="Courier New"/>
          <w:color w:val="1F3864"/>
          <w:sz w:val="18"/>
          <w:szCs w:val="18"/>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STD-07  NO SECRETS IN CODE — ALL CREDENTIALS IN ENV / VAULT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Security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A single API key committed to a git repository can compromise an entire system. Oracle Vault exists specifically to store credentials securely. Credentials in code or in Docker Compose files are exposed to anyone who can read those files.</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All credentials, API keys, database passwords, JWT secrets, WiPay tokens, and encryption keys live in environment variables or Oracle Vault.</w:t>
      </w:r>
    </w:p>
    <w:p>
      <w:pPr>
        <w:pStyle w:val="ListParagraph"/>
        <w:numPr>
          <w:ilvl w:val="0"/>
          <w:numId w:val="2"/>
        </w:numPr>
        <w:spacing w:after="60" w:before="60"/>
      </w:pPr>
      <w:r>
        <w:rPr>
          <w:rFonts w:ascii="Arial" w:cs="Arial" w:eastAsia="Arial" w:hAnsi="Arial"/>
          <w:b w:val="false"/>
          <w:bCs w:val="false"/>
          <w:sz w:val="22"/>
          <w:szCs w:val="22"/>
        </w:rPr>
        <w:t xml:space="preserve">The .env file is in .gitignore. It is never committed to the git repository under any circumstances.</w:t>
      </w:r>
    </w:p>
    <w:p>
      <w:pPr>
        <w:pStyle w:val="ListParagraph"/>
        <w:numPr>
          <w:ilvl w:val="0"/>
          <w:numId w:val="2"/>
        </w:numPr>
        <w:spacing w:after="60" w:before="60"/>
      </w:pPr>
      <w:r>
        <w:rPr>
          <w:rFonts w:ascii="Arial" w:cs="Arial" w:eastAsia="Arial" w:hAnsi="Arial"/>
          <w:b w:val="false"/>
          <w:bCs w:val="false"/>
          <w:sz w:val="22"/>
          <w:szCs w:val="22"/>
        </w:rPr>
        <w:t xml:space="preserve">Docker Compose files reference env variables (${VARIABLE_NAME}) — they never contain literal credential values.</w:t>
      </w:r>
    </w:p>
    <w:p>
      <w:pPr>
        <w:pStyle w:val="ListParagraph"/>
        <w:numPr>
          <w:ilvl w:val="0"/>
          <w:numId w:val="2"/>
        </w:numPr>
        <w:spacing w:after="60" w:before="60"/>
      </w:pPr>
      <w:r>
        <w:rPr>
          <w:rFonts w:ascii="Arial" w:cs="Arial" w:eastAsia="Arial" w:hAnsi="Arial"/>
          <w:b w:val="false"/>
          <w:bCs w:val="false"/>
          <w:sz w:val="22"/>
          <w:szCs w:val="22"/>
        </w:rPr>
        <w:t xml:space="preserve">A git pre-commit hook scans for common credential patterns and blocks commits that contain them.</w:t>
      </w:r>
    </w:p>
    <w:p>
      <w:pPr>
        <w:pStyle w:val="ListParagraph"/>
        <w:numPr>
          <w:ilvl w:val="0"/>
          <w:numId w:val="2"/>
        </w:numPr>
        <w:spacing w:after="60" w:before="60"/>
      </w:pPr>
      <w:r>
        <w:rPr>
          <w:rFonts w:ascii="Arial" w:cs="Arial" w:eastAsia="Arial" w:hAnsi="Arial"/>
          <w:b w:val="false"/>
          <w:bCs w:val="false"/>
          <w:sz w:val="22"/>
          <w:szCs w:val="22"/>
        </w:rPr>
        <w:t xml:space="preserve">If a credential is accidentally committed, it is rotated immediately — not just removed from history.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Hardcoded credential</w:t>
      </w:r>
    </w:p>
    <w:p>
      <w:pPr>
        <w:spacing w:after="40" w:before="40"/>
      </w:pPr>
      <w:r>
        <w:rPr>
          <w:rFonts w:ascii="Courier New" w:cs="Courier New" w:eastAsia="Courier New" w:hAnsi="Courier New"/>
          <w:color w:val="1F3864"/>
          <w:sz w:val="18"/>
          <w:szCs w:val="18"/>
        </w:rPr>
        <w:t xml:space="preserve">const client = new WiPayClient({ apiKey: 'sk_live_abc123xyz'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From environment</w:t>
      </w:r>
    </w:p>
    <w:p>
      <w:pPr>
        <w:spacing w:after="40" w:before="40"/>
      </w:pPr>
      <w:r>
        <w:rPr>
          <w:rFonts w:ascii="Courier New" w:cs="Courier New" w:eastAsia="Courier New" w:hAnsi="Courier New"/>
          <w:color w:val="1F3864"/>
          <w:sz w:val="18"/>
          <w:szCs w:val="18"/>
        </w:rPr>
        <w:t xml:space="preserve">const client = new WiPayClient({ apiKey: process.env.WIPAY_API_KEY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6"/>
                <w:szCs w:val="26"/>
              </w:rPr>
              <w:t xml:space="preserve">STD-08  STRUCTURED LOGGING — JSON WITH REQUIRED FIELDS   </w:t>
            </w:r>
            <w:r>
              <w:rPr>
                <w:rFonts w:ascii="Arial" w:cs="Arial" w:eastAsia="Arial" w:hAnsi="Arial"/>
                <w:b/>
                <w:bCs/>
                <w:color w:val="1F3864"/>
                <w:sz w:val="22"/>
                <w:szCs w:val="22"/>
              </w:rPr>
              <w:t xml:space="preserve">[ARCHITECTURE]</w:t>
            </w:r>
          </w:p>
          <w:p>
            <w:pPr>
              <w:spacing w:before="60"/>
            </w:pPr>
            <w:r>
              <w:rPr>
                <w:rFonts w:ascii="Arial" w:cs="Arial" w:eastAsia="Arial" w:hAnsi="Arial"/>
                <w:i/>
                <w:iCs/>
                <w:color w:val="555555"/>
                <w:sz w:val="18"/>
                <w:szCs w:val="18"/>
              </w:rPr>
              <w:t xml:space="preserve">Category: Logging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When the tenant portal fails at 11pm or JAG Finance silently stops pulling FX rates, the diagnostic trail is everything. Unstructured log strings cannot be searched, filtered, or alerted on. Structured JSON logs can be aggregated by Loki, alerted on by Grafana, and filtered by any dimension.</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Every server-side log event is a JSON object — never a plain string.</w:t>
      </w:r>
    </w:p>
    <w:p>
      <w:pPr>
        <w:pStyle w:val="ListParagraph"/>
        <w:numPr>
          <w:ilvl w:val="0"/>
          <w:numId w:val="2"/>
        </w:numPr>
        <w:spacing w:after="60" w:before="60"/>
      </w:pPr>
      <w:r>
        <w:rPr>
          <w:rFonts w:ascii="Arial" w:cs="Arial" w:eastAsia="Arial" w:hAnsi="Arial"/>
          <w:b w:val="false"/>
          <w:bCs w:val="false"/>
          <w:sz w:val="22"/>
          <w:szCs w:val="22"/>
        </w:rPr>
        <w:t xml:space="preserve">Required fields on every log entry: timestamp (ISO 8601), severity (DEBUG/INFO/WARN/ERROR), entity, action, user_id, tenant_id.</w:t>
      </w:r>
    </w:p>
    <w:p>
      <w:pPr>
        <w:pStyle w:val="ListParagraph"/>
        <w:numPr>
          <w:ilvl w:val="0"/>
          <w:numId w:val="2"/>
        </w:numPr>
        <w:spacing w:after="60" w:before="60"/>
      </w:pPr>
      <w:r>
        <w:rPr>
          <w:rFonts w:ascii="Arial" w:cs="Arial" w:eastAsia="Arial" w:hAnsi="Arial"/>
          <w:b w:val="false"/>
          <w:bCs w:val="false"/>
          <w:sz w:val="22"/>
          <w:szCs w:val="22"/>
        </w:rPr>
        <w:t xml:space="preserve">Errors include: error_code, error_message, stack (server-side only — never sent to client per STD-06).</w:t>
      </w:r>
    </w:p>
    <w:p>
      <w:pPr>
        <w:pStyle w:val="ListParagraph"/>
        <w:numPr>
          <w:ilvl w:val="0"/>
          <w:numId w:val="2"/>
        </w:numPr>
        <w:spacing w:after="60" w:before="60"/>
      </w:pPr>
      <w:r>
        <w:rPr>
          <w:rFonts w:ascii="Arial" w:cs="Arial" w:eastAsia="Arial" w:hAnsi="Arial"/>
          <w:b w:val="false"/>
          <w:bCs w:val="false"/>
          <w:sz w:val="22"/>
          <w:szCs w:val="22"/>
        </w:rPr>
        <w:t xml:space="preserve">Financial events are always logged at INFO level with full transaction details — amount, currency, entity, account.</w:t>
      </w:r>
    </w:p>
    <w:p>
      <w:pPr>
        <w:pStyle w:val="ListParagraph"/>
        <w:numPr>
          <w:ilvl w:val="0"/>
          <w:numId w:val="2"/>
        </w:numPr>
        <w:spacing w:after="60" w:before="60"/>
      </w:pPr>
      <w:r>
        <w:rPr>
          <w:rFonts w:ascii="Arial" w:cs="Arial" w:eastAsia="Arial" w:hAnsi="Arial"/>
          <w:b w:val="false"/>
          <w:bCs w:val="false"/>
          <w:sz w:val="22"/>
          <w:szCs w:val="22"/>
        </w:rPr>
        <w:t xml:space="preserve">No console.log() in production code. Use the JAG logger module (structured JSON wrapper) exclusively.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Unstructured string log</w:t>
      </w:r>
    </w:p>
    <w:p>
      <w:pPr>
        <w:spacing w:after="40" w:before="40"/>
      </w:pPr>
      <w:r>
        <w:rPr>
          <w:rFonts w:ascii="Courier New" w:cs="Courier New" w:eastAsia="Courier New" w:hAnsi="Courier New"/>
          <w:color w:val="1F3864"/>
          <w:sz w:val="18"/>
          <w:szCs w:val="18"/>
        </w:rPr>
        <w:t xml:space="preserve">console.log('Error: rent payment failed for tenant 456');</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Structured JSON via JAG logger</w:t>
      </w:r>
    </w:p>
    <w:p>
      <w:pPr>
        <w:spacing w:after="40" w:before="40"/>
      </w:pPr>
      <w:r>
        <w:rPr>
          <w:rFonts w:ascii="Courier New" w:cs="Courier New" w:eastAsia="Courier New" w:hAnsi="Courier New"/>
          <w:color w:val="1F3864"/>
          <w:sz w:val="18"/>
          <w:szCs w:val="18"/>
        </w:rPr>
        <w:t xml:space="preserve">logger.error({</w:t>
      </w:r>
    </w:p>
    <w:p>
      <w:pPr>
        <w:spacing w:after="40" w:before="40"/>
      </w:pPr>
      <w:r>
        <w:rPr>
          <w:rFonts w:ascii="Courier New" w:cs="Courier New" w:eastAsia="Courier New" w:hAnsi="Courier New"/>
          <w:color w:val="1F3864"/>
          <w:sz w:val="18"/>
          <w:szCs w:val="18"/>
        </w:rPr>
        <w:t xml:space="preserve">  entity: 'PROPS', action: 'RENT_PAYMENT_FAILED',</w:t>
      </w:r>
    </w:p>
    <w:p>
      <w:pPr>
        <w:spacing w:after="40" w:before="40"/>
      </w:pPr>
      <w:r>
        <w:rPr>
          <w:rFonts w:ascii="Courier New" w:cs="Courier New" w:eastAsia="Courier New" w:hAnsi="Courier New"/>
          <w:color w:val="1F3864"/>
          <w:sz w:val="18"/>
          <w:szCs w:val="18"/>
        </w:rPr>
        <w:t xml:space="preserve">  user_id: userId, tenant_id: tenantId,</w:t>
      </w:r>
    </w:p>
    <w:p>
      <w:pPr>
        <w:spacing w:after="40" w:before="40"/>
      </w:pPr>
      <w:r>
        <w:rPr>
          <w:rFonts w:ascii="Courier New" w:cs="Courier New" w:eastAsia="Courier New" w:hAnsi="Courier New"/>
          <w:color w:val="1F3864"/>
          <w:sz w:val="18"/>
          <w:szCs w:val="18"/>
        </w:rPr>
        <w:t xml:space="preserve">  error_code: 'WIPAY_WEBHOOK_TIMEOUT',</w:t>
      </w:r>
    </w:p>
    <w:p>
      <w:pPr>
        <w:spacing w:after="40" w:before="40"/>
      </w:pPr>
      <w:r>
        <w:rPr>
          <w:rFonts w:ascii="Courier New" w:cs="Courier New" w:eastAsia="Courier New" w:hAnsi="Courier New"/>
          <w:color w:val="1F3864"/>
          <w:sz w:val="18"/>
          <w:szCs w:val="18"/>
        </w:rPr>
        <w:t xml:space="preserve">  amount: 2500.00, currency: 'TTD'</w:t>
      </w:r>
    </w:p>
    <w:p>
      <w:pPr>
        <w:spacing w:after="40" w:before="40"/>
      </w:pPr>
      <w:r>
        <w:rPr>
          <w:rFonts w:ascii="Courier New" w:cs="Courier New" w:eastAsia="Courier New" w:hAnsi="Courier New"/>
          <w:color w:val="1F3864"/>
          <w:sz w:val="18"/>
          <w:szCs w:val="18"/>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6"/>
                <w:szCs w:val="26"/>
              </w:rPr>
              <w:t xml:space="preserve">STD-09  TYPESCRIPT STRICT MODE — NO EXCEPTIONS   </w:t>
            </w:r>
            <w:r>
              <w:rPr>
                <w:rFonts w:ascii="Arial" w:cs="Arial" w:eastAsia="Arial" w:hAnsi="Arial"/>
                <w:b/>
                <w:bCs/>
                <w:color w:val="1F3864"/>
                <w:sz w:val="22"/>
                <w:szCs w:val="22"/>
              </w:rPr>
              <w:t xml:space="preserve">[ARCHITECTURE]</w:t>
            </w:r>
          </w:p>
          <w:p>
            <w:pPr>
              <w:spacing w:before="60"/>
            </w:pPr>
            <w:r>
              <w:rPr>
                <w:rFonts w:ascii="Arial" w:cs="Arial" w:eastAsia="Arial" w:hAnsi="Arial"/>
                <w:i/>
                <w:iCs/>
                <w:color w:val="555555"/>
                <w:sz w:val="18"/>
                <w:szCs w:val="18"/>
              </w:rPr>
              <w:t xml:space="preserve">Category: Data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TypeScript strict mode catches entire classes of bugs at compile time: null pointer exceptions, type mismatches, missing return paths, implicit any types. In a financial system handling 20+ bank accounts, multiple currencies, and complex intercompany transactions, type safety is not optional.</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tsconfig.json has strict: true in all projects — no exceptions.</w:t>
      </w:r>
    </w:p>
    <w:p>
      <w:pPr>
        <w:pStyle w:val="ListParagraph"/>
        <w:numPr>
          <w:ilvl w:val="0"/>
          <w:numId w:val="2"/>
        </w:numPr>
        <w:spacing w:after="60" w:before="60"/>
      </w:pPr>
      <w:r>
        <w:rPr>
          <w:rFonts w:ascii="Arial" w:cs="Arial" w:eastAsia="Arial" w:hAnsi="Arial"/>
          <w:b w:val="false"/>
          <w:bCs w:val="false"/>
          <w:sz w:val="22"/>
          <w:szCs w:val="22"/>
        </w:rPr>
        <w:t xml:space="preserve">No any types anywhere in the codebase. Use unknown and narrow types explicitly.</w:t>
      </w:r>
    </w:p>
    <w:p>
      <w:pPr>
        <w:pStyle w:val="ListParagraph"/>
        <w:numPr>
          <w:ilvl w:val="0"/>
          <w:numId w:val="2"/>
        </w:numPr>
        <w:spacing w:after="60" w:before="60"/>
      </w:pPr>
      <w:r>
        <w:rPr>
          <w:rFonts w:ascii="Arial" w:cs="Arial" w:eastAsia="Arial" w:hAnsi="Arial"/>
          <w:b w:val="false"/>
          <w:bCs w:val="false"/>
          <w:sz w:val="22"/>
          <w:szCs w:val="22"/>
        </w:rPr>
        <w:t xml:space="preserve">No non-null assertions (!.) unless accompanied by a comment explaining why the value is guaranteed non-null.</w:t>
      </w:r>
    </w:p>
    <w:p>
      <w:pPr>
        <w:pStyle w:val="ListParagraph"/>
        <w:numPr>
          <w:ilvl w:val="0"/>
          <w:numId w:val="2"/>
        </w:numPr>
        <w:spacing w:after="60" w:before="60"/>
      </w:pPr>
      <w:r>
        <w:rPr>
          <w:rFonts w:ascii="Arial" w:cs="Arial" w:eastAsia="Arial" w:hAnsi="Arial"/>
          <w:b w:val="false"/>
          <w:bCs w:val="false"/>
          <w:sz w:val="22"/>
          <w:szCs w:val="22"/>
        </w:rPr>
        <w:t xml:space="preserve">All database query results are typed using generated types from the schema.</w:t>
      </w:r>
    </w:p>
    <w:p>
      <w:pPr>
        <w:pStyle w:val="ListParagraph"/>
        <w:numPr>
          <w:ilvl w:val="0"/>
          <w:numId w:val="2"/>
        </w:numPr>
        <w:spacing w:after="60" w:before="60"/>
      </w:pPr>
      <w:r>
        <w:rPr>
          <w:rFonts w:ascii="Arial" w:cs="Arial" w:eastAsia="Arial" w:hAnsi="Arial"/>
          <w:b w:val="false"/>
          <w:bCs w:val="false"/>
          <w:sz w:val="22"/>
          <w:szCs w:val="22"/>
        </w:rPr>
        <w:t xml:space="preserve">Financial amounts are always typed as number in TypeScript and NUMERIC in PostgreSQL — never string, never float for currency.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Implicit any, no type safety</w:t>
      </w:r>
    </w:p>
    <w:p>
      <w:pPr>
        <w:spacing w:after="40" w:before="40"/>
      </w:pPr>
      <w:r>
        <w:rPr>
          <w:rFonts w:ascii="Courier New" w:cs="Courier New" w:eastAsia="Courier New" w:hAnsi="Courier New"/>
          <w:color w:val="1F3864"/>
          <w:sz w:val="18"/>
          <w:szCs w:val="18"/>
        </w:rPr>
        <w:t xml:space="preserve">function processPayment(data: any) { return data.amount * data.rate;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Strict typing</w:t>
      </w:r>
    </w:p>
    <w:p>
      <w:pPr>
        <w:spacing w:after="40" w:before="40"/>
      </w:pPr>
      <w:r>
        <w:rPr>
          <w:rFonts w:ascii="Courier New" w:cs="Courier New" w:eastAsia="Courier New" w:hAnsi="Courier New"/>
          <w:color w:val="1F3864"/>
          <w:sz w:val="18"/>
          <w:szCs w:val="18"/>
        </w:rPr>
        <w:t xml:space="preserve">interface PaymentData { amount: number; currency: 'TTD' | 'USD' | 'CNY'; exchangeRate: number; }</w:t>
      </w:r>
    </w:p>
    <w:p>
      <w:pPr>
        <w:spacing w:after="40" w:before="40"/>
      </w:pPr>
      <w:r>
        <w:rPr>
          <w:rFonts w:ascii="Courier New" w:cs="Courier New" w:eastAsia="Courier New" w:hAnsi="Courier New"/>
          <w:color w:val="1F3864"/>
          <w:sz w:val="18"/>
          <w:szCs w:val="18"/>
        </w:rPr>
        <w:t xml:space="preserve">function processPayment(data: PaymentData): number {</w:t>
      </w:r>
    </w:p>
    <w:p>
      <w:pPr>
        <w:spacing w:after="40" w:before="40"/>
      </w:pPr>
      <w:r>
        <w:rPr>
          <w:rFonts w:ascii="Courier New" w:cs="Courier New" w:eastAsia="Courier New" w:hAnsi="Courier New"/>
          <w:color w:val="1F3864"/>
          <w:sz w:val="18"/>
          <w:szCs w:val="18"/>
        </w:rPr>
        <w:t xml:space="preserve">  return data.amount * data.exchangeRate;</w:t>
      </w:r>
    </w:p>
    <w:p>
      <w:pPr>
        <w:spacing w:after="40" w:before="40"/>
      </w:pPr>
      <w:r>
        <w:rPr>
          <w:rFonts w:ascii="Courier New" w:cs="Courier New" w:eastAsia="Courier New" w:hAnsi="Courier New"/>
          <w:color w:val="1F3864"/>
          <w:sz w:val="18"/>
          <w:szCs w:val="18"/>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STD-10  INPUT VALIDATION — ZOD SCHEMAS ON ALL USER INPUT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Security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SQL injection, malformed financial amounts, invalid tenant IDs, and date format attacks all exploit unvalidated input. In a system where JABCO foremen scan QR codes on mobile, Brian uploads bank statements, and tenants submit rent payments, user input comes from many sources with varying reliability.</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All API endpoint inputs (body, query params, path params) are validated with a Zod schema before any business logic runs.</w:t>
      </w:r>
    </w:p>
    <w:p>
      <w:pPr>
        <w:pStyle w:val="ListParagraph"/>
        <w:numPr>
          <w:ilvl w:val="0"/>
          <w:numId w:val="2"/>
        </w:numPr>
        <w:spacing w:after="60" w:before="60"/>
      </w:pPr>
      <w:r>
        <w:rPr>
          <w:rFonts w:ascii="Arial" w:cs="Arial" w:eastAsia="Arial" w:hAnsi="Arial"/>
          <w:b w:val="false"/>
          <w:bCs w:val="false"/>
          <w:sz w:val="22"/>
          <w:szCs w:val="22"/>
        </w:rPr>
        <w:t xml:space="preserve">Validation happens server-side always — client-side validation is UX convenience only, not security.</w:t>
      </w:r>
    </w:p>
    <w:p>
      <w:pPr>
        <w:pStyle w:val="ListParagraph"/>
        <w:numPr>
          <w:ilvl w:val="0"/>
          <w:numId w:val="2"/>
        </w:numPr>
        <w:spacing w:after="60" w:before="60"/>
      </w:pPr>
      <w:r>
        <w:rPr>
          <w:rFonts w:ascii="Arial" w:cs="Arial" w:eastAsia="Arial" w:hAnsi="Arial"/>
          <w:b w:val="false"/>
          <w:bCs w:val="false"/>
          <w:sz w:val="22"/>
          <w:szCs w:val="22"/>
        </w:rPr>
        <w:t xml:space="preserve">Invalid input returns HTTP 400 with a descriptive error message (STD-06 envelope) listing what failed validation.</w:t>
      </w:r>
    </w:p>
    <w:p>
      <w:pPr>
        <w:pStyle w:val="ListParagraph"/>
        <w:numPr>
          <w:ilvl w:val="0"/>
          <w:numId w:val="2"/>
        </w:numPr>
        <w:spacing w:after="60" w:before="60"/>
      </w:pPr>
      <w:r>
        <w:rPr>
          <w:rFonts w:ascii="Arial" w:cs="Arial" w:eastAsia="Arial" w:hAnsi="Arial"/>
          <w:b w:val="false"/>
          <w:bCs w:val="false"/>
          <w:sz w:val="22"/>
          <w:szCs w:val="22"/>
        </w:rPr>
        <w:t xml:space="preserve">Financial amounts are validated as positive numbers with maximum precision of 2 decimal places.</w:t>
      </w:r>
    </w:p>
    <w:p>
      <w:pPr>
        <w:pStyle w:val="ListParagraph"/>
        <w:numPr>
          <w:ilvl w:val="0"/>
          <w:numId w:val="2"/>
        </w:numPr>
        <w:spacing w:after="60" w:before="60"/>
      </w:pPr>
      <w:r>
        <w:rPr>
          <w:rFonts w:ascii="Arial" w:cs="Arial" w:eastAsia="Arial" w:hAnsi="Arial"/>
          <w:b w:val="false"/>
          <w:bCs w:val="false"/>
          <w:sz w:val="22"/>
          <w:szCs w:val="22"/>
        </w:rPr>
        <w:t xml:space="preserve">File uploads (bank statements, photos, AutoCAD drawings) are validated for MIME type, file size limit, and entity ownership before processing.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Direct DB insert from unvalidated input</w:t>
      </w:r>
    </w:p>
    <w:p>
      <w:pPr>
        <w:spacing w:after="40" w:before="40"/>
      </w:pPr>
      <w:r>
        <w:rPr>
          <w:rFonts w:ascii="Courier New" w:cs="Courier New" w:eastAsia="Courier New" w:hAnsi="Courier New"/>
          <w:color w:val="1F3864"/>
          <w:sz w:val="18"/>
          <w:szCs w:val="18"/>
        </w:rPr>
        <w:t xml:space="preserve">await db.query('INSERT INTO payments (amount) VALUES ($1)', [req.body.amount]);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Zod validation before DB</w:t>
      </w:r>
    </w:p>
    <w:p>
      <w:pPr>
        <w:spacing w:after="40" w:before="40"/>
      </w:pPr>
      <w:r>
        <w:rPr>
          <w:rFonts w:ascii="Courier New" w:cs="Courier New" w:eastAsia="Courier New" w:hAnsi="Courier New"/>
          <w:color w:val="1F3864"/>
          <w:sz w:val="18"/>
          <w:szCs w:val="18"/>
        </w:rPr>
        <w:t xml:space="preserve">const PaymentSchema = z.object({</w:t>
      </w:r>
    </w:p>
    <w:p>
      <w:pPr>
        <w:spacing w:after="40" w:before="40"/>
      </w:pPr>
      <w:r>
        <w:rPr>
          <w:rFonts w:ascii="Courier New" w:cs="Courier New" w:eastAsia="Courier New" w:hAnsi="Courier New"/>
          <w:color w:val="1F3864"/>
          <w:sz w:val="18"/>
          <w:szCs w:val="18"/>
        </w:rPr>
        <w:t xml:space="preserve">  amount: z.number().positive().multipleOf(0.01),</w:t>
      </w:r>
    </w:p>
    <w:p>
      <w:pPr>
        <w:spacing w:after="40" w:before="40"/>
      </w:pPr>
      <w:r>
        <w:rPr>
          <w:rFonts w:ascii="Courier New" w:cs="Courier New" w:eastAsia="Courier New" w:hAnsi="Courier New"/>
          <w:color w:val="1F3864"/>
          <w:sz w:val="18"/>
          <w:szCs w:val="18"/>
        </w:rPr>
        <w:t xml:space="preserve">  currency: z.enum(['TTD', 'USD', 'CNY']),</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const parsed = PaymentSchema.safeParse(req.body);</w:t>
      </w:r>
    </w:p>
    <w:p>
      <w:pPr>
        <w:spacing w:after="40" w:before="40"/>
      </w:pPr>
      <w:r>
        <w:rPr>
          <w:rFonts w:ascii="Courier New" w:cs="Courier New" w:eastAsia="Courier New" w:hAnsi="Courier New"/>
          <w:color w:val="1F3864"/>
          <w:sz w:val="18"/>
          <w:szCs w:val="18"/>
        </w:rPr>
        <w:t xml:space="preserve">if (!parsed.success) return res.status(400).json({ success: false, error: parsed.error.message, code: 'VALIDATION_ERROR'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STD-11  IDEMPOTENT FINANCIAL OPERATIONS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Data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Financial operations are the highest-risk category for duplicate execution. A WiPay webhook may fire twice if the first delivery times out. A user may double-tap a payment button on mobile. A retry after a network failure may re-submit a transaction. Without idempotency keys, these scenarios double-post financial records.</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Every financial write operation (payment received, expense posted, intercompany charge, FX conversion) includes a client-generated idempotency key.</w:t>
      </w:r>
    </w:p>
    <w:p>
      <w:pPr>
        <w:pStyle w:val="ListParagraph"/>
        <w:numPr>
          <w:ilvl w:val="0"/>
          <w:numId w:val="2"/>
        </w:numPr>
        <w:spacing w:after="60" w:before="60"/>
      </w:pPr>
      <w:r>
        <w:rPr>
          <w:rFonts w:ascii="Arial" w:cs="Arial" w:eastAsia="Arial" w:hAnsi="Arial"/>
          <w:b w:val="false"/>
          <w:bCs w:val="false"/>
          <w:sz w:val="22"/>
          <w:szCs w:val="22"/>
        </w:rPr>
        <w:t xml:space="preserve">The server stores idempotency keys with a TTL of 24 hours. If the same key arrives twice, the second request returns the result of the first — without executing the operation again.</w:t>
      </w:r>
    </w:p>
    <w:p>
      <w:pPr>
        <w:pStyle w:val="ListParagraph"/>
        <w:numPr>
          <w:ilvl w:val="0"/>
          <w:numId w:val="2"/>
        </w:numPr>
        <w:spacing w:after="60" w:before="60"/>
      </w:pPr>
      <w:r>
        <w:rPr>
          <w:rFonts w:ascii="Arial" w:cs="Arial" w:eastAsia="Arial" w:hAnsi="Arial"/>
          <w:b w:val="false"/>
          <w:bCs w:val="false"/>
          <w:sz w:val="22"/>
          <w:szCs w:val="22"/>
        </w:rPr>
        <w:t xml:space="preserve">WiPay webhooks, bank statement imports, and manual transaction entries all carry idempotency protection.</w:t>
      </w:r>
    </w:p>
    <w:p>
      <w:pPr>
        <w:pStyle w:val="ListParagraph"/>
        <w:numPr>
          <w:ilvl w:val="0"/>
          <w:numId w:val="2"/>
        </w:numPr>
        <w:spacing w:after="60" w:before="60"/>
      </w:pPr>
      <w:r>
        <w:rPr>
          <w:rFonts w:ascii="Arial" w:cs="Arial" w:eastAsia="Arial" w:hAnsi="Arial"/>
          <w:b w:val="false"/>
          <w:bCs w:val="false"/>
          <w:sz w:val="22"/>
          <w:szCs w:val="22"/>
        </w:rPr>
        <w:t xml:space="preserve">Idempotency keys are UUIDs generated by the client — never generated by the server.</w:t>
      </w:r>
    </w:p>
    <w:p>
      <w:pPr>
        <w:pStyle w:val="ListParagraph"/>
        <w:numPr>
          <w:ilvl w:val="0"/>
          <w:numId w:val="2"/>
        </w:numPr>
        <w:spacing w:after="60" w:before="60"/>
      </w:pPr>
      <w:r>
        <w:rPr>
          <w:rFonts w:ascii="Arial" w:cs="Arial" w:eastAsia="Arial" w:hAnsi="Arial"/>
          <w:b w:val="false"/>
          <w:bCs w:val="false"/>
          <w:sz w:val="22"/>
          <w:szCs w:val="22"/>
        </w:rPr>
        <w:t xml:space="preserve">Failed financial operations are retried with the same idempotency key — never with a new 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No idempotency — double webhook fires twice</w:t>
      </w:r>
    </w:p>
    <w:p>
      <w:pPr>
        <w:spacing w:after="40" w:before="40"/>
      </w:pPr>
      <w:r>
        <w:rPr>
          <w:rFonts w:ascii="Courier New" w:cs="Courier New" w:eastAsia="Courier New" w:hAnsi="Courier New"/>
          <w:color w:val="1F3864"/>
          <w:sz w:val="18"/>
          <w:szCs w:val="18"/>
        </w:rPr>
        <w:t xml:space="preserve">await db.query('INSERT INTO payments (amount, tenant) VALUES ($1, $2)', [amount, tenantId]);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Idempotency key check before insert</w:t>
      </w:r>
    </w:p>
    <w:p>
      <w:pPr>
        <w:spacing w:after="40" w:before="40"/>
      </w:pPr>
      <w:r>
        <w:rPr>
          <w:rFonts w:ascii="Courier New" w:cs="Courier New" w:eastAsia="Courier New" w:hAnsi="Courier New"/>
          <w:color w:val="1F3864"/>
          <w:sz w:val="18"/>
          <w:szCs w:val="18"/>
        </w:rPr>
        <w:t xml:space="preserve">const existing = await db.query('SELECT id FROM payments WHERE idempotency_key = $1', [key]);</w:t>
      </w:r>
    </w:p>
    <w:p>
      <w:pPr>
        <w:spacing w:after="40" w:before="40"/>
      </w:pPr>
      <w:r>
        <w:rPr>
          <w:rFonts w:ascii="Courier New" w:cs="Courier New" w:eastAsia="Courier New" w:hAnsi="Courier New"/>
          <w:color w:val="1F3864"/>
          <w:sz w:val="18"/>
          <w:szCs w:val="18"/>
        </w:rPr>
        <w:t xml:space="preserve">if (existing.rows.length &gt; 0) return res.json({ success: true, data: existing.rows[0] });</w:t>
      </w:r>
    </w:p>
    <w:p>
      <w:pPr>
        <w:spacing w:after="40" w:before="40"/>
      </w:pPr>
      <w:r>
        <w:rPr>
          <w:rFonts w:ascii="Courier New" w:cs="Courier New" w:eastAsia="Courier New" w:hAnsi="Courier New"/>
          <w:color w:val="1F3864"/>
          <w:sz w:val="18"/>
          <w:szCs w:val="18"/>
        </w:rPr>
        <w:t xml:space="preserve">await db.query('INSERT INTO payments (amount, tenant, idempotency_key) VALUES ($1, $2, $3)', [amount, tenantId, key]);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8B0000"/>
                <w:sz w:val="26"/>
                <w:szCs w:val="26"/>
              </w:rPr>
              <w:t xml:space="preserve">STD-12  DEPLOY GATE — THREE CONDITIONS TO SHIP   </w:t>
            </w:r>
            <w:r>
              <w:rPr>
                <w:rFonts w:ascii="Arial" w:cs="Arial" w:eastAsia="Arial" w:hAnsi="Arial"/>
                <w:b/>
                <w:bCs/>
                <w:color w:val="8B0000"/>
                <w:sz w:val="22"/>
                <w:szCs w:val="22"/>
              </w:rPr>
              <w:t xml:space="preserve">[HARD RULE]</w:t>
            </w:r>
          </w:p>
          <w:p>
            <w:pPr>
              <w:spacing w:before="60"/>
            </w:pPr>
            <w:r>
              <w:rPr>
                <w:rFonts w:ascii="Arial" w:cs="Arial" w:eastAsia="Arial" w:hAnsi="Arial"/>
                <w:i/>
                <w:iCs/>
                <w:color w:val="555555"/>
                <w:sz w:val="18"/>
                <w:szCs w:val="18"/>
              </w:rPr>
              <w:t xml:space="preserve">Category: Deployment   Origin: Enforced by: Claude</w:t>
            </w:r>
          </w:p>
        </w:tc>
      </w:tr>
    </w:tbl>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Manual deployments under time pressure produce the most bugs. A 'quick fix' pushed directly to production at 9pm that skips tests and migrations is the most common cause of data corruption and extended outages. The deploy gate makes it structurally impossible to ship code that hasn't been validated.</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Code goes to production only via the automated deploy script — never via manual git pull and docker restart.</w:t>
      </w:r>
    </w:p>
    <w:p>
      <w:pPr>
        <w:pStyle w:val="ListParagraph"/>
        <w:numPr>
          <w:ilvl w:val="0"/>
          <w:numId w:val="2"/>
        </w:numPr>
        <w:spacing w:after="60" w:before="60"/>
      </w:pPr>
      <w:r>
        <w:rPr>
          <w:rFonts w:ascii="Arial" w:cs="Arial" w:eastAsia="Arial" w:hAnsi="Arial"/>
          <w:b w:val="false"/>
          <w:bCs w:val="false"/>
          <w:sz w:val="22"/>
          <w:szCs w:val="22"/>
        </w:rPr>
        <w:t xml:space="preserve">The deploy script enforces three gates in sequence: (1) all automated tests pass, (2) database migrations run successfully, (3) Robert has approved the deployment.</w:t>
      </w:r>
    </w:p>
    <w:p>
      <w:pPr>
        <w:pStyle w:val="ListParagraph"/>
        <w:numPr>
          <w:ilvl w:val="0"/>
          <w:numId w:val="2"/>
        </w:numPr>
        <w:spacing w:after="60" w:before="60"/>
      </w:pPr>
      <w:r>
        <w:rPr>
          <w:rFonts w:ascii="Arial" w:cs="Arial" w:eastAsia="Arial" w:hAnsi="Arial"/>
          <w:b w:val="false"/>
          <w:bCs w:val="false"/>
          <w:sz w:val="22"/>
          <w:szCs w:val="22"/>
        </w:rPr>
        <w:t xml:space="preserve">If any gate fails, the deployment stops and rolls back automatically to the last known-good state.</w:t>
      </w:r>
    </w:p>
    <w:p>
      <w:pPr>
        <w:pStyle w:val="ListParagraph"/>
        <w:numPr>
          <w:ilvl w:val="0"/>
          <w:numId w:val="2"/>
        </w:numPr>
        <w:spacing w:after="60" w:before="60"/>
      </w:pPr>
      <w:r>
        <w:rPr>
          <w:rFonts w:ascii="Arial" w:cs="Arial" w:eastAsia="Arial" w:hAnsi="Arial"/>
          <w:b w:val="false"/>
          <w:bCs w:val="false"/>
          <w:sz w:val="22"/>
          <w:szCs w:val="22"/>
        </w:rPr>
        <w:t xml:space="preserve">Hotfixes follow the same gate process — the only difference is that Robert approves verbally and documents it within 24 hours.</w:t>
      </w:r>
    </w:p>
    <w:p>
      <w:pPr>
        <w:pStyle w:val="ListParagraph"/>
        <w:numPr>
          <w:ilvl w:val="0"/>
          <w:numId w:val="2"/>
        </w:numPr>
        <w:spacing w:after="60" w:before="60"/>
      </w:pPr>
      <w:r>
        <w:rPr>
          <w:rFonts w:ascii="Arial" w:cs="Arial" w:eastAsia="Arial" w:hAnsi="Arial"/>
          <w:b w:val="false"/>
          <w:bCs w:val="false"/>
          <w:sz w:val="22"/>
          <w:szCs w:val="22"/>
        </w:rPr>
        <w:t xml:space="preserve">Every deployment is logged with: timestamp, deployer, git commit hash, modules changed, migration files run, test results.</w:t>
      </w:r>
    </w:p>
    <w:p>
      <w:pPr>
        <w:pStyle w:val="ListParagraph"/>
        <w:numPr>
          <w:ilvl w:val="0"/>
          <w:numId w:val="2"/>
        </w:numPr>
        <w:spacing w:after="60" w:before="60"/>
      </w:pPr>
      <w:r>
        <w:rPr>
          <w:rFonts w:ascii="Arial" w:cs="Arial" w:eastAsia="Arial" w:hAnsi="Arial"/>
          <w:b w:val="false"/>
          <w:bCs w:val="false"/>
          <w:sz w:val="22"/>
          <w:szCs w:val="22"/>
        </w:rPr>
        <w:t xml:space="preserve">The deploy script runs against staging first. Production deployment requires staging to be green.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w:t>
            </w:r>
          </w:p>
        </w:tc>
      </w:tr>
    </w:tbl>
    <w:p>
      <w:pPr>
        <w:spacing w:after="40" w:before="40"/>
      </w:pPr>
      <w:r>
        <w:rPr>
          <w:rFonts w:ascii="Courier New" w:cs="Courier New" w:eastAsia="Courier New" w:hAnsi="Courier New"/>
          <w:color w:val="1F3864"/>
          <w:sz w:val="18"/>
          <w:szCs w:val="18"/>
        </w:rPr>
        <w:t xml:space="preserve">// BAD: Manual hotfix under pressure</w:t>
      </w:r>
    </w:p>
    <w:p>
      <w:pPr>
        <w:spacing w:after="40" w:before="40"/>
      </w:pPr>
      <w:r>
        <w:rPr>
          <w:rFonts w:ascii="Courier New" w:cs="Courier New" w:eastAsia="Courier New" w:hAnsi="Courier New"/>
          <w:color w:val="1F3864"/>
          <w:sz w:val="18"/>
          <w:szCs w:val="18"/>
        </w:rPr>
        <w:t xml:space="preserve">ssh oracle-vm &amp;&amp; git pull origin main &amp;&amp; docker compose restart api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w:t>
            </w:r>
          </w:p>
        </w:tc>
      </w:tr>
    </w:tbl>
    <w:p>
      <w:pPr>
        <w:spacing w:after="40" w:before="40"/>
      </w:pPr>
      <w:r>
        <w:rPr>
          <w:rFonts w:ascii="Courier New" w:cs="Courier New" w:eastAsia="Courier New" w:hAnsi="Courier New"/>
          <w:color w:val="1F3864"/>
          <w:sz w:val="18"/>
          <w:szCs w:val="18"/>
        </w:rPr>
        <w:t xml:space="preserve">// GOOD: Gate-enforced deploy</w:t>
      </w:r>
    </w:p>
    <w:p>
      <w:pPr>
        <w:spacing w:after="40" w:before="40"/>
      </w:pPr>
      <w:r>
        <w:rPr>
          <w:rFonts w:ascii="Courier New" w:cs="Courier New" w:eastAsia="Courier New" w:hAnsi="Courier New"/>
          <w:color w:val="1F3864"/>
          <w:sz w:val="18"/>
          <w:szCs w:val="18"/>
        </w:rPr>
        <w:t xml:space="preserve">./scripts/deploy.sh --env production</w:t>
      </w:r>
    </w:p>
    <w:p>
      <w:pPr>
        <w:spacing w:after="40" w:before="40"/>
      </w:pPr>
      <w:r>
        <w:rPr>
          <w:rFonts w:ascii="Courier New" w:cs="Courier New" w:eastAsia="Courier New" w:hAnsi="Courier New"/>
          <w:color w:val="1F3864"/>
          <w:sz w:val="18"/>
          <w:szCs w:val="18"/>
        </w:rPr>
        <w:t xml:space="preserve"># Script runs: tests -&gt; migrations -&gt; health check -&gt; restart -&gt; verify</w:t>
      </w:r>
    </w:p>
    <w:p>
      <w:pPr>
        <w:spacing w:after="40" w:before="40"/>
      </w:pPr>
      <w:r>
        <w:rPr>
          <w:rFonts w:ascii="Courier New" w:cs="Courier New" w:eastAsia="Courier New" w:hAnsi="Courier New"/>
          <w:color w:val="1F3864"/>
          <w:sz w:val="18"/>
          <w:szCs w:val="18"/>
        </w:rPr>
        <w:t xml:space="preserve"># Rolls back automatically if any step fails</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STD-13  EXPAND-AND-CONTRACT MIGRATIONS   [HARD RULE]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ADDED IN v1.1 — SOURCE: Gemini/Claude joint architectural review (May 23, 2026). This standard closes the gap between STD-04 (migration files required) and safe zero-downtime deployment. STD-04 governs HOW changes are tracked. STD-13 governs HOW destructive changes are executed without crashing running services.</w:t>
            </w:r>
          </w:p>
        </w:tc>
      </w:tr>
    </w:tbl>
    <w:p>
      <w:pPr>
        <w:spacing w:after="100" w:before="100"/>
      </w:pPr>
      <w:r>
        <w:t xml:space="preserve"/>
      </w:r>
    </w:p>
    <w:p>
      <w:pPr>
        <w:spacing w:after="80" w:before="80"/>
      </w:pPr>
      <w:r>
        <w:rPr>
          <w:rFonts w:ascii="Arial" w:cs="Arial" w:eastAsia="Arial" w:hAnsi="Arial"/>
          <w:i/>
          <w:iCs/>
          <w:sz w:val="22"/>
          <w:szCs w:val="22"/>
        </w:rPr>
        <w:t xml:space="preserve">Category: Data   Origin: Gemini architectural review + Claude (confirmed)   Severity: HARD RULE</w:t>
      </w:r>
    </w:p>
    <w:p>
      <w:pPr>
        <w:spacing w:after="100" w:before="100"/>
      </w:pPr>
      <w:r>
        <w:t xml:space="preserve"/>
      </w:r>
    </w:p>
    <w:p>
      <w:pPr>
        <w:spacing w:after="80" w:before="80"/>
      </w:pPr>
      <w:r>
        <w:rPr>
          <w:rFonts w:ascii="Arial" w:cs="Arial" w:eastAsia="Arial" w:hAnsi="Arial"/>
          <w:b/>
          <w:bCs/>
          <w:sz w:val="22"/>
          <w:szCs w:val="22"/>
        </w:rPr>
        <w:t xml:space="preserve">WHY THIS RULE EXISTS</w:t>
      </w:r>
    </w:p>
    <w:p>
      <w:pPr>
        <w:spacing w:after="80" w:before="80"/>
      </w:pPr>
      <w:r>
        <w:rPr>
          <w:rFonts w:ascii="Arial" w:cs="Arial" w:eastAsia="Arial" w:hAnsi="Arial"/>
          <w:sz w:val="22"/>
          <w:szCs w:val="22"/>
        </w:rPr>
        <w:t xml:space="preserve">The JAG platform runs on Docker Compose with a single production database instance per module. When a destructive migration (DROP COLUMN, RENAME COLUMN, RENAME TABLE) is applied while the current application container is still running, the running API workers crash immediately — they reference columns and tables that no longer exist. With Docker Compose rolling restarts, there is a window where old and new code run simultaneously against the same database. A column that is removed in one migration can crash old code still in flight.</w:t>
      </w:r>
    </w:p>
    <w:p>
      <w:pPr>
        <w:spacing w:after="100" w:before="100"/>
      </w:pPr>
      <w:r>
        <w:t xml:space="preserve"/>
      </w:r>
    </w:p>
    <w:p>
      <w:pPr>
        <w:spacing w:after="80" w:before="80"/>
      </w:pPr>
      <w:r>
        <w:rPr>
          <w:rFonts w:ascii="Arial" w:cs="Arial" w:eastAsia="Arial" w:hAnsi="Arial"/>
          <w:sz w:val="22"/>
          <w:szCs w:val="22"/>
        </w:rPr>
        <w:t xml:space="preserve">This is not a theoretical risk. It is the most common cause of self-inflicted production downtime in single-instance deployments. The Expand-and-Contract pattern eliminates this class of downtime entirely.</w:t>
      </w:r>
    </w:p>
    <w:p>
      <w:pPr>
        <w:spacing w:after="100" w:before="100"/>
      </w:pPr>
      <w:r>
        <w:t xml:space="preserve"/>
      </w:r>
    </w:p>
    <w:p>
      <w:pPr>
        <w:spacing w:after="80" w:before="80"/>
      </w:pPr>
      <w:r>
        <w:rPr>
          <w:rFonts w:ascii="Arial" w:cs="Arial" w:eastAsia="Arial" w:hAnsi="Arial"/>
          <w:b/>
          <w:bCs/>
          <w:sz w:val="22"/>
          <w:szCs w:val="22"/>
        </w:rPr>
        <w:t xml:space="preserve">THE RULES</w:t>
      </w:r>
    </w:p>
    <w:p>
      <w:pPr>
        <w:pStyle w:val="ListParagraph"/>
        <w:numPr>
          <w:ilvl w:val="0"/>
          <w:numId w:val="2"/>
        </w:numPr>
        <w:spacing w:after="60" w:before="60"/>
      </w:pPr>
      <w:r>
        <w:rPr>
          <w:rFonts w:ascii="Arial" w:cs="Arial" w:eastAsia="Arial" w:hAnsi="Arial"/>
          <w:b w:val="false"/>
          <w:bCs w:val="false"/>
          <w:sz w:val="22"/>
          <w:szCs w:val="22"/>
        </w:rPr>
        <w:t xml:space="preserve">Columns and tables are NEVER renamed or dropped in a single deployment cycle alongside the code that removes the reference.</w:t>
      </w:r>
    </w:p>
    <w:p>
      <w:pPr>
        <w:pStyle w:val="ListParagraph"/>
        <w:numPr>
          <w:ilvl w:val="0"/>
          <w:numId w:val="2"/>
        </w:numPr>
        <w:spacing w:after="60" w:before="60"/>
      </w:pPr>
      <w:r>
        <w:rPr>
          <w:rFonts w:ascii="Arial" w:cs="Arial" w:eastAsia="Arial" w:hAnsi="Arial"/>
          <w:b w:val="false"/>
          <w:bCs w:val="false"/>
          <w:sz w:val="22"/>
          <w:szCs w:val="22"/>
        </w:rPr>
        <w:t xml:space="preserve">Any schema change that removes, renames, or restructures existing columns or tables must follow the 5-step Expand-and-Contract pattern (see below).</w:t>
      </w:r>
    </w:p>
    <w:p>
      <w:pPr>
        <w:pStyle w:val="ListParagraph"/>
        <w:numPr>
          <w:ilvl w:val="0"/>
          <w:numId w:val="2"/>
        </w:numPr>
        <w:spacing w:after="60" w:before="60"/>
      </w:pPr>
      <w:r>
        <w:rPr>
          <w:rFonts w:ascii="Arial" w:cs="Arial" w:eastAsia="Arial" w:hAnsi="Arial"/>
          <w:b w:val="false"/>
          <w:bCs w:val="false"/>
          <w:sz w:val="22"/>
          <w:szCs w:val="22"/>
        </w:rPr>
        <w:t xml:space="preserve">New columns (ADD COLUMN) with no existing code dependency are safe to deploy in a single step — this rule applies only to destructive changes.</w:t>
      </w:r>
    </w:p>
    <w:p>
      <w:pPr>
        <w:pStyle w:val="ListParagraph"/>
        <w:numPr>
          <w:ilvl w:val="0"/>
          <w:numId w:val="2"/>
        </w:numPr>
        <w:spacing w:after="60" w:before="60"/>
      </w:pPr>
      <w:r>
        <w:rPr>
          <w:rFonts w:ascii="Arial" w:cs="Arial" w:eastAsia="Arial" w:hAnsi="Arial"/>
          <w:b w:val="false"/>
          <w:bCs w:val="false"/>
          <w:sz w:val="22"/>
          <w:szCs w:val="22"/>
        </w:rPr>
        <w:t xml:space="preserve">The full 5-step cycle may span multiple deployment sessions. Each step is a separate migration file committed and deployed independently.</w:t>
      </w:r>
    </w:p>
    <w:p>
      <w:pPr>
        <w:pStyle w:val="ListParagraph"/>
        <w:numPr>
          <w:ilvl w:val="0"/>
          <w:numId w:val="2"/>
        </w:numPr>
        <w:spacing w:after="60" w:before="60"/>
      </w:pPr>
      <w:r>
        <w:rPr>
          <w:rFonts w:ascii="Arial" w:cs="Arial" w:eastAsia="Arial" w:hAnsi="Arial"/>
          <w:b w:val="false"/>
          <w:bCs w:val="false"/>
          <w:sz w:val="22"/>
          <w:szCs w:val="22"/>
        </w:rPr>
        <w:t xml:space="preserve">Document the current step (1 through 5) in a comment at the top of each migration file so future sessions know where the cycle stands.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color w:val="FFFFFF"/>
                <w:sz w:val="22"/>
                <w:szCs w:val="22"/>
              </w:rPr>
              <w:t xml:space="preserve">THE 5-STEP EXPAND-AND-CONTRACT PATTERN</w:t>
            </w:r>
          </w:p>
        </w:tc>
      </w:tr>
    </w:tbl>
    <w:p>
      <w:pPr>
        <w:spacing w:after="100" w:before="10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2880"/>
        <w:gridCol w:w="2160"/>
      </w:tblGrid>
      <w:t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Migration Action</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Action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Safe to Deploy?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Expand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column alongside old column (both exist)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code change — old column still used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purely additive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 Dual-write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migration needed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code to write to BOTH old and new column simultaneously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backwards compatible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Backfill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background script to copy old column data to new column for existing rows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code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additive data operation</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 Read switchover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migration needed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code to read from new column only; stop reading from old column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new column has all data</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Contract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old column (safe — no code references 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code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old column is now dead code</w:t>
            </w:r>
          </w:p>
        </w:tc>
      </w:tr>
    </w:tbl>
    <w:p>
      <w:pPr>
        <w:spacing w:after="100" w:before="100"/>
      </w:pPr>
      <w:r>
        <w:t xml:space="preserve"/>
      </w:r>
    </w:p>
    <w:p>
      <w:pPr>
        <w:spacing w:after="80" w:before="80"/>
      </w:pPr>
      <w:r>
        <w:rPr>
          <w:rFonts w:ascii="Arial" w:cs="Arial" w:eastAsia="Arial" w:hAnsi="Arial"/>
          <w:b/>
          <w:bCs/>
          <w:sz w:val="22"/>
          <w:szCs w:val="22"/>
        </w:rPr>
        <w:t xml:space="preserve">WORKED EXAMPLE — Renaming payments.amount to payments.amount_ttd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NEVER DO THIS — Single destructive migration crashes running API workers:</w:t>
            </w:r>
          </w:p>
        </w:tc>
      </w:tr>
    </w:tbl>
    <w:p>
      <w:pPr>
        <w:spacing w:after="40" w:before="40"/>
      </w:pPr>
      <w:r>
        <w:rPr>
          <w:rFonts w:ascii="Courier New" w:cs="Courier New" w:eastAsia="Courier New" w:hAnsi="Courier New"/>
          <w:color w:val="1F3864"/>
          <w:sz w:val="18"/>
          <w:szCs w:val="18"/>
        </w:rPr>
        <w:t xml:space="preserve">// BAD: Single migration renames column while old code still runs</w:t>
      </w:r>
    </w:p>
    <w:p>
      <w:pPr>
        <w:spacing w:after="40" w:before="40"/>
      </w:pPr>
      <w:r>
        <w:rPr>
          <w:rFonts w:ascii="Courier New" w:cs="Courier New" w:eastAsia="Courier New" w:hAnsi="Courier New"/>
          <w:color w:val="1F3864"/>
          <w:sz w:val="18"/>
          <w:szCs w:val="18"/>
        </w:rPr>
        <w:t xml:space="preserve">exports.up = async (db) =&gt; {</w:t>
      </w:r>
    </w:p>
    <w:p>
      <w:pPr>
        <w:spacing w:after="40" w:before="40"/>
      </w:pPr>
      <w:r>
        <w:rPr>
          <w:rFonts w:ascii="Courier New" w:cs="Courier New" w:eastAsia="Courier New" w:hAnsi="Courier New"/>
          <w:color w:val="1F3864"/>
          <w:sz w:val="18"/>
          <w:szCs w:val="18"/>
        </w:rPr>
        <w:t xml:space="preserve">  await db.renameColumn('payments', 'amount', 'amount_ttd');  // CRASHES running workers</w:t>
      </w:r>
    </w:p>
    <w:p>
      <w:pPr>
        <w:spacing w:after="40" w:before="40"/>
      </w:pPr>
      <w:r>
        <w:rPr>
          <w:rFonts w:ascii="Courier New" w:cs="Courier New" w:eastAsia="Courier New" w:hAnsi="Courier New"/>
          <w:color w:val="1F3864"/>
          <w:sz w:val="18"/>
          <w:szCs w:val="18"/>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ALWAYS DO THIS — Expand-and-Contract across 5 safe deployments:</w:t>
            </w:r>
          </w:p>
        </w:tc>
      </w:tr>
    </w:tbl>
    <w:p>
      <w:pPr>
        <w:spacing w:after="40" w:before="40"/>
      </w:pPr>
      <w:r>
        <w:rPr>
          <w:rFonts w:ascii="Courier New" w:cs="Courier New" w:eastAsia="Courier New" w:hAnsi="Courier New"/>
          <w:color w:val="1F3864"/>
          <w:sz w:val="18"/>
          <w:szCs w:val="18"/>
        </w:rPr>
        <w:t xml:space="preserve">// STEP 1 migration: add new column (old column stays)</w:t>
      </w:r>
    </w:p>
    <w:p>
      <w:pPr>
        <w:spacing w:after="40" w:before="40"/>
      </w:pPr>
      <w:r>
        <w:rPr>
          <w:rFonts w:ascii="Courier New" w:cs="Courier New" w:eastAsia="Courier New" w:hAnsi="Courier New"/>
          <w:color w:val="1F3864"/>
          <w:sz w:val="18"/>
          <w:szCs w:val="18"/>
        </w:rPr>
        <w:t xml:space="preserve">await db.addColumn('payments', 'amount_ttd', { type: 'numeric'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STEP 2 code: write to both columns</w:t>
      </w:r>
    </w:p>
    <w:p>
      <w:pPr>
        <w:spacing w:after="40" w:before="40"/>
      </w:pPr>
      <w:r>
        <w:rPr>
          <w:rFonts w:ascii="Courier New" w:cs="Courier New" w:eastAsia="Courier New" w:hAnsi="Courier New"/>
          <w:color w:val="1F3864"/>
          <w:sz w:val="18"/>
          <w:szCs w:val="18"/>
        </w:rPr>
        <w:t xml:space="preserve">await db.query('INSERT INTO payments (amount, amount_ttd) VALUES ($1, $1)', [value]);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STEP 3 migration: backfill existing rows</w:t>
      </w:r>
    </w:p>
    <w:p>
      <w:pPr>
        <w:spacing w:after="40" w:before="40"/>
      </w:pPr>
      <w:r>
        <w:rPr>
          <w:rFonts w:ascii="Courier New" w:cs="Courier New" w:eastAsia="Courier New" w:hAnsi="Courier New"/>
          <w:color w:val="1F3864"/>
          <w:sz w:val="18"/>
          <w:szCs w:val="18"/>
        </w:rPr>
        <w:t xml:space="preserve">await db.query('UPDATE payments SET amount_ttd = amount WHERE amount_ttd IS NULL');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STEP 4 code: read from new column only</w:t>
      </w:r>
    </w:p>
    <w:p>
      <w:pPr>
        <w:spacing w:after="40" w:before="40"/>
      </w:pPr>
      <w:r>
        <w:rPr>
          <w:rFonts w:ascii="Courier New" w:cs="Courier New" w:eastAsia="Courier New" w:hAnsi="Courier New"/>
          <w:color w:val="1F3864"/>
          <w:sz w:val="18"/>
          <w:szCs w:val="18"/>
        </w:rPr>
        <w:t xml:space="preserve">await db.query('SELECT amount_ttd FROM payments WHERE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STEP 5 migration: drop old column (safe — nothing references it)</w:t>
      </w:r>
    </w:p>
    <w:p>
      <w:pPr>
        <w:spacing w:after="40" w:before="40"/>
      </w:pPr>
      <w:r>
        <w:rPr>
          <w:rFonts w:ascii="Courier New" w:cs="Courier New" w:eastAsia="Courier New" w:hAnsi="Courier New"/>
          <w:color w:val="1F3864"/>
          <w:sz w:val="18"/>
          <w:szCs w:val="18"/>
        </w:rPr>
        <w:t xml:space="preserve">await db.removeColumn('payments', 'amount');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DECISION LOCKED (v1.9 Architecture + v1.1 Standards): Expand-and-Contract is a HARD RULE for all destructive schema changes across all JAG modules, all phases, all Claude sessions.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4. STANDARDS SUMMARY TABLE</w:t>
            </w:r>
          </w:p>
        </w:tc>
      </w:tr>
    </w:tbl>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68"/>
        <w:gridCol w:w="4680"/>
        <w:gridCol w:w="936"/>
        <w:gridCol w:w="936"/>
        <w:gridCol w:w="1340"/>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Isolation — no cross-module direct DB writes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 Architect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RLS First — database-layer tenant isolation before app layer</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Third Architect + All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First — write failing security test before feature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 Architect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 First — all schema changes are versioned files</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Versioning — all endpoints at /api/v1/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Envelope — standard { success, data, error, code }</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 all credentials in env / Oracle Vault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 JSON with entity, action, user, tenant, timestamp</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Logging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Strict — strict:true, no any types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 — Zod schemas on all user input server-side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Financial Ops — idempotency keys on all financial writes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Gate — tests + migrations + sign-off before production</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Expand-and-Contract — destructive schema changes use 5-step pattern; never rename or drop in a single deployment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 Claude</w:t>
            </w:r>
          </w:p>
        </w:tc>
      </w:tr>
    </w:tbl>
    <w:p>
      <w:pPr>
        <w:spacing w:after="100" w:before="100"/>
      </w:pPr>
      <w:r>
        <w:t xml:space="preserve"/>
      </w:r>
    </w:p>
    <w:p>
      <w:pPr>
        <w:spacing w:after="80" w:before="80"/>
      </w:pPr>
      <w:r>
        <w:rPr>
          <w:rFonts w:ascii="Arial" w:cs="Arial" w:eastAsia="Arial" w:hAnsi="Arial"/>
          <w:sz w:val="22"/>
          <w:szCs w:val="22"/>
        </w:rPr>
        <w:t xml:space="preserve">HARD RULE = Non-negotiable. A violation is a build defect, not a style preference. Roll back and fix before proceeding.</w:t>
      </w:r>
    </w:p>
    <w:p>
      <w:pPr>
        <w:spacing w:after="80" w:before="80"/>
      </w:pPr>
      <w:r>
        <w:rPr>
          <w:rFonts w:ascii="Arial" w:cs="Arial" w:eastAsia="Arial" w:hAnsi="Arial"/>
          <w:sz w:val="22"/>
          <w:szCs w:val="22"/>
        </w:rPr>
        <w:t xml:space="preserve">ARCHITECTURE = Strong architectural guidance. Deviations require a written change request from Robert before the code is merged.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5. HOW TO APPLY THESE STANDARDS AT EACH BUILD PHASE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140"/>
        <w:gridCol w:w="378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Standards Most Critical</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Pre-Build</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 (module boundaries defined), STD-02 (RLS policies drafted), STD-04 (migration tool configured), STD-13 (Expand-and-Contract pattern documented in team knowledge)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ERD reviewed against STD-01 module boundaries before coding starts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1A (Security Foundation)</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STD-02, STD-03, STD-07, STD-09, STD-10</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Cross-tenant penetration tests written (STD-03) and passing before Phase 1B begins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1B (IMS, JABCO, CRM)</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 STD-03, STD-04, STD-05, STD-06, STD-08, STD-13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JABCO API endpoint has authorised + unauthorised test. Every financial calc has a unit test. First migration files use STD-13 pattern for any destructive changes.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(Properties, DocVault)</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STD-03, STD-10, STD-11, STD-12, STD-13</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Rent payment flow tested for idempotency (STD-11). Any schema evolution uses Expand-and-Contract (STD-13).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(Brian, DragonBridge, BAR)</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 STD-02, STD-11, STD-13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portal air-gap verified. Any column renames use full 5-step STD-13 cycle.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(Finance, Wealth)</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STD-09, STD-11, STD-06, STD-13</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FX conversion calculations typed. Financial schema changes strictly follow STD-13 — no direct column drops on payment tables.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(Holdings, HR, Export)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STD-05, STD-08, STD-12, STD-13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APIs versioned. Staging deployment gate tested. Logging verified across all modules. Any schema refactors use Expand-and-Contract.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6. CHANGE CONTROL FOR THIS DOCUMENT</w:t>
            </w:r>
          </w:p>
        </w:tc>
      </w:tr>
    </w:tbl>
    <w:p>
      <w:pPr>
        <w:spacing w:after="100" w:before="100"/>
      </w:pPr>
      <w:r>
        <w:t xml:space="preserve"/>
      </w:r>
    </w:p>
    <w:p>
      <w:pPr>
        <w:spacing w:after="80" w:before="80"/>
      </w:pPr>
      <w:r>
        <w:rPr>
          <w:rFonts w:ascii="Arial" w:cs="Arial" w:eastAsia="Arial" w:hAnsi="Arial"/>
          <w:sz w:val="22"/>
          <w:szCs w:val="22"/>
        </w:rPr>
        <w:t xml:space="preserve">These standards are not suggestions. They are the engineering constitution of the JAG platform. Changes require the following process:</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Written change request submitted by Robert Johnson-Attin stating: which standard, what change, and why.</w:t>
      </w:r>
    </w:p>
    <w:p>
      <w:pPr>
        <w:pStyle w:val="ListParagraph"/>
        <w:numPr>
          <w:ilvl w:val="0"/>
          <w:numId w:val="2"/>
        </w:numPr>
        <w:spacing w:after="60" w:before="60"/>
      </w:pPr>
      <w:r>
        <w:rPr>
          <w:rFonts w:ascii="Arial" w:cs="Arial" w:eastAsia="Arial" w:hAnsi="Arial"/>
          <w:b w:val="false"/>
          <w:bCs w:val="false"/>
          <w:sz w:val="22"/>
          <w:szCs w:val="22"/>
        </w:rPr>
        <w:t xml:space="preserve">Impact assessment: which existing code would the change affect? What migration or refactor would be required?</w:t>
      </w:r>
    </w:p>
    <w:p>
      <w:pPr>
        <w:pStyle w:val="ListParagraph"/>
        <w:numPr>
          <w:ilvl w:val="0"/>
          <w:numId w:val="2"/>
        </w:numPr>
        <w:spacing w:after="60" w:before="60"/>
      </w:pPr>
      <w:r>
        <w:rPr>
          <w:rFonts w:ascii="Arial" w:cs="Arial" w:eastAsia="Arial" w:hAnsi="Arial"/>
          <w:b w:val="false"/>
          <w:bCs w:val="false"/>
          <w:sz w:val="22"/>
          <w:szCs w:val="22"/>
        </w:rPr>
        <w:t xml:space="preserve">Version number increment on this document. New version shared at all subsequent Claude sessions.</w:t>
      </w:r>
    </w:p>
    <w:p>
      <w:pPr>
        <w:pStyle w:val="ListParagraph"/>
        <w:numPr>
          <w:ilvl w:val="0"/>
          <w:numId w:val="2"/>
        </w:numPr>
        <w:spacing w:after="60" w:before="60"/>
      </w:pPr>
      <w:r>
        <w:rPr>
          <w:rFonts w:ascii="Arial" w:cs="Arial" w:eastAsia="Arial" w:hAnsi="Arial"/>
          <w:b w:val="false"/>
          <w:bCs w:val="false"/>
          <w:sz w:val="22"/>
          <w:szCs w:val="22"/>
        </w:rPr>
        <w:t xml:space="preserve">No standard is removed — only amended or superseded. The change log tracks every revision.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40"/>
        <w:gridCol w:w="6984"/>
      </w:tblGrid>
      <w:tr>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22, 2026</w:t>
            </w:r>
          </w:p>
        </w:tc>
        <w:tc>
          <w:tcPr>
            <w:tcW w:type="dxa" w:w="69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12 standards established. STD-01 through STD-03 originated from Third Architect review. STD-04 through STD-12 from Claude assessment.</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May 23, 2026</w:t>
            </w:r>
          </w:p>
        </w:tc>
        <w:tc>
          <w:tcPr>
            <w:tcW w:type="dxa" w:w="69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STD-13 Expand-and-Contract Migrations added. Source: Gemini/Claude joint architectural review of JAG Master Architecture v1.8. Closes the gap between STD-04 (migration tracking) and safe zero-downtime deployment for destructive schema changes. Quick Reference, Summary Table, Phase Guidance, and document count updated to reflect 13 standards.</w:t>
            </w:r>
          </w:p>
        </w:tc>
      </w:tr>
    </w:tbl>
    <w:p>
      <w:pPr>
        <w:spacing w:after="100" w:before="100"/>
      </w:pPr>
      <w:r>
        <w:t xml:space="preserve"/>
      </w:r>
    </w:p>
    <w:p>
      <w:pPr>
        <w:pBdr>
          <w:bottom w:val="single" w:color="1F3864" w:sz="6" w:space="1"/>
        </w:pBdr>
        <w:spacing w:after="200" w:before="200"/>
      </w:pPr>
      <w:r>
        <w:t xml:space="preserve"/>
      </w:r>
    </w:p>
    <w:p>
      <w:pPr>
        <w:spacing w:after="100" w:before="100"/>
      </w:pPr>
      <w:r>
        <w:t xml:space="preserve"/>
      </w:r>
    </w:p>
    <w:p>
      <w:pPr>
        <w:jc w:val="center"/>
      </w:pPr>
      <w:r>
        <w:rPr>
          <w:rFonts w:ascii="Arial" w:cs="Arial" w:eastAsia="Arial" w:hAnsi="Arial"/>
          <w:color w:val="888888"/>
          <w:sz w:val="18"/>
          <w:szCs w:val="18"/>
        </w:rPr>
        <w:t xml:space="preserve">Johnson Attin Group  |  JAG Engineering Standards v1.1  |  Confidential  |  May 23, 2026  |  Share at every Claude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2026-05-23T14:20:09.984Z</dcterms:created>
  <dcterms:modified xsi:type="dcterms:W3CDTF">2026-05-23T14:20:09.985Z</dcterms:modified>
</cp:coreProperties>
</file>

<file path=docProps/custom.xml><?xml version="1.0" encoding="utf-8"?>
<Properties xmlns="http://schemas.openxmlformats.org/officeDocument/2006/custom-properties" xmlns:vt="http://schemas.openxmlformats.org/officeDocument/2006/docPropsVTypes"/>
</file>