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20"/>
              <w:left w:type="dxa" w:w="480"/>
              <w:bottom w:type="dxa" w:w="720"/>
              <w:right w:type="dxa" w:w="480"/>
            </w:tcMar>
          </w:tcPr>
          <w:p>
            <w:pPr>
              <w:spacing w:after="200" w:before="480"/>
              <w:jc w:val="center"/>
            </w:pPr>
            <w:r>
              <w:rPr>
                <w:rFonts w:ascii="Arial" w:cs="Arial" w:eastAsia="Arial" w:hAnsi="Arial"/>
                <w:b/>
                <w:bCs/>
                <w:color w:val="C9A84C"/>
                <w:sz w:val="48"/>
                <w:szCs w:val="48"/>
              </w:rPr>
              <w:t xml:space="preserve">JOHNSON ATTIN GROUP</w:t>
            </w:r>
          </w:p>
          <w:p>
            <w:pPr>
              <w:spacing w:after="160" w:before="0"/>
              <w:jc w:val="center"/>
            </w:pPr>
            <w:r>
              <w:rPr>
                <w:rFonts w:ascii="Arial" w:cs="Arial" w:eastAsia="Arial" w:hAnsi="Arial"/>
                <w:b/>
                <w:bCs/>
                <w:color w:val="D5E8F0"/>
                <w:sz w:val="28"/>
                <w:szCs w:val="28"/>
              </w:rPr>
              <w:t xml:space="preserve">JAG INTEGRATED BUSINESS PLATFORM</w:t>
            </w:r>
          </w:p>
          <w:p>
            <w:pPr>
              <w:spacing w:after="200" w:before="200"/>
              <w:jc w:val="center"/>
            </w:pPr>
            <w:r>
              <w:rPr>
                <w:rFonts w:ascii="Arial" w:cs="Arial" w:eastAsia="Arial" w:hAnsi="Arial"/>
                <w:b/>
                <w:bCs/>
                <w:color w:val="FFFFFF"/>
                <w:sz w:val="52"/>
                <w:szCs w:val="52"/>
              </w:rPr>
              <w:t xml:space="preserve">UNIFIED ARCHITECT CRITIQUE</w:t>
            </w:r>
          </w:p>
          <w:p>
            <w:pPr>
              <w:spacing w:after="200" w:before="0"/>
              <w:jc w:val="center"/>
            </w:pPr>
            <w:r>
              <w:rPr>
                <w:rFonts w:ascii="Arial" w:cs="Arial" w:eastAsia="Arial" w:hAnsi="Arial"/>
                <w:i/>
                <w:iCs/>
                <w:color w:val="D5E8F0"/>
                <w:sz w:val="24"/>
                <w:szCs w:val="24"/>
              </w:rPr>
              <w:t xml:space="preserve">Master Architecture v1.5 — Pre-Build Review</w:t>
            </w:r>
          </w:p>
          <w:p>
            <w:pPr>
              <w:spacing w:after="80" w:before="320"/>
              <w:jc w:val="center"/>
            </w:pPr>
            <w:r>
              <w:rPr>
                <w:rFonts w:ascii="Arial" w:cs="Arial" w:eastAsia="Arial" w:hAnsi="Arial"/>
                <w:color w:val="FFFFFF"/>
                <w:sz w:val="22"/>
                <w:szCs w:val="22"/>
              </w:rPr>
              <w:t xml:space="preserve">Primary Assessor: Claude (Anthropic)</w:t>
            </w:r>
          </w:p>
          <w:p>
            <w:pPr>
              <w:spacing w:after="80" w:before="0"/>
              <w:jc w:val="center"/>
            </w:pPr>
            <w:r>
              <w:rPr>
                <w:rFonts w:ascii="Arial" w:cs="Arial" w:eastAsia="Arial" w:hAnsi="Arial"/>
                <w:color w:val="D5E8F0"/>
                <w:sz w:val="22"/>
                <w:szCs w:val="22"/>
              </w:rPr>
              <w:t xml:space="preserve">Secondary Assessor: Gemini (Google DeepMind)</w:t>
            </w:r>
          </w:p>
          <w:p>
            <w:pPr>
              <w:spacing w:after="480" w:before="0"/>
              <w:jc w:val="center"/>
            </w:pPr>
            <w:r>
              <w:rPr>
                <w:rFonts w:ascii="Arial" w:cs="Arial" w:eastAsia="Arial" w:hAnsi="Arial"/>
                <w:color w:val="C9A84C"/>
                <w:sz w:val="20"/>
                <w:szCs w:val="20"/>
              </w:rPr>
              <w:t xml:space="preserve">May 22, 2026  |  Barataria, Trinidad &amp; Tobago</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8B0000"/>
                <w:sz w:val="20"/>
                <w:szCs w:val="20"/>
              </w:rPr>
              <w:t xml:space="preserve">CONFIDENTIAL — Internal use only. For Robert Johnson-Attin and the Johnson Attin Group.</w:t>
            </w:r>
          </w:p>
        </w:tc>
      </w:tr>
    </w:tbl>
    <w:p>
      <w:pPr>
        <w:pageBreakBefore/>
        <w:spacing w:after="0" w:before="0"/>
      </w:pPr>
    </w:p>
    <w:tbl>
      <w:tblPr>
        <w:tblW w:type="dxa" w:w="9360"/>
        <w:tblBorders>
          <w:top w:val="none" w:color="auto" w:sz="0"/>
          <w:left w:val="none" w:color="auto" w:sz="0"/>
          <w:bottom w:val="none" w:color="auto" w:sz="0"/>
          <w:right w:val="none" w:color="auto" w:sz="0"/>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80"/>
              <w:left w:type="dxa" w:w="480"/>
              <w:bottom w:type="dxa" w:w="480"/>
              <w:right w:type="dxa" w:w="480"/>
            </w:tcMar>
          </w:tcPr>
          <w:p>
            <w:pPr>
              <w:jc w:val="center"/>
            </w:pPr>
            <w:r>
              <w:rPr>
                <w:rFonts w:ascii="Arial" w:cs="Arial" w:hAnsi="Arial"/>
                <w:b/>
                <w:bCs/>
                <w:color w:val="C9A84C"/>
                <w:sz w:val="40"/>
                <w:szCs w:val="40"/>
              </w:rPr>
              <w:t>TABLE OF CONTENTS</w:t>
            </w:r>
          </w:p>
        </w:tc>
      </w:tr>
    </w:tbl>
    <w:p>
      <w:pPr>
        <w:spacing w:after="80" w:before="80"/>
      </w:pPr>
    </w:p>
    <w:p>
      <w:pPr>
        <w:pBdr>
          <w:bottom w:val="single" w:sz="4" w:space="1" w:color="C9A84C"/>
        </w:pBdr>
        <w:spacing w:after="60" w:before="60"/>
      </w:pPr>
    </w:p>
    <w:p>
      <w:pPr>
        <w:spacing w:after="60" w:before="60"/>
      </w:pPr>
      <w:r>
        <w:rPr>
          <w:rFonts w:ascii="Arial" w:cs="Arial" w:hAnsi="Arial"/>
          <w:b/>
          <w:bCs/>
          <w:color w:val="1F3864"/>
          <w:sz w:val="22"/>
          <w:szCs w:val="22"/>
        </w:rPr>
        <w:t xml:space="preserve">1.  OVERALL VERDICT</w:t>
      </w:r>
    </w:p>
    <w:p>
      <w:pPr>
        <w:pBdr>
          <w:bottom w:val="single" w:sz="4" w:space="1" w:color="C9A84C"/>
        </w:pBdr>
        <w:spacing w:after="60" w:before="60"/>
      </w:pPr>
    </w:p>
    <w:p>
      <w:pPr>
        <w:spacing w:after="60" w:before="60"/>
      </w:pPr>
      <w:r>
        <w:rPr>
          <w:rFonts w:ascii="Arial" w:cs="Arial" w:hAnsi="Arial"/>
          <w:b/>
          <w:bCs/>
          <w:color w:val="1F3864"/>
          <w:sz w:val="22"/>
          <w:szCs w:val="22"/>
        </w:rPr>
        <w:t xml:space="preserve">2.  WHAT BOTH ARCHITECTS AGREED IS CORRECT</w:t>
      </w:r>
    </w:p>
    <w:p>
      <w:pPr>
        <w:pBdr>
          <w:bottom w:val="single" w:sz="4" w:space="1" w:color="C9A84C"/>
        </w:pBdr>
        <w:spacing w:after="60" w:before="60"/>
      </w:pPr>
    </w:p>
    <w:p>
      <w:pPr>
        <w:spacing w:after="60" w:before="60"/>
      </w:pPr>
      <w:r>
        <w:rPr>
          <w:rFonts w:ascii="Arial" w:cs="Arial" w:hAnsi="Arial"/>
          <w:b/>
          <w:bCs/>
          <w:color w:val="1F3864"/>
          <w:sz w:val="22"/>
          <w:szCs w:val="22"/>
        </w:rPr>
        <w:t xml:space="preserve">3.  UNIFIED FINDINGS — ALL ISSUES</w:t>
      </w:r>
    </w:p>
    <w:p>
      <w:pPr>
        <w:spacing w:after="60" w:before="60"/>
        <w:ind w:left="360"/>
      </w:pPr>
      <w:r>
        <w:rPr>
          <w:rFonts w:ascii="Arial" w:cs="Arial" w:hAnsi="Arial"/>
          <w:color w:val="555555"/>
          <w:sz w:val="20"/>
          <w:szCs w:val="20"/>
        </w:rPr>
        <w:t xml:space="preserve">    3A. BLOCKERS — Resolve Before Writing a Single Line of Code</w:t>
      </w:r>
    </w:p>
    <w:p>
      <w:pPr>
        <w:spacing w:after="60" w:before="60"/>
        <w:ind w:left="360"/>
      </w:pPr>
      <w:r>
        <w:rPr>
          <w:rFonts w:ascii="Arial" w:cs="Arial" w:hAnsi="Arial"/>
          <w:color w:val="555555"/>
          <w:sz w:val="20"/>
          <w:szCs w:val="20"/>
        </w:rPr>
        <w:t xml:space="preserve">    3B. HIGH — Resolve Before Phase 1 Ends</w:t>
      </w:r>
    </w:p>
    <w:p>
      <w:pPr>
        <w:spacing w:after="60" w:before="60"/>
        <w:ind w:left="360"/>
      </w:pPr>
      <w:r>
        <w:rPr>
          <w:rFonts w:ascii="Arial" w:cs="Arial" w:hAnsi="Arial"/>
          <w:color w:val="555555"/>
          <w:sz w:val="20"/>
          <w:szCs w:val="20"/>
        </w:rPr>
        <w:t xml:space="preserve">    3C. MEDIUM — Resolve Before Phase 3</w:t>
      </w:r>
    </w:p>
    <w:p>
      <w:pPr>
        <w:pBdr>
          <w:bottom w:val="single" w:sz="4" w:space="1" w:color="C9A84C"/>
        </w:pBdr>
        <w:spacing w:after="60" w:before="60"/>
      </w:pPr>
    </w:p>
    <w:p>
      <w:pPr>
        <w:spacing w:after="60" w:before="60"/>
      </w:pPr>
      <w:r>
        <w:rPr>
          <w:rFonts w:ascii="Arial" w:cs="Arial" w:hAnsi="Arial"/>
          <w:b/>
          <w:bCs/>
          <w:color w:val="1F3864"/>
          <w:sz w:val="22"/>
          <w:szCs w:val="22"/>
        </w:rPr>
        <w:t xml:space="preserve">4.  PRE-BUILD MASTER CHECKLIST</w:t>
      </w:r>
    </w:p>
    <w:p>
      <w:pPr>
        <w:pBdr>
          <w:bottom w:val="single" w:sz="4" w:space="1" w:color="C9A84C"/>
        </w:pBdr>
        <w:spacing w:after="60" w:before="60"/>
      </w:pPr>
    </w:p>
    <w:p>
      <w:pPr>
        <w:spacing w:after="60" w:before="60"/>
      </w:pPr>
      <w:r>
        <w:rPr>
          <w:rFonts w:ascii="Arial" w:cs="Arial" w:hAnsi="Arial"/>
          <w:b/>
          <w:bCs/>
          <w:color w:val="1F3864"/>
          <w:sz w:val="22"/>
          <w:szCs w:val="22"/>
        </w:rPr>
        <w:t xml:space="preserve">5.  WHERE THE TWO ARCHITECTS DIVERGED — AND WHY</w:t>
      </w:r>
    </w:p>
    <w:p>
      <w:pPr>
        <w:spacing w:after="60" w:before="60"/>
        <w:ind w:left="360"/>
      </w:pPr>
      <w:r>
        <w:rPr>
          <w:rFonts w:ascii="Arial" w:cs="Arial" w:hAnsi="Arial"/>
          <w:color w:val="555555"/>
          <w:sz w:val="20"/>
          <w:szCs w:val="20"/>
        </w:rPr>
        <w:t xml:space="preserve">    5A. Gemini Was Right — Claude Missed or Under-Weighted These</w:t>
      </w:r>
    </w:p>
    <w:p>
      <w:pPr>
        <w:spacing w:after="60" w:before="60"/>
        <w:ind w:left="360"/>
      </w:pPr>
      <w:r>
        <w:rPr>
          <w:rFonts w:ascii="Arial" w:cs="Arial" w:hAnsi="Arial"/>
          <w:color w:val="555555"/>
          <w:sz w:val="20"/>
          <w:szCs w:val="20"/>
        </w:rPr>
        <w:t xml:space="preserve">    5B. Claude Was Right — Gemini Missed or Got Wrong</w:t>
      </w:r>
    </w:p>
    <w:p>
      <w:pPr>
        <w:pBdr>
          <w:bottom w:val="single" w:sz="4" w:space="1" w:color="C9A84C"/>
        </w:pBdr>
        <w:spacing w:after="60" w:before="60"/>
      </w:pPr>
    </w:p>
    <w:p>
      <w:pPr>
        <w:spacing w:after="60" w:before="60"/>
      </w:pPr>
      <w:r>
        <w:rPr>
          <w:rFonts w:ascii="Arial" w:cs="Arial" w:hAnsi="Arial"/>
          <w:b/>
          <w:bCs/>
          <w:color w:val="1F3864"/>
          <w:sz w:val="22"/>
          <w:szCs w:val="22"/>
        </w:rPr>
        <w:t xml:space="preserve">6.  REVISED BUILD SEQUENCE</w:t>
      </w:r>
    </w:p>
    <w:p>
      <w:pPr>
        <w:pBdr>
          <w:bottom w:val="single" w:sz="4" w:space="1" w:color="C9A84C"/>
        </w:pBdr>
        <w:spacing w:after="60" w:before="60"/>
      </w:pPr>
    </w:p>
    <w:p>
      <w:pPr>
        <w:spacing w:after="60" w:before="60"/>
      </w:pPr>
      <w:r>
        <w:rPr>
          <w:rFonts w:ascii="Arial" w:cs="Arial" w:hAnsi="Arial"/>
          <w:b/>
          <w:bCs/>
          <w:color w:val="1F3864"/>
          <w:sz w:val="22"/>
          <w:szCs w:val="22"/>
        </w:rPr>
        <w:t xml:space="preserve">7.  FINAL UNIFIED VERDICT</w:t>
      </w:r>
    </w:p>
    <w:p>
      <w:pPr>
        <w:pBdr>
          <w:bottom w:val="single" w:sz="4" w:space="1" w:color="C9A84C"/>
        </w:pBdr>
        <w:spacing w:after="60" w:before="60"/>
      </w:pPr>
    </w:p>
    <w:p>
      <w:pPr>
        <w:pageBreakBefore/>
      </w:pP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b w:val="false"/>
                <w:bCs w:val="false"/>
                <w:color w:val="000000"/>
                <w:sz w:val="20"/>
                <w:szCs w:val="20"/>
              </w:rPr>
              <w:t xml:space="preserve">HOW TO READ THIS DOCUMENT: This critique consolidates findings from two independent architects who reviewed the JAG Master Architecture v1.5 without conferring. Each finding is tagged with its source: [CLAUDE] = raised by primary assessor only; [GEMINI] = raised by secondary assessor only; [BOTH] = independently identified by both. Severity ratings: BLOCKER = must resolve before writing code; HIGH = resolve before Phase 1 ends; MEDIUM = resolve before Phase 3.</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28"/>
                <w:szCs w:val="28"/>
              </w:rPr>
              <w:t xml:space="preserve">1. OVERALL VERDICT</w:t>
            </w:r>
          </w:p>
        </w:tc>
      </w:tr>
    </w:tbl>
    <w:p>
      <w:pPr>
        <w:spacing w:after="100" w:before="100"/>
      </w:pPr>
      <w:r>
        <w:t xml:space="preserve"/>
      </w:r>
    </w:p>
    <w:p>
      <w:pPr>
        <w:spacing w:after="80" w:before="80"/>
      </w:pPr>
      <w:r>
        <w:rPr>
          <w:rFonts w:ascii="Arial" w:cs="Arial" w:eastAsia="Arial" w:hAnsi="Arial"/>
          <w:sz w:val="22"/>
          <w:szCs w:val="22"/>
        </w:rPr>
        <w:t xml:space="preserve">Both architects reviewed the JAG Master Architecture v1.5 independently and reached the same headline conclusion: the vision is correct, the business logic is thorough, and the security philosophy is sound. Where they differ is in degree of readiness — and on that point, the honest answer is that the plan requires significant pre-build work before Phase 0 should begin.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Claude Assessment</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Gemini Assessment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Unified Verdict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Conceptual architecture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 correctly modular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Brilliant — maps to real business</w:t>
            </w:r>
          </w:p>
        </w:tc>
        <w:tc>
          <w:tcPr>
            <w:tcW w:type="dxa" w:w="2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Agreed — vision is right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philosophy</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defence in depth</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pgcrypto correct</w:t>
            </w:r>
          </w:p>
        </w:tc>
        <w:tc>
          <w:tcPr>
            <w:tcW w:type="dxa" w:w="2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Agreed — keep as designed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sequencing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Sound but finance too late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Needs security-first split</w:t>
            </w:r>
          </w:p>
        </w:tc>
        <w:tc>
          <w:tcPr>
            <w:tcW w:type="dxa" w:w="2960"/>
            <w:tcBorders>
              <w:top w:val="single" w:color="CCCCCC" w:sz="1"/>
              <w:left w:val="single" w:color="CCCCCC" w:sz="1"/>
              <w:bottom w:val="single" w:color="CCCCCC" w:sz="1"/>
              <w:right w:val="single" w:color="CCCCCC" w:sz="1"/>
            </w:tcBorders>
            <w:shd w:fill="FFF0CC"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right — realign phases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Pre-build readiness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ready — 10 blockers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Structurally sound, deploy it</w:t>
            </w:r>
          </w:p>
        </w:tc>
        <w:tc>
          <w:tcPr>
            <w:tcW w:type="dxa" w:w="2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position upheld — see below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isolation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RLS is sufficient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RLS alone is risky — use logical DBs</w:t>
            </w:r>
          </w:p>
        </w:tc>
        <w:tc>
          <w:tcPr>
            <w:tcW w:type="dxa" w:w="2960"/>
            <w:tcBorders>
              <w:top w:val="single" w:color="CCCCCC" w:sz="1"/>
              <w:left w:val="single" w:color="CCCCCC" w:sz="1"/>
              <w:bottom w:val="single" w:color="CCCCCC" w:sz="1"/>
              <w:right w:val="single" w:color="CCCCCC" w:sz="1"/>
            </w:tcBorders>
            <w:shd w:fill="FFF0CC"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correct — upgrade isolation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Mirror / backup approach</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deeply examined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Hourly raw mirror is wrong</w:t>
            </w:r>
          </w:p>
        </w:tc>
        <w:tc>
          <w:tcPr>
            <w:tcW w:type="dxa" w:w="2960"/>
            <w:tcBorders>
              <w:top w:val="single" w:color="CCCCCC" w:sz="1"/>
              <w:left w:val="single" w:color="CCCCCC" w:sz="1"/>
              <w:bottom w:val="single" w:color="CCCCCC" w:sz="1"/>
              <w:right w:val="single" w:color="CCCCCC" w:sz="1"/>
            </w:tcBorders>
            <w:shd w:fill="FFF0CC"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correct — switch to WAL streaming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expense extraction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risk — unspecified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crash Oracle VM as designed</w:t>
            </w:r>
          </w:p>
        </w:tc>
        <w:tc>
          <w:tcPr>
            <w:tcW w:type="dxa" w:w="2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correct — offload to local PC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Members club (CASINO)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Simple ops — no heavy compliance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Incorrectly treated as full casino</w:t>
            </w:r>
          </w:p>
        </w:tc>
        <w:tc>
          <w:tcPr>
            <w:tcW w:type="dxa" w:w="2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correct — Gemini missed the correction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resource risk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gap — solo builder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raised — assumes AI builds freely</w:t>
            </w:r>
          </w:p>
        </w:tc>
        <w:tc>
          <w:tcPr>
            <w:tcW w:type="dxa" w:w="2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position stands — this is a real risk</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val="false"/>
                <w:bCs w:val="false"/>
                <w:color w:val="8B0000"/>
                <w:sz w:val="20"/>
                <w:szCs w:val="20"/>
              </w:rPr>
              <w:t xml:space="preserve">ON GEMINI'S 'READY TO DEPLOY' VERDICT: Gemini concludes the plan is 'ready to deploy' after identifying structural vulnerabilities in database isolation, backup architecture, and compute limits. That verdict contradicts his own findings. A plan with a single-instance DB risk, a broken mirror strategy, and an AI extraction approach that will crash the server is not ready to deploy. The unified position is: the architecture is ready to be finalised — it is not ready to build. The pre-build tasks in Section 4 are non-negotiable.</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28"/>
                <w:szCs w:val="28"/>
              </w:rPr>
              <w:t xml:space="preserve">2. WHAT BOTH ARCHITECTS AGREED IS CORRECT</w:t>
            </w:r>
          </w:p>
        </w:tc>
      </w:tr>
    </w:tbl>
    <w:p>
      <w:pPr>
        <w:spacing w:after="100" w:before="100"/>
      </w:pPr>
      <w:r>
        <w:t xml:space="preserve"/>
      </w:r>
    </w:p>
    <w:p>
      <w:pPr>
        <w:spacing w:after="80" w:before="80"/>
      </w:pPr>
      <w:r>
        <w:rPr>
          <w:rFonts w:ascii="Arial" w:cs="Arial" w:eastAsia="Arial" w:hAnsi="Arial"/>
          <w:sz w:val="22"/>
          <w:szCs w:val="22"/>
        </w:rPr>
        <w:t xml:space="preserve">These elements were independently validated by both assessors. Keep them as designed.</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sz w:val="21"/>
          <w:szCs w:val="21"/>
        </w:rPr>
        <w:t xml:space="preserve">Modular architecture with a central financial backbone — the right structural choice for a diversified conglomerate.</w:t>
      </w:r>
    </w:p>
    <w:p>
      <w:pPr>
        <w:pStyle w:val="ListParagraph"/>
        <w:numPr>
          <w:ilvl w:val="0"/>
          <w:numId w:val="2"/>
        </w:numPr>
        <w:spacing w:after="60" w:before="60"/>
      </w:pPr>
      <w:r>
        <w:rPr>
          <w:rFonts w:ascii="Arial" w:cs="Arial" w:eastAsia="Arial" w:hAnsi="Arial"/>
          <w:b w:val="false"/>
          <w:bCs w:val="false"/>
          <w:sz w:val="21"/>
          <w:szCs w:val="21"/>
        </w:rPr>
        <w:t xml:space="preserve">PostgreSQL 16 as the database engine — powerful, free, and self-hostable with strong security primitives.</w:t>
      </w:r>
    </w:p>
    <w:p>
      <w:pPr>
        <w:pStyle w:val="ListParagraph"/>
        <w:numPr>
          <w:ilvl w:val="0"/>
          <w:numId w:val="2"/>
        </w:numPr>
        <w:spacing w:after="60" w:before="60"/>
      </w:pPr>
      <w:r>
        <w:rPr>
          <w:rFonts w:ascii="Arial" w:cs="Arial" w:eastAsia="Arial" w:hAnsi="Arial"/>
          <w:b w:val="false"/>
          <w:bCs w:val="false"/>
          <w:sz w:val="21"/>
          <w:szCs w:val="21"/>
        </w:rPr>
        <w:t xml:space="preserve">Docker + Docker Compose for containerisation — ensures portability and eliminates vendor lock-in.</w:t>
      </w:r>
    </w:p>
    <w:p>
      <w:pPr>
        <w:pStyle w:val="ListParagraph"/>
        <w:numPr>
          <w:ilvl w:val="0"/>
          <w:numId w:val="2"/>
        </w:numPr>
        <w:spacing w:after="60" w:before="60"/>
      </w:pPr>
      <w:r>
        <w:rPr>
          <w:rFonts w:ascii="Arial" w:cs="Arial" w:eastAsia="Arial" w:hAnsi="Arial"/>
          <w:b w:val="false"/>
          <w:bCs w:val="false"/>
          <w:sz w:val="21"/>
          <w:szCs w:val="21"/>
        </w:rPr>
        <w:t xml:space="preserve">Argon2id for password hashing — industry best practice. Gemini's refinement (server-side only, not on mobile PWA) is the correct implementation note.</w:t>
      </w:r>
    </w:p>
    <w:p>
      <w:pPr>
        <w:pStyle w:val="ListParagraph"/>
        <w:numPr>
          <w:ilvl w:val="0"/>
          <w:numId w:val="2"/>
        </w:numPr>
        <w:spacing w:after="60" w:before="60"/>
      </w:pPr>
      <w:r>
        <w:rPr>
          <w:rFonts w:ascii="Arial" w:cs="Arial" w:eastAsia="Arial" w:hAnsi="Arial"/>
          <w:b w:val="false"/>
          <w:bCs w:val="false"/>
          <w:sz w:val="21"/>
          <w:szCs w:val="21"/>
        </w:rPr>
        <w:t xml:space="preserve">Row-Level Security as a foundational tenant isolation mechanism — correct approach, though Gemini rightly proposes strengthening it with logical database separation (see Finding 1).</w:t>
      </w:r>
    </w:p>
    <w:p>
      <w:pPr>
        <w:pStyle w:val="ListParagraph"/>
        <w:numPr>
          <w:ilvl w:val="0"/>
          <w:numId w:val="2"/>
        </w:numPr>
        <w:spacing w:after="60" w:before="60"/>
      </w:pPr>
      <w:r>
        <w:rPr>
          <w:rFonts w:ascii="Arial" w:cs="Arial" w:eastAsia="Arial" w:hAnsi="Arial"/>
          <w:b w:val="false"/>
          <w:bCs w:val="false"/>
          <w:sz w:val="21"/>
          <w:szCs w:val="21"/>
        </w:rPr>
        <w:t xml:space="preserve">The Three Golden Rules — enter once, same language, you own everything — are sound guiding principles that must be enforced architecturally, not just as policy.</w:t>
      </w:r>
    </w:p>
    <w:p>
      <w:pPr>
        <w:pStyle w:val="ListParagraph"/>
        <w:numPr>
          <w:ilvl w:val="0"/>
          <w:numId w:val="2"/>
        </w:numPr>
        <w:spacing w:after="60" w:before="60"/>
      </w:pPr>
      <w:r>
        <w:rPr>
          <w:rFonts w:ascii="Arial" w:cs="Arial" w:eastAsia="Arial" w:hAnsi="Arial"/>
          <w:b w:val="false"/>
          <w:bCs w:val="false"/>
          <w:sz w:val="21"/>
          <w:szCs w:val="21"/>
        </w:rPr>
        <w:t xml:space="preserve">Caddy + Let's Encrypt for HTTPS — correct choice. Gemini's note on DNS-01 wildcard challenges is valid and addressed by the Cloudflare migration in Finding 8.</w:t>
      </w:r>
    </w:p>
    <w:p>
      <w:pPr>
        <w:pStyle w:val="ListParagraph"/>
        <w:numPr>
          <w:ilvl w:val="0"/>
          <w:numId w:val="2"/>
        </w:numPr>
        <w:spacing w:after="60" w:before="60"/>
      </w:pPr>
      <w:r>
        <w:rPr>
          <w:rFonts w:ascii="Arial" w:cs="Arial" w:eastAsia="Arial" w:hAnsi="Arial"/>
          <w:b w:val="false"/>
          <w:bCs w:val="false"/>
          <w:sz w:val="21"/>
          <w:szCs w:val="21"/>
        </w:rPr>
        <w:t xml:space="preserve">MinIO for self-hosted object storage — correct. S3-compatible, free, integrates cleanly with the stack.</w:t>
      </w:r>
    </w:p>
    <w:p>
      <w:pPr>
        <w:pStyle w:val="ListParagraph"/>
        <w:numPr>
          <w:ilvl w:val="0"/>
          <w:numId w:val="2"/>
        </w:numPr>
        <w:spacing w:after="60" w:before="60"/>
      </w:pPr>
      <w:r>
        <w:rPr>
          <w:rFonts w:ascii="Arial" w:cs="Arial" w:eastAsia="Arial" w:hAnsi="Arial"/>
          <w:b w:val="false"/>
          <w:bCs w:val="false"/>
          <w:sz w:val="21"/>
          <w:szCs w:val="21"/>
        </w:rPr>
        <w:t xml:space="preserve">Phase sequencing logic (infrastructure → IMS → Properties → Finance → Holdings) is directionally correct, with adjustments to the security-first ordering per Gemini's Phase 1A recommendation.</w:t>
      </w:r>
    </w:p>
    <w:p>
      <w:pPr>
        <w:pStyle w:val="ListParagraph"/>
        <w:numPr>
          <w:ilvl w:val="0"/>
          <w:numId w:val="2"/>
        </w:numPr>
        <w:spacing w:after="60" w:before="60"/>
      </w:pPr>
      <w:r>
        <w:rPr>
          <w:rFonts w:ascii="Arial" w:cs="Arial" w:eastAsia="Arial" w:hAnsi="Arial"/>
          <w:b w:val="false"/>
          <w:bCs w:val="false"/>
          <w:sz w:val="21"/>
          <w:szCs w:val="21"/>
        </w:rPr>
        <w:t xml:space="preserve">The succession architecture (graduated daughter access, wife emergency designate, lawyer sealed envelope, key escrow) is sophisticated and correct for the family's risk profile.</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28"/>
                <w:szCs w:val="28"/>
              </w:rPr>
              <w:t xml:space="preserve">3. UNIFIED FINDINGS — ALL ISSUES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rFonts w:ascii="Arial" w:cs="Arial" w:eastAsia="Arial" w:hAnsi="Arial"/>
                <w:b w:val="false"/>
                <w:bCs w:val="false"/>
                <w:color w:val="1F3864"/>
                <w:sz w:val="20"/>
                <w:szCs w:val="20"/>
              </w:rPr>
              <w:t xml:space="preserve">27 findings total. 8 BLOCKERS (must resolve before code). 12 HIGH (resolve before Phase 1 ends). 7 MEDIUM (resolve before Phase 3). Findings marked [BOTH] were independently identified by both architects — these carry the highest confidence.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40"/>
              <w:bottom w:type="dxa" w:w="120"/>
              <w:right w:type="dxa" w:w="240"/>
            </w:tcMar>
          </w:tcPr>
          <w:p>
            <w:r>
              <w:rPr>
                <w:rFonts w:ascii="Arial" w:cs="Arial" w:eastAsia="Arial" w:hAnsi="Arial"/>
                <w:b/>
                <w:bCs/>
                <w:color w:val="1F3864"/>
                <w:sz w:val="24"/>
                <w:szCs w:val="24"/>
              </w:rPr>
              <w:t xml:space="preserve">3A. BLOCKERS — Resolve Before Writing a Single Line of Code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B-01. Database Isolation: Single Instance Risk   </w:t>
            </w:r>
            <w:r>
              <w:rPr>
                <w:rFonts w:ascii="Arial" w:cs="Arial" w:eastAsia="Arial" w:hAnsi="Arial"/>
                <w:b/>
                <w:bCs/>
                <w:color w:val="FF9999"/>
                <w:sz w:val="20"/>
                <w:szCs w:val="20"/>
              </w:rPr>
              <w:t xml:space="preserve">[BLOCKER]</w:t>
            </w:r>
            <w:r>
              <w:rPr>
                <w:rFonts w:ascii="Arial" w:cs="Arial" w:eastAsia="Arial" w:hAnsi="Arial"/>
                <w:i/>
                <w:iCs/>
                <w:color w:val="D5E8F0"/>
                <w:sz w:val="18"/>
                <w:szCs w:val="18"/>
              </w:rPr>
              <w:t xml:space="preserve">   Source: [BOTH — Gemini primary]</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 current design places all 11 operating domains plus Brian's 7 mirrored modules inside a single PostgreSQL schema, relying on Row-Level Security alone to separate them.</w:t>
            </w:r>
          </w:p>
          <w:p>
            <w:pPr>
              <w:pStyle w:val="ListParagraph"/>
              <w:numPr>
                <w:ilvl w:val="0"/>
                <w:numId w:val="2"/>
              </w:numPr>
              <w:spacing w:after="40" w:before="40"/>
            </w:pPr>
            <w:r>
              <w:rPr>
                <w:rFonts w:ascii="Arial" w:cs="Arial" w:eastAsia="Arial" w:hAnsi="Arial"/>
                <w:sz w:val="20"/>
                <w:szCs w:val="20"/>
              </w:rPr>
              <w:t xml:space="preserve">If Claude or any developer generates a faulty migration, an overly permissive SQL view, or a misconfigured RLS policy during routine deployment, cross-tenant data exposure becomes possible. JABCO financials visible to BAR staff. Family wealth data visible to foremen.</w:t>
            </w:r>
          </w:p>
          <w:p>
            <w:pPr>
              <w:pStyle w:val="ListParagraph"/>
              <w:numPr>
                <w:ilvl w:val="0"/>
                <w:numId w:val="2"/>
              </w:numPr>
              <w:spacing w:after="40" w:before="40"/>
            </w:pPr>
            <w:r>
              <w:rPr>
                <w:rFonts w:ascii="Arial" w:cs="Arial" w:eastAsia="Arial" w:hAnsi="Arial"/>
                <w:sz w:val="20"/>
                <w:szCs w:val="20"/>
              </w:rPr>
              <w:t xml:space="preserve">RLS is a strong tool but it is a policy layer, not a physical separation. A single superuser connection bypasses it entirely.</w:t>
            </w:r>
          </w:p>
          <w:p>
            <w:pPr>
              <w:pStyle w:val="ListParagraph"/>
              <w:numPr>
                <w:ilvl w:val="0"/>
                <w:numId w:val="2"/>
              </w:numPr>
              <w:spacing w:after="40" w:before="40"/>
            </w:pPr>
            <w:r>
              <w:rPr>
                <w:rFonts w:ascii="Arial" w:cs="Arial" w:eastAsia="Arial" w:hAnsi="Arial"/>
                <w:sz w:val="20"/>
                <w:szCs w:val="20"/>
              </w:rPr>
              <w:t xml:space="preserve">Gemini's recommendation to use separate physical databases within the same PostgreSQL instance is correct and adds meaningful defence-in-depth at near-zero cost.</w:t>
            </w:r>
          </w:p>
          <w:p>
            <w:pPr>
              <w:pStyle w:val="ListParagraph"/>
              <w:numPr>
                <w:ilvl w:val="0"/>
                <w:numId w:val="2"/>
              </w:numPr>
              <w:spacing w:after="40" w:before="40"/>
            </w:pPr>
            <w:r>
              <w:rPr>
                <w:rFonts w:ascii="Arial" w:cs="Arial" w:eastAsia="Arial" w:hAnsi="Arial"/>
                <w:sz w:val="20"/>
                <w:szCs w:val="20"/>
              </w:rPr>
              <w:t xml:space="preserve">Proposed isolation structure: jag_core (Holdings, Finance, Succession, Lifestyle) / jag_commercial (JABCO, Fleet, DragonBridge) / jag_entertainment (BAR, Members Club) / jag_family (Brian's portal, HOME, personal FLEET) / jag_properties (JAG Properties, PROPS).</w:t>
            </w:r>
          </w:p>
          <w:p>
            <w:pPr>
              <w:pStyle w:val="ListParagraph"/>
              <w:numPr>
                <w:ilvl w:val="0"/>
                <w:numId w:val="2"/>
              </w:numPr>
              <w:spacing w:after="40" w:before="40"/>
            </w:pPr>
            <w:r>
              <w:rPr>
                <w:rFonts w:ascii="Arial" w:cs="Arial" w:eastAsia="Arial" w:hAnsi="Arial"/>
                <w:sz w:val="20"/>
                <w:szCs w:val="20"/>
              </w:rPr>
              <w:t xml:space="preserve">All databases run in the same PostgreSQL instance on the same Oracle VM — no additional compute required. Cross-database queries use foreign data wrappers (postgres_fdw) for the limited cases where JAG Holdings needs consolidated data.</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Restructure the data model to use five logical databases before writing any schema migrations.</w:t>
            </w:r>
          </w:p>
          <w:p>
            <w:pPr>
              <w:pStyle w:val="ListParagraph"/>
              <w:numPr>
                <w:ilvl w:val="0"/>
                <w:numId w:val="3"/>
              </w:numPr>
              <w:spacing w:after="30" w:before="30"/>
            </w:pPr>
            <w:r>
              <w:rPr>
                <w:rFonts w:ascii="Arial" w:cs="Arial" w:eastAsia="Arial" w:hAnsi="Arial"/>
                <w:b/>
                <w:bCs/>
                <w:sz w:val="20"/>
                <w:szCs w:val="20"/>
              </w:rPr>
              <w:t xml:space="preserve">Update the unified ERD to reflect database boundaries as security zones.</w:t>
            </w:r>
          </w:p>
          <w:p>
            <w:pPr>
              <w:pStyle w:val="ListParagraph"/>
              <w:numPr>
                <w:ilvl w:val="0"/>
                <w:numId w:val="3"/>
              </w:numPr>
              <w:spacing w:after="30" w:before="30"/>
            </w:pPr>
            <w:r>
              <w:rPr>
                <w:rFonts w:ascii="Arial" w:cs="Arial" w:eastAsia="Arial" w:hAnsi="Arial"/>
                <w:b/>
                <w:bCs/>
                <w:sz w:val="20"/>
                <w:szCs w:val="20"/>
              </w:rPr>
              <w:t xml:space="preserve">Configure postgres_fdw for cross-database aggregation in JAG Holdings only.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B-02. No Unified Data Model (ERD / Schema)   </w:t>
            </w:r>
            <w:r>
              <w:rPr>
                <w:rFonts w:ascii="Arial" w:cs="Arial" w:eastAsia="Arial" w:hAnsi="Arial"/>
                <w:b/>
                <w:bCs/>
                <w:color w:val="FF9999"/>
                <w:sz w:val="20"/>
                <w:szCs w:val="20"/>
              </w:rPr>
              <w:t xml:space="preserve">[BLOCKER]</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 document lists what data to track but contains no Entity-Relationship diagram or schema definition outside the IMS data model.</w:t>
            </w:r>
          </w:p>
          <w:p>
            <w:pPr>
              <w:pStyle w:val="ListParagraph"/>
              <w:numPr>
                <w:ilvl w:val="0"/>
                <w:numId w:val="2"/>
              </w:numPr>
              <w:spacing w:after="40" w:before="40"/>
            </w:pPr>
            <w:r>
              <w:rPr>
                <w:rFonts w:ascii="Arial" w:cs="Arial" w:eastAsia="Arial" w:hAnsi="Arial"/>
                <w:sz w:val="20"/>
                <w:szCs w:val="20"/>
              </w:rPr>
              <w:t xml:space="preserve">The shared master data layer — vendors, customers, bank accounts, users, insurance policies — is the most architecturally complex part of the build. Its foreign key relationships span every module.</w:t>
            </w:r>
          </w:p>
          <w:p>
            <w:pPr>
              <w:pStyle w:val="ListParagraph"/>
              <w:numPr>
                <w:ilvl w:val="0"/>
                <w:numId w:val="2"/>
              </w:numPr>
              <w:spacing w:after="40" w:before="40"/>
            </w:pPr>
            <w:r>
              <w:rPr>
                <w:rFonts w:ascii="Arial" w:cs="Arial" w:eastAsia="Arial" w:hAnsi="Arial"/>
                <w:sz w:val="20"/>
                <w:szCs w:val="20"/>
              </w:rPr>
              <w:t xml:space="preserve">Without a locked schema, Phase 2 will break Phase 1 data structures. Phase 4 will break Phase 2. Database migrations become an ongoing rebuild rather than an evolution.</w:t>
            </w:r>
          </w:p>
          <w:p>
            <w:pPr>
              <w:pStyle w:val="ListParagraph"/>
              <w:numPr>
                <w:ilvl w:val="0"/>
                <w:numId w:val="2"/>
              </w:numPr>
              <w:spacing w:after="40" w:before="40"/>
            </w:pPr>
            <w:r>
              <w:rPr>
                <w:rFonts w:ascii="Arial" w:cs="Arial" w:eastAsia="Arial" w:hAnsi="Arial"/>
                <w:sz w:val="20"/>
                <w:szCs w:val="20"/>
              </w:rPr>
              <w:t xml:space="preserve">The IMS_Data_Model_v1.0.dbml file covers one module. Six more modules need the same treatment before code starts.</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Produce a unified .dbml or ERD covering all five logical databases, all entities, and all cross-database relationships. One week of design work.</w:t>
            </w:r>
          </w:p>
          <w:p>
            <w:pPr>
              <w:pStyle w:val="ListParagraph"/>
              <w:numPr>
                <w:ilvl w:val="0"/>
                <w:numId w:val="3"/>
              </w:numPr>
              <w:spacing w:after="30" w:before="30"/>
            </w:pPr>
            <w:r>
              <w:rPr>
                <w:rFonts w:ascii="Arial" w:cs="Arial" w:eastAsia="Arial" w:hAnsi="Arial"/>
                <w:b/>
                <w:bCs/>
                <w:sz w:val="20"/>
                <w:szCs w:val="20"/>
              </w:rPr>
              <w:t xml:space="preserve">This document becomes the authoritative reference for all code generation — share it alongside the Architecture document at every Claude session.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B-03. AI Expense Extraction Will Crash the Oracle VM   </w:t>
            </w:r>
            <w:r>
              <w:rPr>
                <w:rFonts w:ascii="Arial" w:cs="Arial" w:eastAsia="Arial" w:hAnsi="Arial"/>
                <w:b/>
                <w:bCs/>
                <w:color w:val="FF9999"/>
                <w:sz w:val="20"/>
                <w:szCs w:val="20"/>
              </w:rPr>
              <w:t xml:space="preserve">[BLOCKER]</w:t>
            </w:r>
            <w:r>
              <w:rPr>
                <w:rFonts w:ascii="Arial" w:cs="Arial" w:eastAsia="Arial" w:hAnsi="Arial"/>
                <w:i/>
                <w:iCs/>
                <w:color w:val="D5E8F0"/>
                <w:sz w:val="18"/>
                <w:szCs w:val="18"/>
              </w:rPr>
              <w:t xml:space="preserve">   Source: [BOTH]</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Section 13 describes an AI extraction engine processing multi-page PDFs, credit card statements, and bank statements from 20+ accounts monthly.</w:t>
            </w:r>
          </w:p>
          <w:p>
            <w:pPr>
              <w:pStyle w:val="ListParagraph"/>
              <w:numPr>
                <w:ilvl w:val="0"/>
                <w:numId w:val="2"/>
              </w:numPr>
              <w:spacing w:after="40" w:before="40"/>
            </w:pPr>
            <w:r>
              <w:rPr>
                <w:rFonts w:ascii="Arial" w:cs="Arial" w:eastAsia="Arial" w:hAnsi="Arial"/>
                <w:sz w:val="20"/>
                <w:szCs w:val="20"/>
              </w:rPr>
              <w:t xml:space="preserve">Gemini's diagnosis is precise: running heavy OCR and LLM parsing workloads directly on the Oracle Ampere A1 Free Tier ARM CPU will saturate the processor, starve the active Node.js API threads, and lock out mobile PWA users during processing.</w:t>
            </w:r>
          </w:p>
          <w:p>
            <w:pPr>
              <w:pStyle w:val="ListParagraph"/>
              <w:numPr>
                <w:ilvl w:val="0"/>
                <w:numId w:val="2"/>
              </w:numPr>
              <w:spacing w:after="40" w:before="40"/>
            </w:pPr>
            <w:r>
              <w:rPr>
                <w:rFonts w:ascii="Arial" w:cs="Arial" w:eastAsia="Arial" w:hAnsi="Arial"/>
                <w:sz w:val="20"/>
                <w:szCs w:val="20"/>
              </w:rPr>
              <w:t xml:space="preserve">The Oracle Free Tier is intentionally compute-constrained. It is sized for serving a web application, not for parallel document processing.</w:t>
            </w:r>
          </w:p>
          <w:p>
            <w:pPr>
              <w:pStyle w:val="ListParagraph"/>
              <w:numPr>
                <w:ilvl w:val="0"/>
                <w:numId w:val="2"/>
              </w:numPr>
              <w:spacing w:after="40" w:before="40"/>
            </w:pPr>
            <w:r>
              <w:rPr>
                <w:rFonts w:ascii="Arial" w:cs="Arial" w:eastAsia="Arial" w:hAnsi="Arial"/>
                <w:sz w:val="20"/>
                <w:szCs w:val="20"/>
              </w:rPr>
              <w:t xml:space="preserve">Additionally, the AI extraction approach is unspecified. Which model? Which parser? RBC, Republic, First Citizens, JMMB, and Scotiabank all produce different PDF statement formats. A general AI approach without bank-specific rules will produce inconsistent extraction accuracy.</w:t>
            </w:r>
          </w:p>
          <w:p>
            <w:pPr>
              <w:pStyle w:val="ListParagraph"/>
              <w:numPr>
                <w:ilvl w:val="0"/>
                <w:numId w:val="2"/>
              </w:numPr>
              <w:spacing w:after="40" w:before="40"/>
            </w:pPr>
            <w:r>
              <w:rPr>
                <w:rFonts w:ascii="Arial" w:cs="Arial" w:eastAsia="Arial" w:hAnsi="Arial"/>
                <w:sz w:val="20"/>
                <w:szCs w:val="20"/>
              </w:rPr>
              <w:t xml:space="preserve">When the AI misclassifies an expense to the wrong entity, the correction workflow and audit trail are not defined.</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Offload the extraction engine entirely to Robert's local Windows PC. Run OCR and parsing there; POST clean structured JSON to the Oracle VM API. This costs nothing and eliminates the compute constraint.</w:t>
            </w:r>
          </w:p>
          <w:p>
            <w:pPr>
              <w:pStyle w:val="ListParagraph"/>
              <w:numPr>
                <w:ilvl w:val="0"/>
                <w:numId w:val="3"/>
              </w:numPr>
              <w:spacing w:after="30" w:before="30"/>
            </w:pPr>
            <w:r>
              <w:rPr>
                <w:rFonts w:ascii="Arial" w:cs="Arial" w:eastAsia="Arial" w:hAnsi="Arial"/>
                <w:b/>
                <w:bCs/>
                <w:sz w:val="20"/>
                <w:szCs w:val="20"/>
              </w:rPr>
              <w:t xml:space="preserve">Build a proof-of-concept parser for Republic Bank and First Citizens Bank statements before committing to AI extraction as the primary approach.</w:t>
            </w:r>
          </w:p>
          <w:p>
            <w:pPr>
              <w:pStyle w:val="ListParagraph"/>
              <w:numPr>
                <w:ilvl w:val="0"/>
                <w:numId w:val="3"/>
              </w:numPr>
              <w:spacing w:after="30" w:before="30"/>
            </w:pPr>
            <w:r>
              <w:rPr>
                <w:rFonts w:ascii="Arial" w:cs="Arial" w:eastAsia="Arial" w:hAnsi="Arial"/>
                <w:b/>
                <w:bCs/>
                <w:sz w:val="20"/>
                <w:szCs w:val="20"/>
              </w:rPr>
              <w:t xml:space="preserve">Define an explicit correction workflow and audit trail for misclassified transactions before the extraction engine goes live.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B-04. No API Contract for JAG Holdings Integration   </w:t>
            </w:r>
            <w:r>
              <w:rPr>
                <w:rFonts w:ascii="Arial" w:cs="Arial" w:eastAsia="Arial" w:hAnsi="Arial"/>
                <w:b/>
                <w:bCs/>
                <w:color w:val="FF9999"/>
                <w:sz w:val="20"/>
                <w:szCs w:val="20"/>
              </w:rPr>
              <w:t xml:space="preserve">[BLOCKER]</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 integration table specifies 'REST APIs + Webhooks' for every module-to-Holdings connection. This is a technology choice, not a design.</w:t>
            </w:r>
          </w:p>
          <w:p>
            <w:pPr>
              <w:pStyle w:val="ListParagraph"/>
              <w:numPr>
                <w:ilvl w:val="0"/>
                <w:numId w:val="2"/>
              </w:numPr>
              <w:spacing w:after="40" w:before="40"/>
            </w:pPr>
            <w:r>
              <w:rPr>
                <w:rFonts w:ascii="Arial" w:cs="Arial" w:eastAsia="Arial" w:hAnsi="Arial"/>
                <w:sz w:val="20"/>
                <w:szCs w:val="20"/>
              </w:rPr>
              <w:t xml:space="preserve">No endpoint definitions, payload schemas, versioning strategy, or error handling conventions exist anywhere in the document.</w:t>
            </w:r>
          </w:p>
          <w:p>
            <w:pPr>
              <w:pStyle w:val="ListParagraph"/>
              <w:numPr>
                <w:ilvl w:val="0"/>
                <w:numId w:val="2"/>
              </w:numPr>
              <w:spacing w:after="40" w:before="40"/>
            </w:pPr>
            <w:r>
              <w:rPr>
                <w:rFonts w:ascii="Arial" w:cs="Arial" w:eastAsia="Arial" w:hAnsi="Arial"/>
                <w:sz w:val="20"/>
                <w:szCs w:val="20"/>
              </w:rPr>
              <w:t xml:space="preserve">With 8+ modules independently developed across 7 phases, each will implement its own interpretation of how to communicate with the backbone. By Phase 3 you will have an integration landscape that is inconsistent and impossible to debug cleanly.</w:t>
            </w:r>
          </w:p>
          <w:p>
            <w:pPr>
              <w:pStyle w:val="ListParagraph"/>
              <w:numPr>
                <w:ilvl w:val="0"/>
                <w:numId w:val="2"/>
              </w:numPr>
              <w:spacing w:after="40" w:before="40"/>
            </w:pPr>
            <w:r>
              <w:rPr>
                <w:rFonts w:ascii="Arial" w:cs="Arial" w:eastAsia="Arial" w:hAnsi="Arial"/>
                <w:sz w:val="20"/>
                <w:szCs w:val="20"/>
              </w:rPr>
              <w:t xml:space="preserve">API versioning matters because Phase 1 endpoints must still work when Phase 4 modules are added without a rebuild.</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Define the JAG Holdings internal API contract before Phase 1 build. An OpenAPI YAML skeleton covering core endpoints (assets, financials, users, compliance events, insurance) is sufficient.</w:t>
            </w:r>
          </w:p>
          <w:p>
            <w:pPr>
              <w:pStyle w:val="ListParagraph"/>
              <w:numPr>
                <w:ilvl w:val="0"/>
                <w:numId w:val="3"/>
              </w:numPr>
              <w:spacing w:after="30" w:before="30"/>
            </w:pPr>
            <w:r>
              <w:rPr>
                <w:rFonts w:ascii="Arial" w:cs="Arial" w:eastAsia="Arial" w:hAnsi="Arial"/>
                <w:b/>
                <w:bCs/>
                <w:sz w:val="20"/>
                <w:szCs w:val="20"/>
              </w:rPr>
              <w:t xml:space="preserve">Establish an API versioning convention (e.g. /api/v1/) from day one so future modules never break existing integrations.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B-05. No Event Handling / Retry Architecture   </w:t>
            </w:r>
            <w:r>
              <w:rPr>
                <w:rFonts w:ascii="Arial" w:cs="Arial" w:eastAsia="Arial" w:hAnsi="Arial"/>
                <w:b/>
                <w:bCs/>
                <w:color w:val="FF9999"/>
                <w:sz w:val="20"/>
                <w:szCs w:val="20"/>
              </w:rPr>
              <w:t xml:space="preserve">[BLOCKER]</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 integration design is fire-and-forget webhooks. There is no defined behaviour for webhook failure, JAG Holdings temporary unavailability, or concurrent updates to the same master record.</w:t>
            </w:r>
          </w:p>
          <w:p>
            <w:pPr>
              <w:pStyle w:val="ListParagraph"/>
              <w:numPr>
                <w:ilvl w:val="0"/>
                <w:numId w:val="2"/>
              </w:numPr>
              <w:spacing w:after="40" w:before="40"/>
            </w:pPr>
            <w:r>
              <w:rPr>
                <w:rFonts w:ascii="Arial" w:cs="Arial" w:eastAsia="Arial" w:hAnsi="Arial"/>
                <w:sz w:val="20"/>
                <w:szCs w:val="20"/>
              </w:rPr>
              <w:t xml:space="preserve">With 8+ modules all pushing to a central backbone, silent data loss and race conditions are inevitable under this model.</w:t>
            </w:r>
          </w:p>
          <w:p>
            <w:pPr>
              <w:pStyle w:val="ListParagraph"/>
              <w:numPr>
                <w:ilvl w:val="0"/>
                <w:numId w:val="2"/>
              </w:numPr>
              <w:spacing w:after="40" w:before="40"/>
            </w:pPr>
            <w:r>
              <w:rPr>
                <w:rFonts w:ascii="Arial" w:cs="Arial" w:eastAsia="Arial" w:hAnsi="Arial"/>
                <w:sz w:val="20"/>
                <w:szCs w:val="20"/>
              </w:rPr>
              <w:t xml:space="preserve">This is particularly dangerous for financial events: a rent payment confirmed in JAG Properties but lost in transit to JAG Holdings will produce a reconciliation gap that is difficult to detect and harder to trace.</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Implement PostgreSQL LISTEN/NOTIFY as the internal event bus — it is already in your stack, costs nothing, and provides reliable at-least-once delivery within the same PostgreSQL instance.</w:t>
            </w:r>
          </w:p>
          <w:p>
            <w:pPr>
              <w:pStyle w:val="ListParagraph"/>
              <w:numPr>
                <w:ilvl w:val="0"/>
                <w:numId w:val="3"/>
              </w:numPr>
              <w:spacing w:after="30" w:before="30"/>
            </w:pPr>
            <w:r>
              <w:rPr>
                <w:rFonts w:ascii="Arial" w:cs="Arial" w:eastAsia="Arial" w:hAnsi="Arial"/>
                <w:b/>
                <w:bCs/>
                <w:sz w:val="20"/>
                <w:szCs w:val="20"/>
              </w:rPr>
              <w:t xml:space="preserve">Add a dead-letter queue table for failed webhook events with automatic retry and alert on repeated failure.</w:t>
            </w:r>
          </w:p>
          <w:p>
            <w:pPr>
              <w:pStyle w:val="ListParagraph"/>
              <w:numPr>
                <w:ilvl w:val="0"/>
                <w:numId w:val="3"/>
              </w:numPr>
              <w:spacing w:after="30" w:before="30"/>
            </w:pPr>
            <w:r>
              <w:rPr>
                <w:rFonts w:ascii="Arial" w:cs="Arial" w:eastAsia="Arial" w:hAnsi="Arial"/>
                <w:b/>
                <w:bCs/>
                <w:sz w:val="20"/>
                <w:szCs w:val="20"/>
              </w:rPr>
              <w:t xml:space="preserve">Define idempotency keys on all financial event endpoints so duplicate delivery never produces duplicate postings.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B-06. No Authentication / SSO Implementation Plan   </w:t>
            </w:r>
            <w:r>
              <w:rPr>
                <w:rFonts w:ascii="Arial" w:cs="Arial" w:eastAsia="Arial" w:hAnsi="Arial"/>
                <w:b/>
                <w:bCs/>
                <w:color w:val="FF9999"/>
                <w:sz w:val="20"/>
                <w:szCs w:val="20"/>
              </w:rPr>
              <w:t xml:space="preserve">[BLOCKER]</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 document specifies Argon2id + TOTP + WebAuthn. These are correct choices. But there is no specification for how SSO is actually implemented across 12+ modules.</w:t>
            </w:r>
          </w:p>
          <w:p>
            <w:pPr>
              <w:pStyle w:val="ListParagraph"/>
              <w:numPr>
                <w:ilvl w:val="0"/>
                <w:numId w:val="2"/>
              </w:numPr>
              <w:spacing w:after="40" w:before="40"/>
            </w:pPr>
            <w:r>
              <w:rPr>
                <w:rFonts w:ascii="Arial" w:cs="Arial" w:eastAsia="Arial" w:hAnsi="Arial"/>
                <w:sz w:val="20"/>
                <w:szCs w:val="20"/>
              </w:rPr>
              <w:t xml:space="preserve">Single sign-on is a three-word phrase hiding one of the most complex problems in the build. How do tokens propagate? How do role changes take effect in real-time across running sessions? How does Brian's isolated portal share authentication infrastructure without sharing data?</w:t>
            </w:r>
          </w:p>
          <w:p>
            <w:pPr>
              <w:pStyle w:val="ListParagraph"/>
              <w:numPr>
                <w:ilvl w:val="0"/>
                <w:numId w:val="2"/>
              </w:numPr>
              <w:spacing w:after="40" w:before="40"/>
            </w:pPr>
            <w:r>
              <w:rPr>
                <w:rFonts w:ascii="Arial" w:cs="Arial" w:eastAsia="Arial" w:hAnsi="Arial"/>
                <w:sz w:val="20"/>
                <w:szCs w:val="20"/>
              </w:rPr>
              <w:t xml:space="preserve">Gemini correctly notes that Argon2id should run server-side only during initial authentication, not on the mobile PWA client — heavy hashing on entry-level mobile devices causes lag and battery drain. Re-authentication on mobile should use WebAuthn biometrics or short-lived JWT pairs.</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Decide on auth implementation before Phase 0 ends: Keycloak (free, self-hosted, mature) or a custom JWT auth service as a Docker container.</w:t>
            </w:r>
          </w:p>
          <w:p>
            <w:pPr>
              <w:pStyle w:val="ListParagraph"/>
              <w:numPr>
                <w:ilvl w:val="0"/>
                <w:numId w:val="3"/>
              </w:numPr>
              <w:spacing w:after="30" w:before="30"/>
            </w:pPr>
            <w:r>
              <w:rPr>
                <w:rFonts w:ascii="Arial" w:cs="Arial" w:eastAsia="Arial" w:hAnsi="Arial"/>
                <w:b/>
                <w:bCs/>
                <w:sz w:val="20"/>
                <w:szCs w:val="20"/>
              </w:rPr>
              <w:t xml:space="preserve">Document the token lifecycle: issuance, refresh, expiry, revocation, and cross-module propagation.</w:t>
            </w:r>
          </w:p>
          <w:p>
            <w:pPr>
              <w:pStyle w:val="ListParagraph"/>
              <w:numPr>
                <w:ilvl w:val="0"/>
                <w:numId w:val="3"/>
              </w:numPr>
              <w:spacing w:after="30" w:before="30"/>
            </w:pPr>
            <w:r>
              <w:rPr>
                <w:rFonts w:ascii="Arial" w:cs="Arial" w:eastAsia="Arial" w:hAnsi="Arial"/>
                <w:b/>
                <w:bCs/>
                <w:sz w:val="20"/>
                <w:szCs w:val="20"/>
              </w:rPr>
              <w:t xml:space="preserve">Move Argon2id to server-side only. Use WebAuthn biometrics or encrypted short-lived JWT for mobile PWA re-unlock.</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B-07. No Database Migration Tooling   </w:t>
            </w:r>
            <w:r>
              <w:rPr>
                <w:rFonts w:ascii="Arial" w:cs="Arial" w:eastAsia="Arial" w:hAnsi="Arial"/>
                <w:b/>
                <w:bCs/>
                <w:color w:val="FF9999"/>
                <w:sz w:val="20"/>
                <w:szCs w:val="20"/>
              </w:rPr>
              <w:t xml:space="preserve">[BLOCKER]</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There is no mention of how database schema changes are managed as the platform evolves across 7 phases.</w:t>
            </w:r>
          </w:p>
          <w:p>
            <w:pPr>
              <w:pStyle w:val="ListParagraph"/>
              <w:numPr>
                <w:ilvl w:val="0"/>
                <w:numId w:val="2"/>
              </w:numPr>
              <w:spacing w:after="40" w:before="40"/>
            </w:pPr>
            <w:r>
              <w:rPr>
                <w:rFonts w:ascii="Arial" w:cs="Arial" w:eastAsia="Arial" w:hAnsi="Arial"/>
                <w:sz w:val="20"/>
                <w:szCs w:val="20"/>
              </w:rPr>
              <w:t xml:space="preserve">Without a migration tool, by Phase 3 there will be manual SQL scripts in a folder. By Phase 5, no one will know which were run on the live server versus the development machine.</w:t>
            </w:r>
          </w:p>
          <w:p>
            <w:pPr>
              <w:pStyle w:val="ListParagraph"/>
              <w:numPr>
                <w:ilvl w:val="0"/>
                <w:numId w:val="2"/>
              </w:numPr>
              <w:spacing w:after="40" w:before="40"/>
            </w:pPr>
            <w:r>
              <w:rPr>
                <w:rFonts w:ascii="Arial" w:cs="Arial" w:eastAsia="Arial" w:hAnsi="Arial"/>
                <w:sz w:val="20"/>
                <w:szCs w:val="20"/>
              </w:rPr>
              <w:t xml:space="preserve">With five logical databases, migration management becomes even more critical — changes to shared master data in jag_core must be coordinated with dependent modules across other databases.</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Install and configure node-pg-migrate before Phase 1 coding starts. It integrates cleanly with Node.js/TypeScript and takes less than a day to set up.</w:t>
            </w:r>
          </w:p>
          <w:p>
            <w:pPr>
              <w:pStyle w:val="ListParagraph"/>
              <w:numPr>
                <w:ilvl w:val="0"/>
                <w:numId w:val="3"/>
              </w:numPr>
              <w:spacing w:after="30" w:before="30"/>
            </w:pPr>
            <w:r>
              <w:rPr>
                <w:rFonts w:ascii="Arial" w:cs="Arial" w:eastAsia="Arial" w:hAnsi="Arial"/>
                <w:b/>
                <w:bCs/>
                <w:sz w:val="20"/>
                <w:szCs w:val="20"/>
              </w:rPr>
              <w:t xml:space="preserve">Every schema change is a migration file from day one — no exceptions. This is a half-day task that prevents months of pain.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B-08. Oracle Free Tier Is Underrated as a Risk   </w:t>
            </w:r>
            <w:r>
              <w:rPr>
                <w:rFonts w:ascii="Arial" w:cs="Arial" w:eastAsia="Arial" w:hAnsi="Arial"/>
                <w:b/>
                <w:bCs/>
                <w:color w:val="FF9999"/>
                <w:sz w:val="20"/>
                <w:szCs w:val="20"/>
              </w:rPr>
              <w:t xml:space="preserve">[BLOCKER]</w:t>
            </w:r>
            <w:r>
              <w:rPr>
                <w:rFonts w:ascii="Arial" w:cs="Arial" w:eastAsia="Arial" w:hAnsi="Arial"/>
                <w:i/>
                <w:iCs/>
                <w:color w:val="D5E8F0"/>
                <w:sz w:val="18"/>
                <w:szCs w:val="18"/>
              </w:rPr>
              <w:t xml:space="preserve">   Source: [BOTH]</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 document rates Oracle Free Tier discontinuation as 'Very Low.' This is optimistic. Oracle has a documented history of free-tier termination with minimal notice, account flagging for commercial use, and aggressive resource reclamation.</w:t>
            </w:r>
          </w:p>
          <w:p>
            <w:pPr>
              <w:pStyle w:val="ListParagraph"/>
              <w:numPr>
                <w:ilvl w:val="0"/>
                <w:numId w:val="2"/>
              </w:numPr>
              <w:spacing w:after="40" w:before="40"/>
            </w:pPr>
            <w:r>
              <w:rPr>
                <w:rFonts w:ascii="Arial" w:cs="Arial" w:eastAsia="Arial" w:hAnsi="Arial"/>
                <w:sz w:val="20"/>
                <w:szCs w:val="20"/>
              </w:rPr>
              <w:t xml:space="preserve">The PC mirror is a disaster recovery target, not a hot standby. If Oracle terminates the account on a Tuesday and the PC is at Fyzabad, you face a multi-hour recovery with no documented runbook that Brian or your wife can execute.</w:t>
            </w:r>
          </w:p>
          <w:p>
            <w:pPr>
              <w:pStyle w:val="ListParagraph"/>
              <w:numPr>
                <w:ilvl w:val="0"/>
                <w:numId w:val="2"/>
              </w:numPr>
              <w:spacing w:after="40" w:before="40"/>
            </w:pPr>
            <w:r>
              <w:rPr>
                <w:rFonts w:ascii="Arial" w:cs="Arial" w:eastAsia="Arial" w:hAnsi="Arial"/>
                <w:sz w:val="20"/>
                <w:szCs w:val="20"/>
              </w:rPr>
              <w:t xml:space="preserve">The '4 hours to restore' assumption requires: the PC is accessible, the mirror is current, someone who is not Robert knows the procedure, and the failover has been rehearsed. None of these conditions are currently guaranteed.</w:t>
            </w:r>
          </w:p>
          <w:p>
            <w:pPr>
              <w:pStyle w:val="ListParagraph"/>
              <w:numPr>
                <w:ilvl w:val="0"/>
                <w:numId w:val="2"/>
              </w:numPr>
              <w:spacing w:after="40" w:before="40"/>
            </w:pPr>
            <w:r>
              <w:rPr>
                <w:rFonts w:ascii="Arial" w:cs="Arial" w:eastAsia="Arial" w:hAnsi="Arial"/>
                <w:sz w:val="20"/>
                <w:szCs w:val="20"/>
              </w:rPr>
              <w:t xml:space="preserve">Gemini correctly identifies that full infrastructure Restic snapshots should not run hourly over a residential Trinidad internet connection. The approach should be: WAL streaming for database records (continuous, low-bandwidth), async MinIO sync for new files (event-triggered, not scheduled), and one full Restic snapshot nightly during a maintenance window.</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Write a step-by-step failover runbook that Brian or your wife can execute without Robert present. Test it.</w:t>
            </w:r>
          </w:p>
          <w:p>
            <w:pPr>
              <w:pStyle w:val="ListParagraph"/>
              <w:numPr>
                <w:ilvl w:val="0"/>
                <w:numId w:val="3"/>
              </w:numPr>
              <w:spacing w:after="30" w:before="30"/>
            </w:pPr>
            <w:r>
              <w:rPr>
                <w:rFonts w:ascii="Arial" w:cs="Arial" w:eastAsia="Arial" w:hAnsi="Arial"/>
                <w:b/>
                <w:bCs/>
                <w:sz w:val="20"/>
                <w:szCs w:val="20"/>
              </w:rPr>
              <w:t xml:space="preserve">Evaluate a $5/month Hetzner or Vultr VPS as a warm standby — the cost is trivial relative to the data and operations it protects.</w:t>
            </w:r>
          </w:p>
          <w:p>
            <w:pPr>
              <w:pStyle w:val="ListParagraph"/>
              <w:numPr>
                <w:ilvl w:val="0"/>
                <w:numId w:val="3"/>
              </w:numPr>
              <w:spacing w:after="30" w:before="30"/>
            </w:pPr>
            <w:r>
              <w:rPr>
                <w:rFonts w:ascii="Arial" w:cs="Arial" w:eastAsia="Arial" w:hAnsi="Arial"/>
                <w:b/>
                <w:bCs/>
                <w:sz w:val="20"/>
                <w:szCs w:val="20"/>
              </w:rPr>
              <w:t xml:space="preserve">Switch from hourly full mirrors to: WAL streaming for PostgreSQL (all five databases), async file sync for MinIO, nightly Restic snapshot.</w:t>
            </w:r>
          </w:p>
          <w:p>
            <w:pPr>
              <w:pStyle w:val="ListParagraph"/>
              <w:numPr>
                <w:ilvl w:val="0"/>
                <w:numId w:val="3"/>
              </w:numPr>
              <w:spacing w:after="30" w:before="30"/>
            </w:pPr>
            <w:r>
              <w:rPr>
                <w:rFonts w:ascii="Arial" w:cs="Arial" w:eastAsia="Arial" w:hAnsi="Arial"/>
                <w:b/>
                <w:bCs/>
                <w:sz w:val="20"/>
                <w:szCs w:val="20"/>
              </w:rPr>
              <w:t xml:space="preserve">Set up an automated keep-alive process on the Oracle VM to prevent idle-flagging.</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40"/>
              <w:bottom w:type="dxa" w:w="120"/>
              <w:right w:type="dxa" w:w="240"/>
            </w:tcMar>
          </w:tcPr>
          <w:p>
            <w:r>
              <w:rPr>
                <w:rFonts w:ascii="Arial" w:cs="Arial" w:eastAsia="Arial" w:hAnsi="Arial"/>
                <w:b/>
                <w:bCs/>
                <w:color w:val="1F3864"/>
                <w:sz w:val="24"/>
                <w:szCs w:val="24"/>
              </w:rPr>
              <w:t xml:space="preserve">3B. HIGH — Resolve Before Phase 1 Ends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H-01. JAG Finance Core Must Exist from Phase 1   </w:t>
            </w:r>
            <w:r>
              <w:rPr>
                <w:rFonts w:ascii="Arial" w:cs="Arial" w:eastAsia="Arial" w:hAnsi="Arial"/>
                <w:b/>
                <w:bCs/>
                <w:color w:val="C9A84C"/>
                <w:sz w:val="20"/>
                <w:szCs w:val="20"/>
              </w:rPr>
              <w:t xml:space="preserve">[HIGH]</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JAG Holdings is described as the 'central financial backbone' from Phase 1. But the full JAG Finance module is Phase 4.</w:t>
            </w:r>
          </w:p>
          <w:p>
            <w:pPr>
              <w:pStyle w:val="ListParagraph"/>
              <w:numPr>
                <w:ilvl w:val="0"/>
                <w:numId w:val="2"/>
              </w:numPr>
              <w:spacing w:after="40" w:before="40"/>
            </w:pPr>
            <w:r>
              <w:rPr>
                <w:rFonts w:ascii="Arial" w:cs="Arial" w:eastAsia="Arial" w:hAnsi="Arial"/>
                <w:sz w:val="20"/>
                <w:szCs w:val="20"/>
              </w:rPr>
              <w:t xml:space="preserve">From Phase 1, JABCO and IMS generate costs, revenues, and asset valuations. If the financial data model does not exist, this data has nowhere to land. Either you build a temporary holding area (migration risk) or a partial finance layer that gets rearchitected in Phase 4 (rebuild risk).</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Build the JAG Finance core schema and basic account ledger in Phase 1 — even if the full dashboard UI comes in Phase 4.</w:t>
            </w:r>
          </w:p>
          <w:p>
            <w:pPr>
              <w:pStyle w:val="ListParagraph"/>
              <w:numPr>
                <w:ilvl w:val="0"/>
                <w:numId w:val="3"/>
              </w:numPr>
              <w:spacing w:after="30" w:before="30"/>
            </w:pPr>
            <w:r>
              <w:rPr>
                <w:rFonts w:ascii="Arial" w:cs="Arial" w:eastAsia="Arial" w:hAnsi="Arial"/>
                <w:b/>
                <w:bCs/>
                <w:sz w:val="20"/>
                <w:szCs w:val="20"/>
              </w:rPr>
              <w:t xml:space="preserve">The schema should cover: accounts (with currency), transactions (with entity attribution), FX rates, and a basic chart of accounts. UI can be minimal — just enough to receive data.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H-02. Phase Sequencing Needs a Security-First Split   </w:t>
            </w:r>
            <w:r>
              <w:rPr>
                <w:rFonts w:ascii="Arial" w:cs="Arial" w:eastAsia="Arial" w:hAnsi="Arial"/>
                <w:b/>
                <w:bCs/>
                <w:color w:val="C9A84C"/>
                <w:sz w:val="20"/>
                <w:szCs w:val="20"/>
              </w:rPr>
              <w:t xml:space="preserve">[HIGH]</w:t>
            </w:r>
            <w:r>
              <w:rPr>
                <w:rFonts w:ascii="Arial" w:cs="Arial" w:eastAsia="Arial" w:hAnsi="Arial"/>
                <w:i/>
                <w:iCs/>
                <w:color w:val="D5E8F0"/>
                <w:sz w:val="18"/>
                <w:szCs w:val="18"/>
              </w:rPr>
              <w:t xml:space="preserve">   Source: [BOTH — Gemini primary]</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Gemini's proposed Phase 1A / 1B split is correct and worth adopting. Building HOME, JABCO, CRM, and FLEET simultaneously in Phase 1 before authentication and multi-tenant isolation are locked down risks generating incompatible foundational code across modules.</w:t>
            </w:r>
          </w:p>
          <w:p>
            <w:pPr>
              <w:pStyle w:val="ListParagraph"/>
              <w:numPr>
                <w:ilvl w:val="0"/>
                <w:numId w:val="2"/>
              </w:numPr>
              <w:spacing w:after="40" w:before="40"/>
            </w:pPr>
            <w:r>
              <w:rPr>
                <w:rFonts w:ascii="Arial" w:cs="Arial" w:eastAsia="Arial" w:hAnsi="Arial"/>
                <w:sz w:val="20"/>
                <w:szCs w:val="20"/>
              </w:rPr>
              <w:t xml:space="preserve">The security layer — authentication, RLS, JWT propagation, i18n engine — must be completed and tested before any business module is built on top of it.</w:t>
            </w:r>
          </w:p>
          <w:p>
            <w:pPr>
              <w:pStyle w:val="ListParagraph"/>
              <w:numPr>
                <w:ilvl w:val="0"/>
                <w:numId w:val="2"/>
              </w:numPr>
              <w:spacing w:after="40" w:before="40"/>
            </w:pPr>
            <w:r>
              <w:rPr>
                <w:rFonts w:ascii="Arial" w:cs="Arial" w:eastAsia="Arial" w:hAnsi="Arial"/>
                <w:sz w:val="20"/>
                <w:szCs w:val="20"/>
              </w:rPr>
              <w:t xml:space="preserve">This is a sequencing discipline issue, not a resource issue. One week of auth build and testing before business modules prevents weeks of integration rework.</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Split Phase 1 into: Phase 1A (2 weeks) — auth, RLS, JWT, i18n English/Mandarin, database structure, migration tooling, deploy pipeline. Run cross-tenant penetration testing before proceeding.</w:t>
            </w:r>
          </w:p>
          <w:p>
            <w:pPr>
              <w:pStyle w:val="ListParagraph"/>
              <w:numPr>
                <w:ilvl w:val="0"/>
                <w:numId w:val="3"/>
              </w:numPr>
              <w:spacing w:after="30" w:before="30"/>
            </w:pPr>
            <w:r>
              <w:rPr>
                <w:rFonts w:ascii="Arial" w:cs="Arial" w:eastAsia="Arial" w:hAnsi="Arial"/>
                <w:b/>
                <w:bCs/>
                <w:sz w:val="20"/>
                <w:szCs w:val="20"/>
              </w:rPr>
              <w:t xml:space="preserve">Phase 1B (6-8 weeks) — IMS HOME, JABCO, FLEET, CRM on top of the validated foundation.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H-03. Migrate Duck DNS to Cloudflare Free Tier   </w:t>
            </w:r>
            <w:r>
              <w:rPr>
                <w:rFonts w:ascii="Arial" w:cs="Arial" w:eastAsia="Arial" w:hAnsi="Arial"/>
                <w:b/>
                <w:bCs/>
                <w:color w:val="C9A84C"/>
                <w:sz w:val="20"/>
                <w:szCs w:val="20"/>
              </w:rPr>
              <w:t xml:space="preserve">[HIGH]</w:t>
            </w:r>
            <w:r>
              <w:rPr>
                <w:rFonts w:ascii="Arial" w:cs="Arial" w:eastAsia="Arial" w:hAnsi="Arial"/>
                <w:i/>
                <w:iCs/>
                <w:color w:val="D5E8F0"/>
                <w:sz w:val="18"/>
                <w:szCs w:val="18"/>
              </w:rPr>
              <w:t xml:space="preserve">   Source: [BOTH — Gemini primary]</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Duck DNS prohibits commercial use in its Terms of Service. By Phase 3, when tenants are using a portal and customers are logging in, JAG is operating commercially.</w:t>
            </w:r>
          </w:p>
          <w:p>
            <w:pPr>
              <w:pStyle w:val="ListParagraph"/>
              <w:numPr>
                <w:ilvl w:val="0"/>
                <w:numId w:val="2"/>
              </w:numPr>
              <w:spacing w:after="40" w:before="40"/>
            </w:pPr>
            <w:r>
              <w:rPr>
                <w:rFonts w:ascii="Arial" w:cs="Arial" w:eastAsia="Arial" w:hAnsi="Arial"/>
                <w:sz w:val="20"/>
                <w:szCs w:val="20"/>
              </w:rPr>
              <w:t xml:space="preserve">Duck DNS lacks DNS-01 challenge support, which is required for wildcard Let's Encrypt certificates across subdomains (brian.jag.tt, properties.jag.tt, etc.).</w:t>
            </w:r>
          </w:p>
          <w:p>
            <w:pPr>
              <w:pStyle w:val="ListParagraph"/>
              <w:numPr>
                <w:ilvl w:val="0"/>
                <w:numId w:val="2"/>
              </w:numPr>
              <w:spacing w:after="40" w:before="40"/>
            </w:pPr>
            <w:r>
              <w:rPr>
                <w:rFonts w:ascii="Arial" w:cs="Arial" w:eastAsia="Arial" w:hAnsi="Arial"/>
                <w:sz w:val="20"/>
                <w:szCs w:val="20"/>
              </w:rPr>
              <w:t xml:space="preserve">Cloudflare Free Tier solves both problems and adds meaningful benefits: enterprise-grade DDoS protection, IP masking to hide the Oracle Cloud IP, and flawless wildcard certificate support via their DNS-01 API.</w:t>
            </w:r>
          </w:p>
          <w:p>
            <w:pPr>
              <w:pStyle w:val="ListParagraph"/>
              <w:numPr>
                <w:ilvl w:val="0"/>
                <w:numId w:val="2"/>
              </w:numPr>
              <w:spacing w:after="40" w:before="40"/>
            </w:pPr>
            <w:r>
              <w:rPr>
                <w:rFonts w:ascii="Arial" w:cs="Arial" w:eastAsia="Arial" w:hAnsi="Arial"/>
                <w:sz w:val="20"/>
                <w:szCs w:val="20"/>
              </w:rPr>
              <w:t xml:space="preserve">A proper .tt or .com domain (e.g. jagholdings.tt or jag-group.com) costs approximately $25/year and is worth it from Phase 1 for professional credibility.</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Register a proper domain and configure Cloudflare DNS before Phase 1 goes live.</w:t>
            </w:r>
          </w:p>
          <w:p>
            <w:pPr>
              <w:pStyle w:val="ListParagraph"/>
              <w:numPr>
                <w:ilvl w:val="0"/>
                <w:numId w:val="3"/>
              </w:numPr>
              <w:spacing w:after="30" w:before="30"/>
            </w:pPr>
            <w:r>
              <w:rPr>
                <w:rFonts w:ascii="Arial" w:cs="Arial" w:eastAsia="Arial" w:hAnsi="Arial"/>
                <w:b/>
                <w:bCs/>
                <w:sz w:val="20"/>
                <w:szCs w:val="20"/>
              </w:rPr>
              <w:t xml:space="preserve">Update Caddy configuration to use Cloudflare DNS-01 challenge for wildcard certificates.</w:t>
            </w:r>
          </w:p>
          <w:p>
            <w:pPr>
              <w:pStyle w:val="ListParagraph"/>
              <w:numPr>
                <w:ilvl w:val="0"/>
                <w:numId w:val="3"/>
              </w:numPr>
              <w:spacing w:after="30" w:before="30"/>
            </w:pPr>
            <w:r>
              <w:rPr>
                <w:rFonts w:ascii="Arial" w:cs="Arial" w:eastAsia="Arial" w:hAnsi="Arial"/>
                <w:b/>
                <w:bCs/>
                <w:sz w:val="20"/>
                <w:szCs w:val="20"/>
              </w:rPr>
              <w:t xml:space="preserve">Run a Cloudflare API cron container for dynamic IP updates instead of the Duck DNS client.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H-04. No Testing Strategy   </w:t>
            </w:r>
            <w:r>
              <w:rPr>
                <w:rFonts w:ascii="Arial" w:cs="Arial" w:eastAsia="Arial" w:hAnsi="Arial"/>
                <w:b/>
                <w:bCs/>
                <w:color w:val="C9A84C"/>
                <w:sz w:val="20"/>
                <w:szCs w:val="20"/>
              </w:rPr>
              <w:t xml:space="preserve">[HIGH]</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There is no mention of testing anywhere in the 31 GAPs or 20 sections of the document. No unit tests, integration tests, or UAT process.</w:t>
            </w:r>
          </w:p>
          <w:p>
            <w:pPr>
              <w:pStyle w:val="ListParagraph"/>
              <w:numPr>
                <w:ilvl w:val="0"/>
                <w:numId w:val="2"/>
              </w:numPr>
              <w:spacing w:after="40" w:before="40"/>
            </w:pPr>
            <w:r>
              <w:rPr>
                <w:rFonts w:ascii="Arial" w:cs="Arial" w:eastAsia="Arial" w:hAnsi="Arial"/>
                <w:sz w:val="20"/>
                <w:szCs w:val="20"/>
              </w:rPr>
              <w:t xml:space="preserve">Financial calculation errors (reconciliation, FX conversion, intercompany elimination) are invisible without automated tests. A wrong consolidated figure in JAG Holdings may not surface for months.</w:t>
            </w:r>
          </w:p>
          <w:p>
            <w:pPr>
              <w:pStyle w:val="ListParagraph"/>
              <w:numPr>
                <w:ilvl w:val="0"/>
                <w:numId w:val="2"/>
              </w:numPr>
              <w:spacing w:after="40" w:before="40"/>
            </w:pPr>
            <w:r>
              <w:rPr>
                <w:rFonts w:ascii="Arial" w:cs="Arial" w:eastAsia="Arial" w:hAnsi="Arial"/>
                <w:sz w:val="20"/>
                <w:szCs w:val="20"/>
              </w:rPr>
              <w:t xml:space="preserve">When a Phase 3 build breaks a Phase 1 data model, without tests there is no automated detection — the bug is found manually when data is already corrupted.</w:t>
            </w:r>
          </w:p>
          <w:p>
            <w:pPr>
              <w:pStyle w:val="ListParagraph"/>
              <w:numPr>
                <w:ilvl w:val="0"/>
                <w:numId w:val="2"/>
              </w:numPr>
              <w:spacing w:after="40" w:before="40"/>
            </w:pPr>
            <w:r>
              <w:rPr>
                <w:rFonts w:ascii="Arial" w:cs="Arial" w:eastAsia="Arial" w:hAnsi="Arial"/>
                <w:sz w:val="20"/>
                <w:szCs w:val="20"/>
              </w:rPr>
              <w:t xml:space="preserve">With five logical databases and cross-database queries via postgres_fdw, integration testing is especially important.</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Establish a minimum testing framework before Phase 1B begins: automated tests for every financial calculation, integration tests for all JAG Holdings API endpoints, UAT sign-off checklist per phase.</w:t>
            </w:r>
          </w:p>
          <w:p>
            <w:pPr>
              <w:pStyle w:val="ListParagraph"/>
              <w:numPr>
                <w:ilvl w:val="0"/>
                <w:numId w:val="3"/>
              </w:numPr>
              <w:spacing w:after="30" w:before="30"/>
            </w:pPr>
            <w:r>
              <w:rPr>
                <w:rFonts w:ascii="Arial" w:cs="Arial" w:eastAsia="Arial" w:hAnsi="Arial"/>
                <w:b/>
                <w:bCs/>
                <w:sz w:val="20"/>
                <w:szCs w:val="20"/>
              </w:rPr>
              <w:t xml:space="preserve">Run cross-tenant isolation tests after every schema migration — verify that jag_entertainment data cannot be read from a jag_commercial connection.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H-05. No Development / Staging / Production Pipeline   </w:t>
            </w:r>
            <w:r>
              <w:rPr>
                <w:rFonts w:ascii="Arial" w:cs="Arial" w:eastAsia="Arial" w:hAnsi="Arial"/>
                <w:b/>
                <w:bCs/>
                <w:color w:val="C9A84C"/>
                <w:sz w:val="20"/>
                <w:szCs w:val="20"/>
              </w:rPr>
              <w:t xml:space="preserve">[HIGH]</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 document describes production infrastructure (Oracle VM) but defines no development or staging environment.</w:t>
            </w:r>
          </w:p>
          <w:p>
            <w:pPr>
              <w:pStyle w:val="ListParagraph"/>
              <w:numPr>
                <w:ilvl w:val="0"/>
                <w:numId w:val="2"/>
              </w:numPr>
              <w:spacing w:after="40" w:before="40"/>
            </w:pPr>
            <w:r>
              <w:rPr>
                <w:rFonts w:ascii="Arial" w:cs="Arial" w:eastAsia="Arial" w:hAnsi="Arial"/>
                <w:sz w:val="20"/>
                <w:szCs w:val="20"/>
              </w:rPr>
              <w:t xml:space="preserve">Code cannot go from local PC to production without a defined intermediate step. Destructive DR tests cannot be run without taking down production. New modules cannot be tested in isolation.</w:t>
            </w:r>
          </w:p>
          <w:p>
            <w:pPr>
              <w:pStyle w:val="ListParagraph"/>
              <w:numPr>
                <w:ilvl w:val="0"/>
                <w:numId w:val="2"/>
              </w:numPr>
              <w:spacing w:after="40" w:before="40"/>
            </w:pPr>
            <w:r>
              <w:rPr>
                <w:rFonts w:ascii="Arial" w:cs="Arial" w:eastAsia="Arial" w:hAnsi="Arial"/>
                <w:sz w:val="20"/>
                <w:szCs w:val="20"/>
              </w:rPr>
              <w:t xml:space="preserve">The Dell Inspiron cannot serve as both development environment and disaster recovery target without explicit process separation.</w:t>
            </w:r>
          </w:p>
          <w:p>
            <w:pPr>
              <w:pStyle w:val="ListParagraph"/>
              <w:numPr>
                <w:ilvl w:val="0"/>
                <w:numId w:val="2"/>
              </w:numPr>
              <w:spacing w:after="40" w:before="40"/>
            </w:pPr>
            <w:r>
              <w:rPr>
                <w:rFonts w:ascii="Arial" w:cs="Arial" w:eastAsia="Arial" w:hAnsi="Arial"/>
                <w:sz w:val="20"/>
                <w:szCs w:val="20"/>
              </w:rPr>
              <w:t xml:space="preserve">Manual deployments (git pull, docker compose up) fail by Phase 3 when 8+ modules are updated. No rollback mechanism means a bad deployment at 10pm requires manual intervention.</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Define and document: Local PC (dev) → Oracle VM /staging → Oracle VM /production.</w:t>
            </w:r>
          </w:p>
          <w:p>
            <w:pPr>
              <w:pStyle w:val="ListParagraph"/>
              <w:numPr>
                <w:ilvl w:val="0"/>
                <w:numId w:val="3"/>
              </w:numPr>
              <w:spacing w:after="30" w:before="30"/>
            </w:pPr>
            <w:r>
              <w:rPr>
                <w:rFonts w:ascii="Arial" w:cs="Arial" w:eastAsia="Arial" w:hAnsi="Arial"/>
                <w:b/>
                <w:bCs/>
                <w:sz w:val="20"/>
                <w:szCs w:val="20"/>
              </w:rPr>
              <w:t xml:space="preserve">Write a deploy script before any module goes live: pull, migrate, build, restart, with a one-command rollback to the previous version.</w:t>
            </w:r>
          </w:p>
          <w:p>
            <w:pPr>
              <w:pStyle w:val="ListParagraph"/>
              <w:numPr>
                <w:ilvl w:val="0"/>
                <w:numId w:val="3"/>
              </w:numPr>
              <w:spacing w:after="30" w:before="30"/>
            </w:pPr>
            <w:r>
              <w:rPr>
                <w:rFonts w:ascii="Arial" w:cs="Arial" w:eastAsia="Arial" w:hAnsi="Arial"/>
                <w:b/>
                <w:bCs/>
                <w:sz w:val="20"/>
                <w:szCs w:val="20"/>
              </w:rPr>
              <w:t xml:space="preserve">GitHub Actions (free) can automate deployment triggers from the main branch.</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H-06. Multilingual Build Is Under-Specified   </w:t>
            </w:r>
            <w:r>
              <w:rPr>
                <w:rFonts w:ascii="Arial" w:cs="Arial" w:eastAsia="Arial" w:hAnsi="Arial"/>
                <w:b/>
                <w:bCs/>
                <w:color w:val="C9A84C"/>
                <w:sz w:val="20"/>
                <w:szCs w:val="20"/>
              </w:rPr>
              <w:t xml:space="preserve">[HIGH]</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 i18n framework is a single line in the tech stack. A bilingual system where the wife's default is Mandarin Chinese — with all menus, labels, financial reports, compliance alerts, and dashboards translating instantly — is a significant engineering commitment.</w:t>
            </w:r>
          </w:p>
          <w:p>
            <w:pPr>
              <w:pStyle w:val="ListParagraph"/>
              <w:numPr>
                <w:ilvl w:val="0"/>
                <w:numId w:val="2"/>
              </w:numPr>
              <w:spacing w:after="40" w:before="40"/>
            </w:pPr>
            <w:r>
              <w:rPr>
                <w:rFonts w:ascii="Arial" w:cs="Arial" w:eastAsia="Arial" w:hAnsi="Arial"/>
                <w:sz w:val="20"/>
                <w:szCs w:val="20"/>
              </w:rPr>
              <w:t xml:space="preserve">Machine translation of T&amp;T-specific financial and legal terms (BIR, LBT, PTT, WiPay, LINX, NIS, VAT clearance) will produce errors. Many have no direct Chinese equivalent. Your wife is using this for emergency business decisions — accuracy is not optional.</w:t>
            </w:r>
          </w:p>
          <w:p>
            <w:pPr>
              <w:pStyle w:val="ListParagraph"/>
              <w:numPr>
                <w:ilvl w:val="0"/>
                <w:numId w:val="2"/>
              </w:numPr>
              <w:spacing w:after="40" w:before="40"/>
            </w:pPr>
            <w:r>
              <w:rPr>
                <w:rFonts w:ascii="Arial" w:cs="Arial" w:eastAsia="Arial" w:hAnsi="Arial"/>
                <w:sz w:val="20"/>
                <w:szCs w:val="20"/>
              </w:rPr>
              <w:t xml:space="preserve">Who translates? Who reviews? Who maintains translations as new features are added across 7 phases?</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Curate manual translations for all financial, legal, and compliance terminology before Phase 1A build. Store in .json i18n files per language.</w:t>
            </w:r>
          </w:p>
          <w:p>
            <w:pPr>
              <w:pStyle w:val="ListParagraph"/>
              <w:numPr>
                <w:ilvl w:val="0"/>
                <w:numId w:val="3"/>
              </w:numPr>
              <w:spacing w:after="30" w:before="30"/>
            </w:pPr>
            <w:r>
              <w:rPr>
                <w:rFonts w:ascii="Arial" w:cs="Arial" w:eastAsia="Arial" w:hAnsi="Arial"/>
                <w:b/>
                <w:bCs/>
                <w:sz w:val="20"/>
                <w:szCs w:val="20"/>
              </w:rPr>
              <w:t xml:space="preserve">Robert reviews all financial/legal copy translations before release. Machine translation is acceptable for UI labels and navigation only.</w:t>
            </w:r>
          </w:p>
          <w:p>
            <w:pPr>
              <w:pStyle w:val="ListParagraph"/>
              <w:numPr>
                <w:ilvl w:val="0"/>
                <w:numId w:val="3"/>
              </w:numPr>
              <w:spacing w:after="30" w:before="30"/>
            </w:pPr>
            <w:r>
              <w:rPr>
                <w:rFonts w:ascii="Arial" w:cs="Arial" w:eastAsia="Arial" w:hAnsi="Arial"/>
                <w:b/>
                <w:bCs/>
                <w:sz w:val="20"/>
                <w:szCs w:val="20"/>
              </w:rPr>
              <w:t xml:space="preserve">Build a translation management interface in Phase 1A so strings can be updated without a code deployment.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H-07. No Application-Level Logging or Observability   </w:t>
            </w:r>
            <w:r>
              <w:rPr>
                <w:rFonts w:ascii="Arial" w:cs="Arial" w:eastAsia="Arial" w:hAnsi="Arial"/>
                <w:b/>
                <w:bCs/>
                <w:color w:val="C9A84C"/>
                <w:sz w:val="20"/>
                <w:szCs w:val="20"/>
              </w:rPr>
              <w:t xml:space="preserve">[HIGH]</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GAP 15 covers infrastructure monitoring (CPU, memory, disk). Application-level observability — structured logs, error tracking, query performance — is absent.</w:t>
            </w:r>
          </w:p>
          <w:p>
            <w:pPr>
              <w:pStyle w:val="ListParagraph"/>
              <w:numPr>
                <w:ilvl w:val="0"/>
                <w:numId w:val="2"/>
              </w:numPr>
              <w:spacing w:after="40" w:before="40"/>
            </w:pPr>
            <w:r>
              <w:rPr>
                <w:rFonts w:ascii="Arial" w:cs="Arial" w:eastAsia="Arial" w:hAnsi="Arial"/>
                <w:sz w:val="20"/>
                <w:szCs w:val="20"/>
              </w:rPr>
              <w:t xml:space="preserve">When the tenant portal fails silently at 11pm, there is no diagnostic trail. When JAG Finance stops pulling FX rates for three days, there is no alert. When a WiPay webhook stops firing, the failure is invisible until a tenant complains.</w:t>
            </w:r>
          </w:p>
          <w:p>
            <w:pPr>
              <w:pStyle w:val="ListParagraph"/>
              <w:numPr>
                <w:ilvl w:val="0"/>
                <w:numId w:val="2"/>
              </w:numPr>
              <w:spacing w:after="40" w:before="40"/>
            </w:pPr>
            <w:r>
              <w:rPr>
                <w:rFonts w:ascii="Arial" w:cs="Arial" w:eastAsia="Arial" w:hAnsi="Arial"/>
                <w:sz w:val="20"/>
                <w:szCs w:val="20"/>
              </w:rPr>
              <w:t xml:space="preserve">With five databases, multiple API integrations, and a mobile PWA serving multiple user roles, silent failures are the highest-probability operational risk.</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Before Phase 1B: implement structured JSON logging per module, centralised with Loki + Grafana (both free, run in Docker on the same VM).</w:t>
            </w:r>
          </w:p>
          <w:p>
            <w:pPr>
              <w:pStyle w:val="ListParagraph"/>
              <w:numPr>
                <w:ilvl w:val="0"/>
                <w:numId w:val="3"/>
              </w:numPr>
              <w:spacing w:after="30" w:before="30"/>
            </w:pPr>
            <w:r>
              <w:rPr>
                <w:rFonts w:ascii="Arial" w:cs="Arial" w:eastAsia="Arial" w:hAnsi="Arial"/>
                <w:b/>
                <w:bCs/>
                <w:sz w:val="20"/>
                <w:szCs w:val="20"/>
              </w:rPr>
              <w:t xml:space="preserve">Define alert thresholds for: API error rate &gt; 1%, backup job failure, FX rate update failure, WiPay webhook silence &gt; 24 hours.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H-08. JABCO Project Lifecycle Is Under-Sized   </w:t>
            </w:r>
            <w:r>
              <w:rPr>
                <w:rFonts w:ascii="Arial" w:cs="Arial" w:eastAsia="Arial" w:hAnsi="Arial"/>
                <w:b/>
                <w:bCs/>
                <w:color w:val="C9A84C"/>
                <w:sz w:val="20"/>
                <w:szCs w:val="20"/>
              </w:rPr>
              <w:t xml:space="preserve">[HIGH]</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JABCO is the primary revenue entity. The CRM gives it a 'tender-driven, 1-2 month bid-to-contract' pipeline. This is insufficient for construction project management in T&amp;T.</w:t>
            </w:r>
          </w:p>
          <w:p>
            <w:pPr>
              <w:pStyle w:val="ListParagraph"/>
              <w:numPr>
                <w:ilvl w:val="0"/>
                <w:numId w:val="2"/>
              </w:numPr>
              <w:spacing w:after="40" w:before="40"/>
            </w:pPr>
            <w:r>
              <w:rPr>
                <w:rFonts w:ascii="Arial" w:cs="Arial" w:eastAsia="Arial" w:hAnsi="Arial"/>
                <w:sz w:val="20"/>
                <w:szCs w:val="20"/>
              </w:rPr>
              <w:t xml:space="preserve">A construction project lifecycle involves: BOQ documents, scope-of-work tracking, sub-contractor quote management, bid bond and performance bond tracking, variation order management, retention management, project cost codes, and labour allocation.</w:t>
            </w:r>
          </w:p>
          <w:p>
            <w:pPr>
              <w:pStyle w:val="ListParagraph"/>
              <w:numPr>
                <w:ilvl w:val="0"/>
                <w:numId w:val="2"/>
              </w:numPr>
              <w:spacing w:after="40" w:before="40"/>
            </w:pPr>
            <w:r>
              <w:rPr>
                <w:rFonts w:ascii="Arial" w:cs="Arial" w:eastAsia="Arial" w:hAnsi="Arial"/>
                <w:sz w:val="20"/>
                <w:szCs w:val="20"/>
              </w:rPr>
              <w:t xml:space="preserve">Treating JABCO as a standard sales CRM misses the highest-ROI module in the entire platform.</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Before Phase 1 CRM build: produce a JABCO Project Lifecycle workflow document covering bid → award → mobilisation → execution → variation orders → practical completion → retention release → close-out.</w:t>
            </w:r>
          </w:p>
          <w:p>
            <w:pPr>
              <w:pStyle w:val="ListParagraph"/>
              <w:numPr>
                <w:ilvl w:val="0"/>
                <w:numId w:val="3"/>
              </w:numPr>
              <w:spacing w:after="30" w:before="30"/>
            </w:pPr>
            <w:r>
              <w:rPr>
                <w:rFonts w:ascii="Arial" w:cs="Arial" w:eastAsia="Arial" w:hAnsi="Arial"/>
                <w:b/>
                <w:bCs/>
                <w:sz w:val="20"/>
                <w:szCs w:val="20"/>
              </w:rPr>
              <w:t xml:space="preserve">Map each stage to financial events in JAG Holdings. This is two days of design work with a disproportionate return.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H-09. DragonBridge Is the Most Complex Entity with the Thinnest Architecture   </w:t>
            </w:r>
            <w:r>
              <w:rPr>
                <w:rFonts w:ascii="Arial" w:cs="Arial" w:eastAsia="Arial" w:hAnsi="Arial"/>
                <w:b/>
                <w:bCs/>
                <w:color w:val="C9A84C"/>
                <w:sz w:val="20"/>
                <w:szCs w:val="20"/>
              </w:rPr>
              <w:t xml:space="preserve">[HIGH]</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DragonBridge — China sourcing, forex, logistics, last-mile delivery — is potentially the most operationally complex entity in the group and receives the least architectural attention.</w:t>
            </w:r>
          </w:p>
          <w:p>
            <w:pPr>
              <w:pStyle w:val="ListParagraph"/>
              <w:numPr>
                <w:ilvl w:val="0"/>
                <w:numId w:val="2"/>
              </w:numPr>
              <w:spacing w:after="40" w:before="40"/>
            </w:pPr>
            <w:r>
              <w:rPr>
                <w:rFonts w:ascii="Arial" w:cs="Arial" w:eastAsia="Arial" w:hAnsi="Arial"/>
                <w:sz w:val="20"/>
                <w:szCs w:val="20"/>
              </w:rPr>
              <w:t xml:space="preserve">Missing from the current design: customs brokerage workflow, HS code and duty calculation, foreign supplier contract management, container tracking integration, PO-to-delivery workflow, and landed cost calculation across CNY/USD/TTD.</w:t>
            </w:r>
          </w:p>
          <w:p>
            <w:pPr>
              <w:pStyle w:val="ListParagraph"/>
              <w:numPr>
                <w:ilvl w:val="0"/>
                <w:numId w:val="2"/>
              </w:numPr>
              <w:spacing w:after="40" w:before="40"/>
            </w:pPr>
            <w:r>
              <w:rPr>
                <w:rFonts w:ascii="Arial" w:cs="Arial" w:eastAsia="Arial" w:hAnsi="Arial"/>
                <w:sz w:val="20"/>
                <w:szCs w:val="20"/>
              </w:rPr>
              <w:t xml:space="preserve">The 6-week China lead time is mentioned in IMS reorder logic but the end-to-end order workflow from Chinese supplier PO to T&amp;T customer delivery is not designed.</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Before Phase 3: produce a DragonBridge sub-architecture document covering the full order-to-delivery workflow.</w:t>
            </w:r>
          </w:p>
          <w:p>
            <w:pPr>
              <w:pStyle w:val="ListParagraph"/>
              <w:numPr>
                <w:ilvl w:val="0"/>
                <w:numId w:val="3"/>
              </w:numPr>
              <w:spacing w:after="30" w:before="30"/>
            </w:pPr>
            <w:r>
              <w:rPr>
                <w:rFonts w:ascii="Arial" w:cs="Arial" w:eastAsia="Arial" w:hAnsi="Arial"/>
                <w:b/>
                <w:bCs/>
                <w:sz w:val="20"/>
                <w:szCs w:val="20"/>
              </w:rPr>
              <w:t xml:space="preserve">Identify every system touchpoint: supplier communication, freight forwarder handoff, customs broker, WiPay for customer payment, last-mile delivery confirmation.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H-10. The Build Depends Entirely on One Person   </w:t>
            </w:r>
            <w:r>
              <w:rPr>
                <w:rFonts w:ascii="Arial" w:cs="Arial" w:eastAsia="Arial" w:hAnsi="Arial"/>
                <w:b/>
                <w:bCs/>
                <w:color w:val="C9A84C"/>
                <w:sz w:val="20"/>
                <w:szCs w:val="20"/>
              </w:rPr>
              <w:t xml:space="preserve">[HIGH]</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This is the most important non-technical gap in the document. The platform is being built by Robert, used by Robert, and maintained by Robert. There is no named developer, contractor, or technical co-builder.</w:t>
            </w:r>
          </w:p>
          <w:p>
            <w:pPr>
              <w:pStyle w:val="ListParagraph"/>
              <w:numPr>
                <w:ilvl w:val="0"/>
                <w:numId w:val="2"/>
              </w:numPr>
              <w:spacing w:after="40" w:before="40"/>
            </w:pPr>
            <w:r>
              <w:rPr>
                <w:rFonts w:ascii="Arial" w:cs="Arial" w:eastAsia="Arial" w:hAnsi="Arial"/>
                <w:sz w:val="20"/>
                <w:szCs w:val="20"/>
              </w:rPr>
              <w:t xml:space="preserve">Phase 1 at 8-10 weeks is realistic only if someone codes full-time. Robert is simultaneously Managing Director of JABCO, running DragonBridge, managing properties, and overseeing entertainment operations.</w:t>
            </w:r>
          </w:p>
          <w:p>
            <w:pPr>
              <w:pStyle w:val="ListParagraph"/>
              <w:numPr>
                <w:ilvl w:val="0"/>
                <w:numId w:val="2"/>
              </w:numPr>
              <w:spacing w:after="40" w:before="40"/>
            </w:pPr>
            <w:r>
              <w:rPr>
                <w:rFonts w:ascii="Arial" w:cs="Arial" w:eastAsia="Arial" w:hAnsi="Arial"/>
                <w:sz w:val="20"/>
                <w:szCs w:val="20"/>
              </w:rPr>
              <w:t xml:space="preserve">Gemini's framing — 'not constrained by human developer hours because Claude Code builds the software' — is incorrect. Claude assists; Robert architects, reviews, makes decisions, provides business context, and signs off on every module. This is not a zero-human-hours process.</w:t>
            </w:r>
          </w:p>
          <w:p>
            <w:pPr>
              <w:pStyle w:val="ListParagraph"/>
              <w:numPr>
                <w:ilvl w:val="0"/>
                <w:numId w:val="2"/>
              </w:numPr>
              <w:spacing w:after="40" w:before="40"/>
            </w:pPr>
            <w:r>
              <w:rPr>
                <w:rFonts w:ascii="Arial" w:cs="Arial" w:eastAsia="Arial" w:hAnsi="Arial"/>
                <w:sz w:val="20"/>
                <w:szCs w:val="20"/>
              </w:rPr>
              <w:t xml:space="preserve">If JABCO lands a major contract in month 2 of Phase 1, the platform build stalls. Re-entry after a 4-week break on a complex codebase has real cost.</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Before Phase 1: define the build resource model explicitly. Options: (a) contracted developer for the foundation build; (b) strict Saturday build sessions with timeline adjusted accordingly; (c) AI-assisted build with explicit weekly hour commitment from Robert as architect/reviewer.</w:t>
            </w:r>
          </w:p>
          <w:p>
            <w:pPr>
              <w:pStyle w:val="ListParagraph"/>
              <w:numPr>
                <w:ilvl w:val="0"/>
                <w:numId w:val="3"/>
              </w:numPr>
              <w:spacing w:after="30" w:before="30"/>
            </w:pPr>
            <w:r>
              <w:rPr>
                <w:rFonts w:ascii="Arial" w:cs="Arial" w:eastAsia="Arial" w:hAnsi="Arial"/>
                <w:b/>
                <w:bCs/>
                <w:sz w:val="20"/>
                <w:szCs w:val="20"/>
              </w:rPr>
              <w:t xml:space="preserve">The choice matters less than making it explicitly and protecting that time.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H-11. CASINO Module Must Be Right-Sized to Members Club Reality   </w:t>
            </w:r>
            <w:r>
              <w:rPr>
                <w:rFonts w:ascii="Arial" w:cs="Arial" w:eastAsia="Arial" w:hAnsi="Arial"/>
                <w:b/>
                <w:bCs/>
                <w:color w:val="C9A84C"/>
                <w:sz w:val="20"/>
                <w:szCs w:val="20"/>
              </w:rPr>
              <w:t xml:space="preserve">[HIGH]</w:t>
            </w:r>
            <w:r>
              <w:rPr>
                <w:rFonts w:ascii="Arial" w:cs="Arial" w:eastAsia="Arial" w:hAnsi="Arial"/>
                <w:i/>
                <w:iCs/>
                <w:color w:val="D5E8F0"/>
                <w:sz w:val="18"/>
                <w:szCs w:val="18"/>
              </w:rPr>
              <w:t xml:space="preserve">   Source: [CLAUDE — Gemini missed this]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Important correction: the 'CASINO' entity is not a regulated gaming operation — it is a simple members club. Annual license, yearly taxes, visitors log, basic chip float management, cash tracking.</w:t>
            </w:r>
          </w:p>
          <w:p>
            <w:pPr>
              <w:pStyle w:val="ListParagraph"/>
              <w:numPr>
                <w:ilvl w:val="0"/>
                <w:numId w:val="2"/>
              </w:numPr>
              <w:spacing w:after="40" w:before="40"/>
            </w:pPr>
            <w:r>
              <w:rPr>
                <w:rFonts w:ascii="Arial" w:cs="Arial" w:eastAsia="Arial" w:hAnsi="Arial"/>
                <w:sz w:val="20"/>
                <w:szCs w:val="20"/>
              </w:rPr>
              <w:t xml:space="preserve">The current architecture spec includes dual-signature requirements above TTD 10,000, AML flag tags, Gaming Commission compliance exports, and hash-chained audit logs. None of these are required for a members club.</w:t>
            </w:r>
          </w:p>
          <w:p>
            <w:pPr>
              <w:pStyle w:val="ListParagraph"/>
              <w:numPr>
                <w:ilvl w:val="0"/>
                <w:numId w:val="2"/>
              </w:numPr>
              <w:spacing w:after="40" w:before="40"/>
            </w:pPr>
            <w:r>
              <w:rPr>
                <w:rFonts w:ascii="Arial" w:cs="Arial" w:eastAsia="Arial" w:hAnsi="Arial"/>
                <w:sz w:val="20"/>
                <w:szCs w:val="20"/>
              </w:rPr>
              <w:t xml:space="preserve">Gemini compounded this error by recommending a Circuit Breaker pattern with cryptographic audit log mismatch detection — a solution appropriate for a regulated casino, entirely inappropriate here.</w:t>
            </w:r>
          </w:p>
          <w:p>
            <w:pPr>
              <w:pStyle w:val="ListParagraph"/>
              <w:numPr>
                <w:ilvl w:val="0"/>
                <w:numId w:val="2"/>
              </w:numPr>
              <w:spacing w:after="40" w:before="40"/>
            </w:pPr>
            <w:r>
              <w:rPr>
                <w:rFonts w:ascii="Arial" w:cs="Arial" w:eastAsia="Arial" w:hAnsi="Arial"/>
                <w:sz w:val="20"/>
                <w:szCs w:val="20"/>
              </w:rPr>
              <w:t xml:space="preserve">These over-specified features add development time and complexity for zero compliance benefit.</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Remove from the CASINO spec: dual-signature requirements, AML tags, Gaming Commission exports, hash-chained audit logs, Circuit Breaker pattern.</w:t>
            </w:r>
          </w:p>
          <w:p>
            <w:pPr>
              <w:pStyle w:val="ListParagraph"/>
              <w:numPr>
                <w:ilvl w:val="0"/>
                <w:numId w:val="3"/>
              </w:numPr>
              <w:spacing w:after="30" w:before="30"/>
            </w:pPr>
            <w:r>
              <w:rPr>
                <w:rFonts w:ascii="Arial" w:cs="Arial" w:eastAsia="Arial" w:hAnsi="Arial"/>
                <w:b/>
                <w:bCs/>
                <w:sz w:val="20"/>
                <w:szCs w:val="20"/>
              </w:rPr>
              <w:t xml:space="preserve">Replace with: visitor log (date, name, member ID), chip float open/close reconciliation, cash tracking, annual license renewal alert, standard audit trail.</w:t>
            </w:r>
          </w:p>
          <w:p>
            <w:pPr>
              <w:pStyle w:val="ListParagraph"/>
              <w:numPr>
                <w:ilvl w:val="0"/>
                <w:numId w:val="3"/>
              </w:numPr>
              <w:spacing w:after="30" w:before="30"/>
            </w:pPr>
            <w:r>
              <w:rPr>
                <w:rFonts w:ascii="Arial" w:cs="Arial" w:eastAsia="Arial" w:hAnsi="Arial"/>
                <w:b/>
                <w:bCs/>
                <w:sz w:val="20"/>
                <w:szCs w:val="20"/>
              </w:rPr>
              <w:t xml:space="preserve">Consider merging BAR and Members Club into a single 'JAG Entertainment Ops' module — their operational overlap is significant and a merged module is simpler to build and maintain.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H-12. The Document Is an OPSEC Risk   </w:t>
            </w:r>
            <w:r>
              <w:rPr>
                <w:rFonts w:ascii="Arial" w:cs="Arial" w:eastAsia="Arial" w:hAnsi="Arial"/>
                <w:b/>
                <w:bCs/>
                <w:color w:val="C9A84C"/>
                <w:sz w:val="20"/>
                <w:szCs w:val="20"/>
              </w:rPr>
              <w:t xml:space="preserve">[HIGH]</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 document instructs: 'Share it at the start of every Claude session to maintain full context.' This document contains the complete financial architecture, entity ownership, succession plan, foreign bank account details, lawyer instructions, and security model of the entire JAG Group.</w:t>
            </w:r>
          </w:p>
          <w:p>
            <w:pPr>
              <w:pStyle w:val="ListParagraph"/>
              <w:numPr>
                <w:ilvl w:val="0"/>
                <w:numId w:val="2"/>
              </w:numPr>
              <w:spacing w:after="40" w:before="40"/>
            </w:pPr>
            <w:r>
              <w:rPr>
                <w:rFonts w:ascii="Arial" w:cs="Arial" w:eastAsia="Arial" w:hAnsi="Arial"/>
                <w:sz w:val="20"/>
                <w:szCs w:val="20"/>
              </w:rPr>
              <w:t xml:space="preserve">Sharing this with any external system — AI or otherwise — is an operational security exposure that should be acknowledged and managed.</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Create a sanitised 'context summary' version for AI session use: business logic, architecture decisions, phase status — no specific account numbers, lawyer names, succession instructions, or ownership percentages.</w:t>
            </w:r>
          </w:p>
          <w:p>
            <w:pPr>
              <w:pStyle w:val="ListParagraph"/>
              <w:numPr>
                <w:ilvl w:val="0"/>
                <w:numId w:val="3"/>
              </w:numPr>
              <w:spacing w:after="30" w:before="30"/>
            </w:pPr>
            <w:r>
              <w:rPr>
                <w:rFonts w:ascii="Arial" w:cs="Arial" w:eastAsia="Arial" w:hAnsi="Arial"/>
                <w:b/>
                <w:bCs/>
                <w:sz w:val="20"/>
                <w:szCs w:val="20"/>
              </w:rPr>
              <w:t xml:space="preserve">Keep the full classified version offline. Share only what the AI needs to assist with the current task.</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40"/>
              <w:bottom w:type="dxa" w:w="120"/>
              <w:right w:type="dxa" w:w="240"/>
            </w:tcMar>
          </w:tcPr>
          <w:p>
            <w:r>
              <w:rPr>
                <w:rFonts w:ascii="Arial" w:cs="Arial" w:eastAsia="Arial" w:hAnsi="Arial"/>
                <w:b/>
                <w:bCs/>
                <w:color w:val="1F3864"/>
                <w:sz w:val="24"/>
                <w:szCs w:val="24"/>
              </w:rPr>
              <w:t xml:space="preserve">3C. MEDIUM — Resolve Before Phase 3</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M-01. Add 'External Advisor — Time Limited' Auth Role   </w:t>
            </w:r>
            <w:r>
              <w:rPr>
                <w:rFonts w:ascii="Arial" w:cs="Arial" w:eastAsia="Arial" w:hAnsi="Arial"/>
                <w:b/>
                <w:bCs/>
                <w:color w:val="99FF99"/>
                <w:sz w:val="20"/>
                <w:szCs w:val="20"/>
              </w:rPr>
              <w:t xml:space="preserve">[MEDIUM]</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 role matrix (Owner, Domain Admin, Operator, Auditor, Family, Brian, System) is missing a role for external advisors with time-limited scoped access.</w:t>
            </w:r>
          </w:p>
          <w:p>
            <w:pPr>
              <w:pStyle w:val="ListParagraph"/>
              <w:numPr>
                <w:ilvl w:val="0"/>
                <w:numId w:val="2"/>
              </w:numPr>
              <w:spacing w:after="40" w:before="40"/>
            </w:pPr>
            <w:r>
              <w:rPr>
                <w:rFonts w:ascii="Arial" w:cs="Arial" w:eastAsia="Arial" w:hAnsi="Arial"/>
                <w:sz w:val="20"/>
                <w:szCs w:val="20"/>
              </w:rPr>
              <w:t xml:space="preserve">Lawyers, insurance brokers, and potential buyers (Data Room mode) will need temporary access. DocVault has time-limited share links but there is no corresponding auth role to enforce what they can and cannot see.</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Add External Advisor role before Phase 2 DocVault build: maximum session duration, scoped entity access, read/export only, automatic expiry.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M-02. No Data Quality / Integrity Plan   </w:t>
            </w:r>
            <w:r>
              <w:rPr>
                <w:rFonts w:ascii="Arial" w:cs="Arial" w:eastAsia="Arial" w:hAnsi="Arial"/>
                <w:b/>
                <w:bCs/>
                <w:color w:val="99FF99"/>
                <w:sz w:val="20"/>
                <w:szCs w:val="20"/>
              </w:rPr>
              <w:t xml:space="preserve">[MEDIUM]</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With Brian uploading statements, JABCO foremen scanning equipment offline, BAR staff logging cash, and multiple people entering vendor names — data quality problems will appear within 60 days of go-live.</w:t>
            </w:r>
          </w:p>
          <w:p>
            <w:pPr>
              <w:pStyle w:val="ListParagraph"/>
              <w:numPr>
                <w:ilvl w:val="0"/>
                <w:numId w:val="2"/>
              </w:numPr>
              <w:spacing w:after="40" w:before="40"/>
            </w:pPr>
            <w:r>
              <w:rPr>
                <w:rFonts w:ascii="Arial" w:cs="Arial" w:eastAsia="Arial" w:hAnsi="Arial"/>
                <w:sz w:val="20"/>
                <w:szCs w:val="20"/>
              </w:rPr>
              <w:t xml:space="preserve">Duplicate vendors, inconsistent customer names, wrong entity attribution, missing transaction references will degrade the 'one source of truth' principle fast.</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Define validation rules for all master records before Phase 1B: duplicate detection on vendor/customer names, mandatory field enforcement, 'pending review' state for non-Owner data entry.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M-03. '31 Gaps Resolved' Creates False Confidence   </w:t>
            </w:r>
            <w:r>
              <w:rPr>
                <w:rFonts w:ascii="Arial" w:cs="Arial" w:eastAsia="Arial" w:hAnsi="Arial"/>
                <w:b/>
                <w:bCs/>
                <w:color w:val="99FF99"/>
                <w:sz w:val="20"/>
                <w:szCs w:val="20"/>
              </w:rPr>
              <w:t xml:space="preserve">[MEDIUM]</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Many gap resolutions are decisions, not implementations. GAP 6 (Disaster Recovery) is 'resolved' but the runbook doesn't exist and hasn't been tested. GAP 2 (Succession) is 'resolved' but the will, POAs, and buy-sell agreement are still outstanding.</w:t>
            </w:r>
          </w:p>
          <w:p>
            <w:pPr>
              <w:pStyle w:val="ListParagraph"/>
              <w:numPr>
                <w:ilvl w:val="0"/>
                <w:numId w:val="2"/>
              </w:numPr>
              <w:spacing w:after="40" w:before="40"/>
            </w:pPr>
            <w:r>
              <w:rPr>
                <w:rFonts w:ascii="Arial" w:cs="Arial" w:eastAsia="Arial" w:hAnsi="Arial"/>
                <w:sz w:val="20"/>
                <w:szCs w:val="20"/>
              </w:rPr>
              <w:t xml:space="preserve">Calling these 'resolved' creates a misleading picture of build readiness.</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Reclassify all 31 gaps as either 'Decision Finalised' or 'Implemented.' Only mark resolved when the implementation exists.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M-04. No SLA or Uptime Targets   </w:t>
            </w:r>
            <w:r>
              <w:rPr>
                <w:rFonts w:ascii="Arial" w:cs="Arial" w:eastAsia="Arial" w:hAnsi="Arial"/>
                <w:b/>
                <w:bCs/>
                <w:color w:val="99FF99"/>
                <w:sz w:val="20"/>
                <w:szCs w:val="20"/>
              </w:rPr>
              <w:t xml:space="preserve">[MEDIUM]</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Without defined uptime targets, monitoring alert thresholds, backup cadence decisions, and hosting choices are all made against intuition rather than a measurable objective.</w:t>
            </w:r>
          </w:p>
          <w:p>
            <w:pPr>
              <w:pStyle w:val="ListParagraph"/>
              <w:numPr>
                <w:ilvl w:val="0"/>
                <w:numId w:val="2"/>
              </w:numPr>
              <w:spacing w:after="40" w:before="40"/>
            </w:pPr>
            <w:r>
              <w:rPr>
                <w:rFonts w:ascii="Arial" w:cs="Arial" w:eastAsia="Arial" w:hAnsi="Arial"/>
                <w:sz w:val="20"/>
                <w:szCs w:val="20"/>
              </w:rPr>
              <w:t xml:space="preserve">If the system is down Saturday night when the BAR is open or a tenant's payment fails, what is the response protocol?</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Define minimum uptime targets per module tier: Core (99.5%), Operational (99%), Reporting (best effort). Let these drive monitoring thresholds.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M-05. No Data Archival / Lifecycle Policy   </w:t>
            </w:r>
            <w:r>
              <w:rPr>
                <w:rFonts w:ascii="Arial" w:cs="Arial" w:eastAsia="Arial" w:hAnsi="Arial"/>
                <w:b/>
                <w:bCs/>
                <w:color w:val="99FF99"/>
                <w:sz w:val="20"/>
                <w:szCs w:val="20"/>
              </w:rPr>
              <w:t xml:space="preserve">[MEDIUM]</w:t>
            </w:r>
            <w:r>
              <w:rPr>
                <w:rFonts w:ascii="Arial" w:cs="Arial" w:eastAsia="Arial" w:hAnsi="Arial"/>
                <w:i/>
                <w:iCs/>
                <w:color w:val="D5E8F0"/>
                <w:sz w:val="18"/>
                <w:szCs w:val="18"/>
              </w:rPr>
              <w:t xml:space="preserve">   Source: [CLAUDE]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GAP 10 notes data is 'kept indefinitely, archived when inactive' but 'archived' has no technical definition. Does it move tables, get flagged, get compressed?</w:t>
            </w:r>
          </w:p>
          <w:p>
            <w:pPr>
              <w:pStyle w:val="ListParagraph"/>
              <w:numPr>
                <w:ilvl w:val="0"/>
                <w:numId w:val="2"/>
              </w:numPr>
              <w:spacing w:after="40" w:before="40"/>
            </w:pPr>
            <w:r>
              <w:rPr>
                <w:rFonts w:ascii="Arial" w:cs="Arial" w:eastAsia="Arial" w:hAnsi="Arial"/>
                <w:sz w:val="20"/>
                <w:szCs w:val="20"/>
              </w:rPr>
              <w:t xml:space="preserve">Unmanaged data growth across 12 entities and 7 phases becomes a performance and storage issue by Year 3-4.</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Define a data lifecycle policy before Phase 1: active vs. archived flag on all major entities, automated archival after defined inactivity periods, quarterly archive review process.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M-06. Media Stub Engine for Tiered Storage   </w:t>
            </w:r>
            <w:r>
              <w:rPr>
                <w:rFonts w:ascii="Arial" w:cs="Arial" w:eastAsia="Arial" w:hAnsi="Arial"/>
                <w:b/>
                <w:bCs/>
                <w:color w:val="99FF99"/>
                <w:sz w:val="20"/>
                <w:szCs w:val="20"/>
              </w:rPr>
              <w:t xml:space="preserve">[MEDIUM]</w:t>
            </w:r>
            <w:r>
              <w:rPr>
                <w:rFonts w:ascii="Arial" w:cs="Arial" w:eastAsia="Arial" w:hAnsi="Arial"/>
                <w:i/>
                <w:iCs/>
                <w:color w:val="D5E8F0"/>
                <w:sz w:val="18"/>
                <w:szCs w:val="18"/>
              </w:rPr>
              <w:t xml:space="preserve">   Source: [GEMINI]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The architecture tiers photos older than 12 months to the local PC mirror. But there is no protocol for how the mobile PWA handles missing assets when Robert is away from home.</w:t>
            </w:r>
          </w:p>
          <w:p>
            <w:pPr>
              <w:pStyle w:val="ListParagraph"/>
              <w:numPr>
                <w:ilvl w:val="0"/>
                <w:numId w:val="2"/>
              </w:numPr>
              <w:spacing w:after="40" w:before="40"/>
            </w:pPr>
            <w:r>
              <w:rPr>
                <w:rFonts w:ascii="Arial" w:cs="Arial" w:eastAsia="Arial" w:hAnsi="Arial"/>
                <w:sz w:val="20"/>
                <w:szCs w:val="20"/>
              </w:rPr>
              <w:t xml:space="preserve">Gemini's recommendation is sound: when a media file moves to the local PC, replace the cloud asset with a compressed 5KB thumbnail stub. Mobile users see the thumbnail with an explicit 'Request Original from Local Archive' button.</w:t>
            </w:r>
          </w:p>
          <w:p>
            <w:pPr>
              <w:pStyle w:val="ListParagraph"/>
              <w:numPr>
                <w:ilvl w:val="0"/>
                <w:numId w:val="2"/>
              </w:numPr>
              <w:spacing w:after="40" w:before="40"/>
            </w:pPr>
            <w:r>
              <w:rPr>
                <w:rFonts w:ascii="Arial" w:cs="Arial" w:eastAsia="Arial" w:hAnsi="Arial"/>
                <w:sz w:val="20"/>
                <w:szCs w:val="20"/>
              </w:rPr>
              <w:t xml:space="preserve">This is a clean UX pattern that makes the tiering policy transparent rather than confusing.</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Implement the stub engine as part of the photo tiering logic in Phase 1B IMS build.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r>
              <w:rPr>
                <w:rFonts w:ascii="Arial" w:cs="Arial" w:eastAsia="Arial" w:hAnsi="Arial"/>
                <w:b/>
                <w:bCs/>
                <w:color w:val="FFFFFF"/>
                <w:sz w:val="22"/>
                <w:szCs w:val="22"/>
              </w:rPr>
              <w:t xml:space="preserve">M-07. AutoCAD / MS Project File Sync Can Be Automated   </w:t>
            </w:r>
            <w:r>
              <w:rPr>
                <w:rFonts w:ascii="Arial" w:cs="Arial" w:eastAsia="Arial" w:hAnsi="Arial"/>
                <w:b/>
                <w:bCs/>
                <w:color w:val="99FF99"/>
                <w:sz w:val="20"/>
                <w:szCs w:val="20"/>
              </w:rPr>
              <w:t xml:space="preserve">[MEDIUM]</w:t>
            </w:r>
            <w:r>
              <w:rPr>
                <w:rFonts w:ascii="Arial" w:cs="Arial" w:eastAsia="Arial" w:hAnsi="Arial"/>
                <w:i/>
                <w:iCs/>
                <w:color w:val="D5E8F0"/>
                <w:sz w:val="18"/>
                <w:szCs w:val="18"/>
              </w:rPr>
              <w:t xml:space="preserve">   Source: [GEMINI]</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Currently, AutoCAD DWG files and MS Project MPP files are manually uploaded to DocVault. Gemini proposes a headless file-watching utility on Robert's PC that automatically detects saves to a designated sync folder and pushes metadata and file updates to the cloud API.</w:t>
            </w:r>
          </w:p>
          <w:p>
            <w:pPr>
              <w:pStyle w:val="ListParagraph"/>
              <w:numPr>
                <w:ilvl w:val="0"/>
                <w:numId w:val="2"/>
              </w:numPr>
              <w:spacing w:after="40" w:before="40"/>
            </w:pPr>
            <w:r>
              <w:rPr>
                <w:rFonts w:ascii="Arial" w:cs="Arial" w:eastAsia="Arial" w:hAnsi="Arial"/>
                <w:sz w:val="20"/>
                <w:szCs w:val="20"/>
              </w:rPr>
              <w:t xml:space="preserve">This is a legitimate quality-of-life improvement that reduces manual friction for Robert's most-used external tools.</w:t>
            </w:r>
          </w:p>
          <w:p>
            <w:pPr>
              <w:pStyle w:val="ListParagraph"/>
              <w:numPr>
                <w:ilvl w:val="0"/>
                <w:numId w:val="2"/>
              </w:numPr>
              <w:spacing w:after="40" w:before="40"/>
            </w:pPr>
            <w:r>
              <w:rPr>
                <w:rFonts w:ascii="Arial" w:cs="Arial" w:eastAsia="Arial" w:hAnsi="Arial"/>
                <w:sz w:val="20"/>
                <w:szCs w:val="20"/>
              </w:rPr>
              <w:t xml:space="preserve">Implementation: a lightweight Node.js or Python file-watcher on the Windows PC, watching a designated sync folder, calling the DocVault API on file change.</w:t>
            </w:r>
          </w:p>
          <w:p>
            <w:pPr>
              <w:spacing w:after="40" w:before="80"/>
            </w:pPr>
            <w:r>
              <w:rPr>
                <w:rFonts w:ascii="Arial" w:cs="Arial" w:eastAsia="Arial" w:hAnsi="Arial"/>
                <w:b/>
                <w:bCs/>
                <w:color w:val="1F3864"/>
                <w:sz w:val="20"/>
                <w:szCs w:val="20"/>
              </w:rPr>
              <w:t xml:space="preserve">ACTION REQUIRED:</w:t>
            </w:r>
          </w:p>
          <w:p>
            <w:pPr>
              <w:pStyle w:val="ListParagraph"/>
              <w:numPr>
                <w:ilvl w:val="0"/>
                <w:numId w:val="3"/>
              </w:numPr>
              <w:spacing w:after="30" w:before="30"/>
            </w:pPr>
            <w:r>
              <w:rPr>
                <w:rFonts w:ascii="Arial" w:cs="Arial" w:eastAsia="Arial" w:hAnsi="Arial"/>
                <w:b/>
                <w:bCs/>
                <w:sz w:val="20"/>
                <w:szCs w:val="20"/>
              </w:rPr>
              <w:t xml:space="preserve">Build as a Phase 2 DocVault enhancement — not a blocker, but a meaningful workflow improvement.</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28"/>
                <w:szCs w:val="28"/>
              </w:rPr>
              <w:t xml:space="preserve">4. PRE-BUILD MASTER CHECKLIST</w:t>
            </w:r>
          </w:p>
        </w:tc>
      </w:tr>
    </w:tbl>
    <w:p>
      <w:pPr>
        <w:spacing w:after="100" w:before="100"/>
      </w:pPr>
      <w:r>
        <w:t xml:space="preserve"/>
      </w:r>
    </w:p>
    <w:p>
      <w:pPr>
        <w:spacing w:after="80" w:before="80"/>
      </w:pPr>
      <w:r>
        <w:rPr>
          <w:rFonts w:ascii="Arial" w:cs="Arial" w:eastAsia="Arial" w:hAnsi="Arial"/>
          <w:sz w:val="22"/>
          <w:szCs w:val="22"/>
        </w:rPr>
        <w:t xml:space="preserve">Complete these in order before writing any application code. Estimated total: 3-4 weeks of design and infrastructure work.</w:t>
      </w:r>
    </w:p>
    <w:p>
      <w:pPr>
        <w:spacing w:after="10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1100"/>
        <w:gridCol w:w="1560"/>
        <w:gridCol w:w="9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five logical database structure and update data model accordingly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days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Produce unified ERD/DBML covering all modules and cross-DB relationships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 days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Choose auth implementation (Keycloak vs. custom JWT) and document token lifecycle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day decide, 5 days build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Configure node-pg-migrate for all five databases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0.5 days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JAG Holdings API contract (OpenAPI YAML skeleton)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days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event handling / retry architecture using PostgreSQL LISTEN/NOTIFY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days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 proper domain and migrate DNS to Cloudflare Free Tier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mirror strategy: WAL streaming + async MinIO sync + nightly Restic</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days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 DR failover runbook (executable by Brian or wife without Robert)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dev → staging → production pipeline and write deploy/rollback script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days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bank statement parser POC for Republic Bank + First Citizens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days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Curate Mandarin Chinese translations for all financial/legal/compliance terms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days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JABCO Project Lifecycle workflow document (bid to close-out)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days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DragonBridge sub-architecture document (order to delivery)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days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build resource model and protect development time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Simplified Members Club spec replacing over-engineered CASINO module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0.5 days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Consolidated lawyer meeting: will, POAs, buy-sell agreement, trustee clause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day prep + meeting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28"/>
                <w:szCs w:val="28"/>
              </w:rPr>
              <w:t xml:space="preserve">5. WHERE THE TWO ARCHITECTS DIVERGED — AND WHY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40"/>
              <w:bottom w:type="dxa" w:w="120"/>
              <w:right w:type="dxa" w:w="240"/>
            </w:tcMar>
          </w:tcPr>
          <w:p>
            <w:r>
              <w:rPr>
                <w:rFonts w:ascii="Arial" w:cs="Arial" w:eastAsia="Arial" w:hAnsi="Arial"/>
                <w:b/>
                <w:bCs/>
                <w:color w:val="1F3864"/>
                <w:sz w:val="24"/>
                <w:szCs w:val="24"/>
              </w:rPr>
              <w:t xml:space="preserve">5A. Gemini Was Right — Claude Missed or Under-Weighted These</w:t>
            </w:r>
          </w:p>
        </w:tc>
      </w:tr>
    </w:tbl>
    <w:p>
      <w:pPr>
        <w:spacing w:after="100" w:before="100"/>
      </w:pPr>
      <w:r>
        <w:t xml:space="preserve"/>
      </w:r>
    </w:p>
    <w:p>
      <w:pPr>
        <w:pStyle w:val="ListParagraph"/>
        <w:numPr>
          <w:ilvl w:val="0"/>
          <w:numId w:val="2"/>
        </w:numPr>
        <w:spacing w:after="60" w:before="60"/>
      </w:pPr>
      <w:r>
        <w:rPr>
          <w:rFonts w:ascii="Arial" w:cs="Arial" w:eastAsia="Arial" w:hAnsi="Arial"/>
          <w:b w:val="false"/>
          <w:bCs w:val="false"/>
          <w:sz w:val="21"/>
          <w:szCs w:val="21"/>
        </w:rPr>
        <w:t xml:space="preserve">Database logical isolation: Gemini's recommendation to use separate physical databases per security zone is a genuine architectural improvement over RLS-only isolation. Adopted in full as B-01.</w:t>
      </w:r>
    </w:p>
    <w:p>
      <w:pPr>
        <w:pStyle w:val="ListParagraph"/>
        <w:numPr>
          <w:ilvl w:val="0"/>
          <w:numId w:val="2"/>
        </w:numPr>
        <w:spacing w:after="60" w:before="60"/>
      </w:pPr>
      <w:r>
        <w:rPr>
          <w:rFonts w:ascii="Arial" w:cs="Arial" w:eastAsia="Arial" w:hAnsi="Arial"/>
          <w:b w:val="false"/>
          <w:bCs w:val="false"/>
          <w:sz w:val="21"/>
          <w:szCs w:val="21"/>
        </w:rPr>
        <w:t xml:space="preserve">WAL streaming vs. hourly Restic mirror: Gemini correctly identified that hourly full infrastructure snapshots over a residential Trinidad internet connection is the wrong approach. WAL streaming for data and event-triggered file sync is technically superior. Adopted as B-08.</w:t>
      </w:r>
    </w:p>
    <w:p>
      <w:pPr>
        <w:pStyle w:val="ListParagraph"/>
        <w:numPr>
          <w:ilvl w:val="0"/>
          <w:numId w:val="2"/>
        </w:numPr>
        <w:spacing w:after="60" w:before="60"/>
      </w:pPr>
      <w:r>
        <w:rPr>
          <w:rFonts w:ascii="Arial" w:cs="Arial" w:eastAsia="Arial" w:hAnsi="Arial"/>
          <w:b w:val="false"/>
          <w:bCs w:val="false"/>
          <w:sz w:val="21"/>
          <w:szCs w:val="21"/>
        </w:rPr>
        <w:t xml:space="preserve">AI extraction compute risk: Gemini was more precise in diagnosing the Oracle VM compute constraint. The solution (offload to local PC) was already implicit in the architecture but Gemini made it explicit. Adopted as B-03.</w:t>
      </w:r>
    </w:p>
    <w:p>
      <w:pPr>
        <w:pStyle w:val="ListParagraph"/>
        <w:numPr>
          <w:ilvl w:val="0"/>
          <w:numId w:val="2"/>
        </w:numPr>
        <w:spacing w:after="60" w:before="60"/>
      </w:pPr>
      <w:r>
        <w:rPr>
          <w:rFonts w:ascii="Arial" w:cs="Arial" w:eastAsia="Arial" w:hAnsi="Arial"/>
          <w:b w:val="false"/>
          <w:bCs w:val="false"/>
          <w:sz w:val="21"/>
          <w:szCs w:val="21"/>
        </w:rPr>
        <w:t xml:space="preserve">Phase 1A security-first split: Gemini's explicit 1A/1B sequencing is a practical improvement over the implied sequencing in the original plan. Adopted as H-02.</w:t>
      </w:r>
    </w:p>
    <w:p>
      <w:pPr>
        <w:pStyle w:val="ListParagraph"/>
        <w:numPr>
          <w:ilvl w:val="0"/>
          <w:numId w:val="2"/>
        </w:numPr>
        <w:spacing w:after="60" w:before="60"/>
      </w:pPr>
      <w:r>
        <w:rPr>
          <w:rFonts w:ascii="Arial" w:cs="Arial" w:eastAsia="Arial" w:hAnsi="Arial"/>
          <w:b w:val="false"/>
          <w:bCs w:val="false"/>
          <w:sz w:val="21"/>
          <w:szCs w:val="21"/>
        </w:rPr>
        <w:t xml:space="preserve">Cloudflare over Duck DNS: More specific and actionable than simply noting Duck DNS has limitations. Adopted as H-03.</w:t>
      </w:r>
    </w:p>
    <w:p>
      <w:pPr>
        <w:pStyle w:val="ListParagraph"/>
        <w:numPr>
          <w:ilvl w:val="0"/>
          <w:numId w:val="2"/>
        </w:numPr>
        <w:spacing w:after="60" w:before="60"/>
      </w:pPr>
      <w:r>
        <w:rPr>
          <w:rFonts w:ascii="Arial" w:cs="Arial" w:eastAsia="Arial" w:hAnsi="Arial"/>
          <w:b w:val="false"/>
          <w:bCs w:val="false"/>
          <w:sz w:val="21"/>
          <w:szCs w:val="21"/>
        </w:rPr>
        <w:t xml:space="preserve">Media stub engine for tiered storage: A clean UX pattern that makes the storage tiering policy user-friendly rather than confusing. Adopted as M-06.</w:t>
      </w:r>
    </w:p>
    <w:p>
      <w:pPr>
        <w:pStyle w:val="ListParagraph"/>
        <w:numPr>
          <w:ilvl w:val="0"/>
          <w:numId w:val="2"/>
        </w:numPr>
        <w:spacing w:after="60" w:before="60"/>
      </w:pPr>
      <w:r>
        <w:rPr>
          <w:rFonts w:ascii="Arial" w:cs="Arial" w:eastAsia="Arial" w:hAnsi="Arial"/>
          <w:b w:val="false"/>
          <w:bCs w:val="false"/>
          <w:sz w:val="21"/>
          <w:szCs w:val="21"/>
        </w:rPr>
        <w:t xml:space="preserve">AutoCAD/MS Project file-watcher utility: A legitimate workflow improvement for Robert's most-used external tools. Adopted as M-07.</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40"/>
              <w:bottom w:type="dxa" w:w="120"/>
              <w:right w:type="dxa" w:w="240"/>
            </w:tcMar>
          </w:tcPr>
          <w:p>
            <w:r>
              <w:rPr>
                <w:rFonts w:ascii="Arial" w:cs="Arial" w:eastAsia="Arial" w:hAnsi="Arial"/>
                <w:b/>
                <w:bCs/>
                <w:color w:val="1F3864"/>
                <w:sz w:val="24"/>
                <w:szCs w:val="24"/>
              </w:rPr>
              <w:t xml:space="preserve">5B. Claude Was Right — Gemini Missed or Got Wrong</w:t>
            </w:r>
          </w:p>
        </w:tc>
      </w:tr>
    </w:tbl>
    <w:p>
      <w:pPr>
        <w:spacing w:after="100" w:before="100"/>
      </w:pPr>
      <w:r>
        <w:t xml:space="preserve"/>
      </w:r>
    </w:p>
    <w:p>
      <w:pPr>
        <w:pStyle w:val="ListParagraph"/>
        <w:numPr>
          <w:ilvl w:val="0"/>
          <w:numId w:val="2"/>
        </w:numPr>
        <w:spacing w:after="60" w:before="60"/>
      </w:pPr>
      <w:r>
        <w:rPr>
          <w:rFonts w:ascii="Arial" w:cs="Arial" w:eastAsia="Arial" w:hAnsi="Arial"/>
          <w:b w:val="false"/>
          <w:bCs w:val="false"/>
          <w:sz w:val="21"/>
          <w:szCs w:val="21"/>
        </w:rPr>
        <w:t xml:space="preserve">CASINO is a members club, not a regulated casino: Gemini did not have or apply this correction and recommended a Circuit Breaker pattern with cryptographic audit log verification — an over-engineered solution for a visitors log and chip float. Gemini's CASINO recommendations are rejected entirely.</w:t>
      </w:r>
    </w:p>
    <w:p>
      <w:pPr>
        <w:pStyle w:val="ListParagraph"/>
        <w:numPr>
          <w:ilvl w:val="0"/>
          <w:numId w:val="2"/>
        </w:numPr>
        <w:spacing w:after="60" w:before="60"/>
      </w:pPr>
      <w:r>
        <w:rPr>
          <w:rFonts w:ascii="Arial" w:cs="Arial" w:eastAsia="Arial" w:hAnsi="Arial"/>
          <w:b w:val="false"/>
          <w:bCs w:val="false"/>
          <w:sz w:val="21"/>
          <w:szCs w:val="21"/>
        </w:rPr>
        <w:t xml:space="preserve">Build resource risk: Gemini's framing — 'not constrained by human developer hours because Claude Code writes the software' — is incorrect. Robert is the architect, reviewer, decision-maker, and context provider. This is not a zero-human-hours process. The single-person dependency risk is real and Gemini missed it entirely.</w:t>
      </w:r>
    </w:p>
    <w:p>
      <w:pPr>
        <w:pStyle w:val="ListParagraph"/>
        <w:numPr>
          <w:ilvl w:val="0"/>
          <w:numId w:val="2"/>
        </w:numPr>
        <w:spacing w:after="60" w:before="60"/>
      </w:pPr>
      <w:r>
        <w:rPr>
          <w:rFonts w:ascii="Arial" w:cs="Arial" w:eastAsia="Arial" w:hAnsi="Arial"/>
          <w:b w:val="false"/>
          <w:bCs w:val="false"/>
          <w:sz w:val="21"/>
          <w:szCs w:val="21"/>
        </w:rPr>
        <w:t xml:space="preserve">'Ready to deploy' verdict: Gemini concluded the plan is ready to deploy after identifying structural vulnerabilities. This verdict is self-contradictory. A plan with a broken backup strategy, a database isolation risk, and an AI extraction approach that will crash the server is not ready to build. The unified position is: the plan needs 3-4 weeks of pre-build design work first.</w:t>
      </w:r>
    </w:p>
    <w:p>
      <w:pPr>
        <w:pStyle w:val="ListParagraph"/>
        <w:numPr>
          <w:ilvl w:val="0"/>
          <w:numId w:val="2"/>
        </w:numPr>
        <w:spacing w:after="60" w:before="60"/>
      </w:pPr>
      <w:r>
        <w:rPr>
          <w:rFonts w:ascii="Arial" w:cs="Arial" w:eastAsia="Arial" w:hAnsi="Arial"/>
          <w:b w:val="false"/>
          <w:bCs w:val="false"/>
          <w:sz w:val="21"/>
          <w:szCs w:val="21"/>
        </w:rPr>
        <w:t xml:space="preserve">Pre-build design gap: Gemini's critique is almost entirely about infrastructure and stack adjustments. Claude's critique covers the missing data model, the undefined API contract, the absent testing strategy, the missing migration tooling, and the absent deployment pipeline — all of which are equally critical and none of which Gemini raised.</w:t>
      </w:r>
    </w:p>
    <w:p>
      <w:pPr>
        <w:pStyle w:val="ListParagraph"/>
        <w:numPr>
          <w:ilvl w:val="0"/>
          <w:numId w:val="2"/>
        </w:numPr>
        <w:spacing w:after="60" w:before="60"/>
      </w:pPr>
      <w:r>
        <w:rPr>
          <w:rFonts w:ascii="Arial" w:cs="Arial" w:eastAsia="Arial" w:hAnsi="Arial"/>
          <w:b w:val="false"/>
          <w:bCs w:val="false"/>
          <w:sz w:val="21"/>
          <w:szCs w:val="21"/>
        </w:rPr>
        <w:t xml:space="preserve">JABCO under-sizing: Gemini did not raise the fact that the JABCO module is treated as a sales CRM when it needs a full construction project lifecycle framework. This is the highest-ROI gap in the document.</w:t>
      </w:r>
    </w:p>
    <w:p>
      <w:pPr>
        <w:pStyle w:val="ListParagraph"/>
        <w:numPr>
          <w:ilvl w:val="0"/>
          <w:numId w:val="2"/>
        </w:numPr>
        <w:spacing w:after="60" w:before="60"/>
      </w:pPr>
      <w:r>
        <w:rPr>
          <w:rFonts w:ascii="Arial" w:cs="Arial" w:eastAsia="Arial" w:hAnsi="Arial"/>
          <w:b w:val="false"/>
          <w:bCs w:val="false"/>
          <w:sz w:val="21"/>
          <w:szCs w:val="21"/>
        </w:rPr>
        <w:t xml:space="preserve">DragonBridge under-architecture: Gemini did not raise the fact that the most operationally complex entity in the group has the thinnest architectural specification.</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28"/>
                <w:szCs w:val="28"/>
              </w:rPr>
              <w:t xml:space="preserve">6. REVISED BUILD SEQUENCE</w:t>
            </w:r>
          </w:p>
        </w:tc>
      </w:tr>
    </w:tbl>
    <w:p>
      <w:pPr>
        <w:spacing w:after="100" w:before="100"/>
      </w:pPr>
      <w:r>
        <w:t xml:space="preserve"/>
      </w:r>
    </w:p>
    <w:p>
      <w:pPr>
        <w:spacing w:after="80" w:before="80"/>
      </w:pPr>
      <w:r>
        <w:rPr>
          <w:rFonts w:ascii="Arial" w:cs="Arial" w:eastAsia="Arial" w:hAnsi="Arial"/>
          <w:sz w:val="22"/>
          <w:szCs w:val="22"/>
        </w:rPr>
        <w:t xml:space="preserve">Incorporating both architect recommendations. The pre-build phase is new — it replaces the assumption that Phase 0 starts with Oracle VM provisioning.</w:t>
      </w:r>
    </w:p>
    <w:p>
      <w:pPr>
        <w:spacing w:after="100" w:before="10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760"/>
        <w:gridCol w:w="1000"/>
      </w:tblGrid>
      <w:t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Changes from v1.5</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Pre-Build
(NEW)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model, API contract, auth design, migration tooling, database structure, domain, DR runbook, bank parser POC, JABCO/DragonBridge sub-docs, build resource plan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Entire new phase not in v1.5 — non-negotiable before Phase 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 weeks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Oracle Cloud VM, Cloudflare DNS (not Duck DNS), Docker, PostgreSQL with five logical databases, Caddy with wildcard certs, WAL streaming to PC, GitHub Actions deploy script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Five logical DBs, Cloudflare DNS, WAL streaming, automated deployment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1A
(NEW SPLIT)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service (Keycloak or custom JWT), WebAuthn, RLS per database, i18n engine English/Mandarin, migration tooling running, cross-tenant penetration test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foundation must be complete before any business module — new discipline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weeks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1B</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IMS HOME, JABCO (with full project lifecycle), JABCO FLEET, Personal FLEET, JAG Finance core schema + ledger, JAG CRM contact master + JABCO pipeline, backup system, logging/observability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Finance core added, JABCO project lifecycle added, logging added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8-10 weeks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JAG Properties, PROPS, DocVault, Succession module, JAG Lifestyle registry, file-watcher for AutoCAD/MS Project, External Advisor auth role, media stub engine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File-watcher added, External Advisor role added, stub engine added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6-8 weeks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Brian's Portal, DragonBridge (with full sub-architecture), BAR + Members Club (merged Entertainment Ops), NLCB module, JAG Lifestyle full tracker, Cloudflare WAF tuning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DragonBridge sub-architecture required before build, BAR/Casino merged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6-8 weeks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JAG Finance full UI (20+ accounts, investments, net worth, mortgages, retirement), JAG Lifestyle net worth integration, JAG CRM finance auto-link, AI extraction engine (running on local PC)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extraction offloaded to PC, Finance UI built on existing Phase 1B schema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8-10 weeks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JAG Holdings unified ledger UI, insurance module, expense management, intercompany eliminations, accountant read-only portal, MS Project sync</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4-6 weeks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JAG HR (OrangeHRM), NFC, WhatsApp automation (Twilio — not delayed to optional), Spanish language, OWASP ZAP security audit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Twilio moved from optional to planned — the click-to-send model does not scale to 50+ notification types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weeks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7</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JAG Plantations, JAG Trading (POS + online retail), New Entity Onboarding workflow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12-16 weeks</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28"/>
                <w:szCs w:val="28"/>
              </w:rPr>
              <w:t xml:space="preserve">7. FINAL UNIFIED VERDICT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r>
              <w:rPr>
                <w:rFonts w:ascii="Arial" w:cs="Arial" w:eastAsia="Arial" w:hAnsi="Arial"/>
                <w:b/>
                <w:bCs/>
                <w:color w:val="1E6B3C"/>
                <w:sz w:val="20"/>
                <w:szCs w:val="20"/>
              </w:rPr>
              <w:t xml:space="preserve">THE VISION: Correct. Both architects agree the JAG platform concept is sound — modular, self-hosted, financially disciplined, and appropriately designed for a diversified family conglomerate. The Three Golden Rules are worth engineering for.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CC" w:val="clear"/>
            <w:tcMar>
              <w:top w:type="dxa" w:w="120"/>
              <w:left w:type="dxa" w:w="200"/>
              <w:bottom w:type="dxa" w:w="120"/>
              <w:right w:type="dxa" w:w="200"/>
            </w:tcMar>
          </w:tcPr>
          <w:p>
            <w:r>
              <w:rPr>
                <w:rFonts w:ascii="Arial" w:cs="Arial" w:eastAsia="Arial" w:hAnsi="Arial"/>
                <w:b/>
                <w:bCs/>
                <w:color w:val="FF8C00"/>
                <w:sz w:val="20"/>
                <w:szCs w:val="20"/>
              </w:rPr>
              <w:t xml:space="preserve">THE ARCHITECTURE: Strong in philosophy, incomplete in engineering. The security model, technology stack, and phase logic are right. The data model, API contract, event architecture, testing strategy, migration tooling, deployment pipeline, and build resource plan are missing. These are not minor oversights — they are the structural steel that holds the floors together.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8B0000"/>
                <w:sz w:val="20"/>
                <w:szCs w:val="20"/>
              </w:rPr>
              <w:t xml:space="preserve">THE READINESS: Not ready to build. Ready to finalise. Spend 3-4 weeks on the pre-build checklist in Section 4. The design work done now will determine whether this project succeeds in 18 months or becomes a multi-year rebuild.</w:t>
            </w:r>
          </w:p>
        </w:tc>
      </w:tr>
    </w:tbl>
    <w:p>
      <w:pPr>
        <w:spacing w:after="100" w:before="100"/>
      </w:pPr>
      <w:r>
        <w:t xml:space="preserve"/>
      </w:r>
    </w:p>
    <w:p>
      <w:pPr>
        <w:spacing w:after="80" w:before="80"/>
      </w:pPr>
      <w:r>
        <w:rPr>
          <w:rFonts w:ascii="Arial" w:cs="Arial" w:eastAsia="Arial" w:hAnsi="Arial"/>
          <w:sz w:val="22"/>
          <w:szCs w:val="22"/>
        </w:rPr>
        <w:t xml:space="preserve">The 27 findings in this critique represent the combined view of two independent architect assessments. The 8 blockers are non-negotiable. The 12 high-priority findings should be resolved before Phase 1B begins. The 7 medium findings have clear Phase 2-3 placement.</w:t>
      </w:r>
    </w:p>
    <w:p>
      <w:pPr>
        <w:spacing w:after="100" w:before="100"/>
      </w:pPr>
      <w:r>
        <w:t xml:space="preserve"/>
      </w:r>
    </w:p>
    <w:p>
      <w:pPr>
        <w:spacing w:after="80" w:before="80"/>
      </w:pPr>
      <w:r>
        <w:rPr>
          <w:rFonts w:ascii="Arial" w:cs="Arial" w:eastAsia="Arial" w:hAnsi="Arial"/>
          <w:sz w:val="22"/>
          <w:szCs w:val="22"/>
        </w:rPr>
        <w:t xml:space="preserve">The single most valuable thing Robert can do today is not to provision the Oracle VM. It is to produce the unified data model. Everything else follows from that.</w:t>
      </w:r>
    </w:p>
    <w:p>
      <w:pPr>
        <w:spacing w:after="100" w:before="100"/>
      </w:pPr>
      <w:r>
        <w:t xml:space="preserve"/>
      </w:r>
    </w:p>
    <w:p>
      <w:pPr>
        <w:pBdr>
          <w:bottom w:val="single" w:color="1F3864" w:sz="8" w:space="1"/>
        </w:pBdr>
        <w:spacing w:after="240" w:before="240"/>
      </w:pPr>
      <w:r>
        <w:t xml:space="preserve"/>
      </w:r>
    </w:p>
    <w:p>
      <w:pPr>
        <w:spacing w:after="160" w:before="160"/>
        <w:jc w:val="center"/>
      </w:pPr>
      <w:r>
        <w:rPr>
          <w:rFonts w:ascii="Arial" w:cs="Arial" w:eastAsia="Arial" w:hAnsi="Arial"/>
          <w:i/>
          <w:iCs/>
          <w:color w:val="888888"/>
          <w:sz w:val="18"/>
          <w:szCs w:val="18"/>
        </w:rPr>
        <w:t xml:space="preserve">Johnson Attin Group  |  JAG Master Architecture v1.5 — Unified Architect Critique  |  Confidential  |  May 22, 2026</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JAG Master Architecture v1.5 — Unified Architect Critique  |  Confidential  |  May 22,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2026-05-23T01:47:47.339Z</dcterms:created>
  <dcterms:modified xsi:type="dcterms:W3CDTF">2026-05-23T01:47:47.339Z</dcterms:modified>
</cp:coreProperties>
</file>

<file path=docProps/custom.xml><?xml version="1.0" encoding="utf-8"?>
<Properties xmlns="http://schemas.openxmlformats.org/officeDocument/2006/custom-properties" xmlns:vt="http://schemas.openxmlformats.org/officeDocument/2006/docPropsVTypes"/>
</file>