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F9D7A" w14:textId="77777777" w:rsidR="0097451B" w:rsidRPr="0097451B" w:rsidRDefault="0097451B" w:rsidP="0097451B">
      <w:pPr>
        <w:rPr>
          <w:rFonts w:asciiTheme="majorHAnsi" w:hAnsiTheme="majorHAnsi"/>
          <w:b/>
          <w:bCs/>
          <w:sz w:val="22"/>
        </w:rPr>
      </w:pPr>
      <w:r w:rsidRPr="0097451B">
        <w:rPr>
          <w:rFonts w:asciiTheme="majorHAnsi" w:hAnsiTheme="majorHAnsi"/>
          <w:b/>
          <w:bCs/>
          <w:sz w:val="22"/>
        </w:rPr>
        <w:t xml:space="preserve">Introduction </w:t>
      </w:r>
    </w:p>
    <w:p w14:paraId="278931D4" w14:textId="3844E3CF" w:rsidR="0097451B" w:rsidRPr="00292FCA" w:rsidRDefault="0097451B" w:rsidP="0097451B">
      <w:pPr>
        <w:rPr>
          <w:rFonts w:asciiTheme="majorHAnsi" w:hAnsiTheme="majorHAnsi"/>
          <w:sz w:val="22"/>
        </w:rPr>
      </w:pPr>
      <w:r w:rsidRPr="00292FCA">
        <w:rPr>
          <w:rFonts w:asciiTheme="majorHAnsi" w:hAnsiTheme="majorHAnsi"/>
          <w:sz w:val="22"/>
        </w:rPr>
        <w:t xml:space="preserve">This </w:t>
      </w:r>
      <w:r>
        <w:rPr>
          <w:rFonts w:asciiTheme="majorHAnsi" w:hAnsiTheme="majorHAnsi"/>
          <w:sz w:val="22"/>
        </w:rPr>
        <w:t>short course</w:t>
      </w:r>
      <w:r w:rsidRPr="00292FCA">
        <w:rPr>
          <w:rFonts w:asciiTheme="majorHAnsi" w:hAnsiTheme="majorHAnsi"/>
          <w:sz w:val="22"/>
        </w:rPr>
        <w:t xml:space="preserve"> is about modelling </w:t>
      </w:r>
      <w:r>
        <w:rPr>
          <w:rFonts w:asciiTheme="majorHAnsi" w:hAnsiTheme="majorHAnsi"/>
          <w:sz w:val="22"/>
        </w:rPr>
        <w:t>with PCLake</w:t>
      </w:r>
      <w:r w:rsidRPr="00292FCA">
        <w:rPr>
          <w:rFonts w:asciiTheme="majorHAnsi" w:hAnsiTheme="majorHAnsi"/>
          <w:sz w:val="22"/>
        </w:rPr>
        <w:t xml:space="preserve">. After the introduction, we will </w:t>
      </w:r>
      <w:r w:rsidR="00DD5569">
        <w:rPr>
          <w:rFonts w:asciiTheme="majorHAnsi" w:hAnsiTheme="majorHAnsi"/>
          <w:sz w:val="22"/>
        </w:rPr>
        <w:t xml:space="preserve">introduce </w:t>
      </w:r>
      <w:r w:rsidRPr="00292FCA">
        <w:rPr>
          <w:rFonts w:asciiTheme="majorHAnsi" w:hAnsiTheme="majorHAnsi"/>
          <w:sz w:val="22"/>
        </w:rPr>
        <w:t>the PCLake model</w:t>
      </w:r>
      <w:r>
        <w:rPr>
          <w:rFonts w:asciiTheme="majorHAnsi" w:hAnsiTheme="majorHAnsi"/>
          <w:sz w:val="22"/>
        </w:rPr>
        <w:t xml:space="preserve"> and demonstrate model runs</w:t>
      </w:r>
      <w:r w:rsidR="00DD5569">
        <w:rPr>
          <w:rFonts w:asciiTheme="majorHAnsi" w:hAnsiTheme="majorHAnsi"/>
          <w:sz w:val="22"/>
        </w:rPr>
        <w:t xml:space="preserve"> for transient runs and bifucation analysis</w:t>
      </w:r>
      <w:r w:rsidRPr="00292FCA">
        <w:rPr>
          <w:rFonts w:asciiTheme="majorHAnsi" w:hAnsiTheme="majorHAnsi"/>
          <w:sz w:val="22"/>
        </w:rPr>
        <w:t xml:space="preserve">. </w:t>
      </w:r>
    </w:p>
    <w:p w14:paraId="5F50706C" w14:textId="4312D715" w:rsidR="00185844" w:rsidRPr="0097451B" w:rsidRDefault="00B43729">
      <w:pPr>
        <w:rPr>
          <w:rFonts w:asciiTheme="majorHAnsi" w:hAnsiTheme="majorHAnsi"/>
          <w:b/>
          <w:bCs/>
          <w:sz w:val="22"/>
        </w:rPr>
      </w:pPr>
      <w:r w:rsidRPr="0097451B">
        <w:rPr>
          <w:rFonts w:asciiTheme="majorHAnsi" w:hAnsiTheme="majorHAnsi"/>
          <w:b/>
          <w:bCs/>
          <w:sz w:val="22"/>
        </w:rPr>
        <w:t>Prepare for PCLake+ part</w:t>
      </w:r>
      <w:r w:rsidR="003626A4">
        <w:rPr>
          <w:rFonts w:asciiTheme="majorHAnsi" w:hAnsiTheme="majorHAnsi"/>
          <w:b/>
          <w:bCs/>
          <w:sz w:val="22"/>
        </w:rPr>
        <w:t xml:space="preserve"> (see folder PreparationDocuments_PCLake)</w:t>
      </w:r>
      <w:r w:rsidRPr="0097451B">
        <w:rPr>
          <w:rFonts w:asciiTheme="majorHAnsi" w:hAnsiTheme="majorHAnsi"/>
          <w:b/>
          <w:bCs/>
          <w:sz w:val="22"/>
        </w:rPr>
        <w:t>:</w:t>
      </w:r>
    </w:p>
    <w:p w14:paraId="21DECF3A" w14:textId="61AE5E14" w:rsidR="00B43729" w:rsidRPr="00B43729" w:rsidRDefault="00B43729" w:rsidP="00B43729">
      <w:pPr>
        <w:pStyle w:val="ListParagraph"/>
        <w:numPr>
          <w:ilvl w:val="0"/>
          <w:numId w:val="1"/>
        </w:numPr>
        <w:rPr>
          <w:rFonts w:asciiTheme="majorHAnsi" w:hAnsiTheme="majorHAnsi"/>
          <w:sz w:val="22"/>
        </w:rPr>
      </w:pPr>
      <w:r w:rsidRPr="00B43729">
        <w:rPr>
          <w:rFonts w:asciiTheme="majorHAnsi" w:hAnsiTheme="majorHAnsi"/>
          <w:sz w:val="22"/>
        </w:rPr>
        <w:t>Install PCLake+ and R-tools by following the instructions in the document called “Install_PCLake_and_Rtools”.</w:t>
      </w:r>
    </w:p>
    <w:p w14:paraId="795C161B" w14:textId="75982AED" w:rsidR="00B43729" w:rsidRPr="00B43729" w:rsidRDefault="00B43729" w:rsidP="00B43729">
      <w:pPr>
        <w:pStyle w:val="ListParagraph"/>
        <w:numPr>
          <w:ilvl w:val="0"/>
          <w:numId w:val="1"/>
        </w:numPr>
        <w:rPr>
          <w:rFonts w:asciiTheme="majorHAnsi" w:hAnsiTheme="majorHAnsi"/>
          <w:sz w:val="22"/>
        </w:rPr>
      </w:pPr>
      <w:r w:rsidRPr="00B43729">
        <w:rPr>
          <w:rFonts w:asciiTheme="majorHAnsi" w:hAnsiTheme="majorHAnsi"/>
          <w:sz w:val="22"/>
        </w:rPr>
        <w:t>Read the following articles as preparation:</w:t>
      </w:r>
    </w:p>
    <w:p w14:paraId="69B3C087" w14:textId="2B316659" w:rsidR="00B43729" w:rsidRPr="00B43729" w:rsidRDefault="00B43729" w:rsidP="00B43729">
      <w:pPr>
        <w:pStyle w:val="ListParagraph"/>
        <w:numPr>
          <w:ilvl w:val="1"/>
          <w:numId w:val="1"/>
        </w:numPr>
        <w:rPr>
          <w:rFonts w:asciiTheme="majorHAnsi" w:hAnsiTheme="majorHAnsi"/>
          <w:sz w:val="22"/>
        </w:rPr>
      </w:pPr>
      <w:r w:rsidRPr="00B43729">
        <w:rPr>
          <w:rFonts w:asciiTheme="majorHAnsi" w:hAnsiTheme="majorHAnsi" w:cs="Segoe UI"/>
          <w:sz w:val="22"/>
          <w:lang w:val="en-US"/>
        </w:rPr>
        <w:t>Janse, J.H., Scheffer, M., Lijklema, L., Van Liere, L., Sloot, J.S. and Mooij, W.M. (2010) Estimating the critical phosphorus loading of shallow lakes with the ecosystem model PCLake: Sensitivity, calibration and uncertainty. Ecological Modelling 221(4), 654-665.</w:t>
      </w:r>
      <w:r>
        <w:rPr>
          <w:rFonts w:asciiTheme="majorHAnsi" w:hAnsiTheme="majorHAnsi" w:cs="Segoe UI"/>
          <w:sz w:val="22"/>
          <w:lang w:val="en-US"/>
        </w:rPr>
        <w:t xml:space="preserve"> </w:t>
      </w:r>
    </w:p>
    <w:p w14:paraId="45812059" w14:textId="213039D4" w:rsidR="00B43729" w:rsidRPr="00B43729" w:rsidRDefault="00B43729" w:rsidP="00B43729">
      <w:pPr>
        <w:pStyle w:val="ListParagraph"/>
        <w:numPr>
          <w:ilvl w:val="1"/>
          <w:numId w:val="1"/>
        </w:numPr>
        <w:rPr>
          <w:rFonts w:asciiTheme="majorHAnsi" w:hAnsiTheme="majorHAnsi"/>
          <w:sz w:val="22"/>
        </w:rPr>
      </w:pPr>
      <w:r w:rsidRPr="00B43729">
        <w:rPr>
          <w:rFonts w:asciiTheme="majorHAnsi" w:hAnsiTheme="majorHAnsi" w:cs="Segoe UI"/>
          <w:sz w:val="22"/>
          <w:lang w:val="en-US"/>
        </w:rPr>
        <w:t>Janse, J.H., De Senerpont Domis, L.N., Scheffer, M., Lijklema, L., Van Liere, L., Klinge, M. and Mooij, W.M. (2008) Critical phosphorus loading of different types of shallow lakes and the consequences for management estimated with the ecosystem model PCLake. Limnologica-Ecology and Management of Inland Waters 38(3), 203-219.</w:t>
      </w:r>
    </w:p>
    <w:p w14:paraId="52273728" w14:textId="3BAAA6B3" w:rsidR="00B43729" w:rsidRPr="00B43729" w:rsidRDefault="00B43729" w:rsidP="00B43729">
      <w:pPr>
        <w:pStyle w:val="ListParagraph"/>
        <w:numPr>
          <w:ilvl w:val="1"/>
          <w:numId w:val="1"/>
        </w:numPr>
        <w:rPr>
          <w:rFonts w:asciiTheme="majorHAnsi" w:hAnsiTheme="majorHAnsi" w:cs="Segoe UI"/>
          <w:sz w:val="22"/>
          <w:lang w:val="en-US"/>
        </w:rPr>
      </w:pPr>
      <w:r w:rsidRPr="00B43729">
        <w:rPr>
          <w:rFonts w:asciiTheme="majorHAnsi" w:hAnsiTheme="majorHAnsi" w:cs="Segoe UI"/>
          <w:sz w:val="22"/>
          <w:lang w:val="en-US"/>
        </w:rPr>
        <w:t>Ibelings, B.W., Portielje, R., Lammens, E.H.R.R., Noordhuis, R., Van den Berg, M.S., Joosse, W. and Meijer, M.L. (2007) Resilience of alternative stable states during the recovery of shallow lakes from eutrophication: Lake Veluwe as a case study. Ecosystems 10(1), 4-16.</w:t>
      </w:r>
    </w:p>
    <w:p w14:paraId="6B68F4F1" w14:textId="77777777" w:rsidR="00002974" w:rsidRPr="0097451B" w:rsidRDefault="009F56F4" w:rsidP="00B43729">
      <w:pPr>
        <w:rPr>
          <w:b/>
          <w:bCs/>
        </w:rPr>
      </w:pPr>
      <w:r w:rsidRPr="0097451B">
        <w:rPr>
          <w:rFonts w:asciiTheme="majorHAnsi" w:hAnsiTheme="majorHAnsi"/>
          <w:b/>
          <w:bCs/>
          <w:sz w:val="22"/>
        </w:rPr>
        <w:t>Aim</w:t>
      </w:r>
      <w:r w:rsidR="00002974" w:rsidRPr="0097451B">
        <w:rPr>
          <w:b/>
          <w:bCs/>
        </w:rPr>
        <w:t xml:space="preserve"> </w:t>
      </w:r>
    </w:p>
    <w:p w14:paraId="23CDCA66" w14:textId="565EF6F4" w:rsidR="00E05614" w:rsidRPr="00E05614" w:rsidRDefault="00002974" w:rsidP="00E05614">
      <w:pPr>
        <w:ind w:firstLine="360"/>
        <w:rPr>
          <w:rFonts w:asciiTheme="majorHAnsi" w:hAnsiTheme="majorHAnsi"/>
          <w:sz w:val="22"/>
        </w:rPr>
      </w:pPr>
      <w:r w:rsidRPr="00E05614">
        <w:rPr>
          <w:rFonts w:asciiTheme="majorHAnsi" w:hAnsiTheme="majorHAnsi"/>
          <w:sz w:val="22"/>
        </w:rPr>
        <w:t xml:space="preserve">After this </w:t>
      </w:r>
      <w:r w:rsidR="00E05614" w:rsidRPr="00E05614">
        <w:rPr>
          <w:rFonts w:asciiTheme="majorHAnsi" w:hAnsiTheme="majorHAnsi"/>
          <w:sz w:val="22"/>
        </w:rPr>
        <w:t>course:</w:t>
      </w:r>
    </w:p>
    <w:p w14:paraId="355FC34C" w14:textId="5EFD4C47" w:rsidR="00B43729" w:rsidRDefault="00E05614" w:rsidP="00002974">
      <w:pPr>
        <w:pStyle w:val="ListParagraph"/>
        <w:numPr>
          <w:ilvl w:val="0"/>
          <w:numId w:val="1"/>
        </w:numPr>
        <w:rPr>
          <w:rFonts w:asciiTheme="majorHAnsi" w:hAnsiTheme="majorHAnsi"/>
          <w:sz w:val="22"/>
        </w:rPr>
      </w:pPr>
      <w:r>
        <w:rPr>
          <w:rFonts w:asciiTheme="majorHAnsi" w:hAnsiTheme="majorHAnsi"/>
          <w:sz w:val="22"/>
        </w:rPr>
        <w:t>y</w:t>
      </w:r>
      <w:r w:rsidR="00002974">
        <w:rPr>
          <w:rFonts w:asciiTheme="majorHAnsi" w:hAnsiTheme="majorHAnsi"/>
          <w:sz w:val="22"/>
        </w:rPr>
        <w:t>ou</w:t>
      </w:r>
      <w:r w:rsidR="00002974" w:rsidRPr="00002974">
        <w:rPr>
          <w:rFonts w:asciiTheme="majorHAnsi" w:hAnsiTheme="majorHAnsi"/>
          <w:sz w:val="22"/>
        </w:rPr>
        <w:t xml:space="preserve"> know how PCLake can be used in lake water quality management</w:t>
      </w:r>
      <w:r w:rsidR="001C4004">
        <w:rPr>
          <w:rFonts w:asciiTheme="majorHAnsi" w:hAnsiTheme="majorHAnsi"/>
          <w:sz w:val="22"/>
        </w:rPr>
        <w:t>;</w:t>
      </w:r>
    </w:p>
    <w:p w14:paraId="5450EA11" w14:textId="36642AB7" w:rsidR="009F56F4" w:rsidRDefault="009F56F4" w:rsidP="009F56F4">
      <w:pPr>
        <w:pStyle w:val="ListParagraph"/>
        <w:numPr>
          <w:ilvl w:val="0"/>
          <w:numId w:val="1"/>
        </w:numPr>
        <w:rPr>
          <w:rFonts w:asciiTheme="majorHAnsi" w:hAnsiTheme="majorHAnsi"/>
          <w:sz w:val="22"/>
        </w:rPr>
      </w:pPr>
      <w:r>
        <w:rPr>
          <w:rFonts w:asciiTheme="majorHAnsi" w:hAnsiTheme="majorHAnsi"/>
          <w:sz w:val="22"/>
        </w:rPr>
        <w:t>you will know how to run PCLake for a case study</w:t>
      </w:r>
      <w:r w:rsidR="001C4004">
        <w:rPr>
          <w:rFonts w:asciiTheme="majorHAnsi" w:hAnsiTheme="majorHAnsi"/>
          <w:sz w:val="22"/>
        </w:rPr>
        <w:t>;</w:t>
      </w:r>
    </w:p>
    <w:p w14:paraId="6585DB08" w14:textId="3BC7900A" w:rsidR="00E05614" w:rsidRDefault="00E05614" w:rsidP="009F56F4">
      <w:pPr>
        <w:pStyle w:val="ListParagraph"/>
        <w:numPr>
          <w:ilvl w:val="0"/>
          <w:numId w:val="1"/>
        </w:numPr>
        <w:rPr>
          <w:rFonts w:asciiTheme="majorHAnsi" w:hAnsiTheme="majorHAnsi"/>
          <w:sz w:val="22"/>
        </w:rPr>
      </w:pPr>
      <w:r>
        <w:rPr>
          <w:rFonts w:asciiTheme="majorHAnsi" w:hAnsiTheme="majorHAnsi"/>
          <w:sz w:val="22"/>
        </w:rPr>
        <w:t xml:space="preserve">you know how to </w:t>
      </w:r>
      <w:r w:rsidR="00292FCA">
        <w:rPr>
          <w:rFonts w:asciiTheme="majorHAnsi" w:hAnsiTheme="majorHAnsi"/>
          <w:sz w:val="22"/>
        </w:rPr>
        <w:t>use</w:t>
      </w:r>
      <w:r>
        <w:rPr>
          <w:rFonts w:asciiTheme="majorHAnsi" w:hAnsiTheme="majorHAnsi"/>
          <w:sz w:val="22"/>
        </w:rPr>
        <w:t xml:space="preserve"> PC</w:t>
      </w:r>
      <w:r w:rsidR="00292FCA">
        <w:rPr>
          <w:rFonts w:asciiTheme="majorHAnsi" w:hAnsiTheme="majorHAnsi"/>
          <w:sz w:val="22"/>
        </w:rPr>
        <w:t>Lake in a bifurcation run</w:t>
      </w:r>
      <w:r w:rsidR="001C4004">
        <w:rPr>
          <w:rFonts w:asciiTheme="majorHAnsi" w:hAnsiTheme="majorHAnsi"/>
          <w:sz w:val="22"/>
        </w:rPr>
        <w:t>.</w:t>
      </w:r>
    </w:p>
    <w:p w14:paraId="4794DA5A" w14:textId="77777777" w:rsidR="00002974" w:rsidRPr="0097451B" w:rsidRDefault="00002974" w:rsidP="00292FCA">
      <w:pPr>
        <w:rPr>
          <w:rFonts w:asciiTheme="majorHAnsi" w:hAnsiTheme="majorHAnsi"/>
          <w:b/>
          <w:bCs/>
          <w:sz w:val="22"/>
        </w:rPr>
      </w:pPr>
      <w:r w:rsidRPr="0097451B">
        <w:rPr>
          <w:rFonts w:asciiTheme="majorHAnsi" w:hAnsiTheme="majorHAnsi"/>
          <w:b/>
          <w:bCs/>
          <w:sz w:val="22"/>
        </w:rPr>
        <w:t xml:space="preserve">Planning </w:t>
      </w:r>
    </w:p>
    <w:p w14:paraId="348996B2" w14:textId="150FFC87" w:rsidR="00002974" w:rsidRPr="00292FCA" w:rsidRDefault="006407DF" w:rsidP="0097451B">
      <w:pPr>
        <w:spacing w:after="0"/>
        <w:rPr>
          <w:rFonts w:asciiTheme="majorHAnsi" w:hAnsiTheme="majorHAnsi"/>
          <w:sz w:val="22"/>
        </w:rPr>
      </w:pPr>
      <w:r>
        <w:rPr>
          <w:rFonts w:asciiTheme="majorHAnsi" w:hAnsiTheme="majorHAnsi"/>
          <w:sz w:val="22"/>
        </w:rPr>
        <w:t>15 minutes</w:t>
      </w:r>
      <w:r>
        <w:rPr>
          <w:rFonts w:asciiTheme="majorHAnsi" w:hAnsiTheme="majorHAnsi"/>
          <w:sz w:val="22"/>
        </w:rPr>
        <w:tab/>
      </w:r>
      <w:r w:rsidR="00002974" w:rsidRPr="00292FCA">
        <w:rPr>
          <w:rFonts w:asciiTheme="majorHAnsi" w:hAnsiTheme="majorHAnsi"/>
          <w:sz w:val="22"/>
        </w:rPr>
        <w:t xml:space="preserve">Introduction on </w:t>
      </w:r>
      <w:r>
        <w:rPr>
          <w:rFonts w:asciiTheme="majorHAnsi" w:hAnsiTheme="majorHAnsi"/>
          <w:sz w:val="22"/>
        </w:rPr>
        <w:t>PCLake</w:t>
      </w:r>
    </w:p>
    <w:p w14:paraId="3CB1DB62" w14:textId="7C0A2679" w:rsidR="006407DF" w:rsidRDefault="006407DF" w:rsidP="0097451B">
      <w:pPr>
        <w:spacing w:after="0"/>
        <w:rPr>
          <w:rFonts w:asciiTheme="majorHAnsi" w:hAnsiTheme="majorHAnsi"/>
          <w:sz w:val="22"/>
        </w:rPr>
      </w:pPr>
      <w:r>
        <w:rPr>
          <w:rFonts w:asciiTheme="majorHAnsi" w:hAnsiTheme="majorHAnsi"/>
          <w:sz w:val="22"/>
        </w:rPr>
        <w:t>45 minutes</w:t>
      </w:r>
      <w:r>
        <w:rPr>
          <w:rFonts w:asciiTheme="majorHAnsi" w:hAnsiTheme="majorHAnsi"/>
          <w:sz w:val="22"/>
        </w:rPr>
        <w:tab/>
        <w:t>Run PC</w:t>
      </w:r>
      <w:r w:rsidR="0097451B">
        <w:rPr>
          <w:rFonts w:asciiTheme="majorHAnsi" w:hAnsiTheme="majorHAnsi"/>
          <w:sz w:val="22"/>
        </w:rPr>
        <w:t>lake for a case study</w:t>
      </w:r>
    </w:p>
    <w:p w14:paraId="1D670900" w14:textId="68FBC7AB" w:rsidR="00002974" w:rsidRPr="00292FCA" w:rsidRDefault="006407DF" w:rsidP="0097451B">
      <w:pPr>
        <w:spacing w:after="0"/>
        <w:rPr>
          <w:rFonts w:asciiTheme="majorHAnsi" w:hAnsiTheme="majorHAnsi"/>
          <w:sz w:val="22"/>
        </w:rPr>
      </w:pPr>
      <w:r>
        <w:rPr>
          <w:rFonts w:asciiTheme="majorHAnsi" w:hAnsiTheme="majorHAnsi"/>
          <w:sz w:val="22"/>
        </w:rPr>
        <w:t>15  minutes</w:t>
      </w:r>
      <w:r>
        <w:rPr>
          <w:rFonts w:asciiTheme="majorHAnsi" w:hAnsiTheme="majorHAnsi"/>
          <w:sz w:val="22"/>
        </w:rPr>
        <w:tab/>
      </w:r>
      <w:r w:rsidR="00002974" w:rsidRPr="00292FCA">
        <w:rPr>
          <w:rFonts w:asciiTheme="majorHAnsi" w:hAnsiTheme="majorHAnsi"/>
          <w:sz w:val="22"/>
        </w:rPr>
        <w:t xml:space="preserve">Break </w:t>
      </w:r>
    </w:p>
    <w:p w14:paraId="360240D4" w14:textId="73285BBD" w:rsidR="0097451B" w:rsidRDefault="0097451B" w:rsidP="0097451B">
      <w:pPr>
        <w:spacing w:after="0"/>
        <w:rPr>
          <w:rFonts w:asciiTheme="majorHAnsi" w:hAnsiTheme="majorHAnsi"/>
          <w:sz w:val="22"/>
        </w:rPr>
      </w:pPr>
      <w:r>
        <w:rPr>
          <w:rFonts w:asciiTheme="majorHAnsi" w:hAnsiTheme="majorHAnsi"/>
          <w:sz w:val="22"/>
        </w:rPr>
        <w:t>45 minutes</w:t>
      </w:r>
      <w:r>
        <w:rPr>
          <w:rFonts w:asciiTheme="majorHAnsi" w:hAnsiTheme="majorHAnsi"/>
          <w:sz w:val="22"/>
        </w:rPr>
        <w:tab/>
        <w:t>Run PClake in bifurcation</w:t>
      </w:r>
    </w:p>
    <w:p w14:paraId="33CA249A" w14:textId="77777777" w:rsidR="00002974" w:rsidRPr="00292FCA" w:rsidRDefault="00002974" w:rsidP="00292FCA">
      <w:pPr>
        <w:rPr>
          <w:rFonts w:asciiTheme="majorHAnsi" w:hAnsiTheme="majorHAnsi"/>
          <w:sz w:val="22"/>
        </w:rPr>
      </w:pPr>
    </w:p>
    <w:p w14:paraId="59065B8C" w14:textId="77777777" w:rsidR="009F56F4" w:rsidRPr="00002974" w:rsidRDefault="009F56F4" w:rsidP="00002974">
      <w:pPr>
        <w:rPr>
          <w:rFonts w:asciiTheme="majorHAnsi" w:hAnsiTheme="majorHAnsi"/>
          <w:sz w:val="22"/>
        </w:rPr>
      </w:pPr>
    </w:p>
    <w:sectPr w:rsidR="009F56F4" w:rsidRPr="0000297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15CFD"/>
    <w:multiLevelType w:val="hybridMultilevel"/>
    <w:tmpl w:val="BB0C4814"/>
    <w:lvl w:ilvl="0" w:tplc="E9EC9990">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MzO3MDU2sDA2sbBQ0lEKTi0uzszPAykwrgUA7/pdXiwAAAA="/>
  </w:docVars>
  <w:rsids>
    <w:rsidRoot w:val="00B43729"/>
    <w:rsid w:val="00002974"/>
    <w:rsid w:val="00185844"/>
    <w:rsid w:val="001C4004"/>
    <w:rsid w:val="00292FCA"/>
    <w:rsid w:val="003626A4"/>
    <w:rsid w:val="006407DF"/>
    <w:rsid w:val="0097451B"/>
    <w:rsid w:val="009F56F4"/>
    <w:rsid w:val="00B43729"/>
    <w:rsid w:val="00DD5569"/>
    <w:rsid w:val="00E056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A69E"/>
  <w15:chartTrackingRefBased/>
  <w15:docId w15:val="{94BC28ED-4CAB-41D8-9160-A770E93F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EastAsia" w:hAnsi="Verdana" w:cstheme="minorBidi"/>
        <w:sz w:val="17"/>
        <w:szCs w:val="22"/>
        <w:lang w:val="en-GB" w:eastAsia="zh-CN"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29"/>
    <w:pPr>
      <w:ind w:left="720"/>
      <w:contextualSpacing/>
    </w:pPr>
  </w:style>
  <w:style w:type="paragraph" w:customStyle="1" w:styleId="Default">
    <w:name w:val="Default"/>
    <w:rsid w:val="00002974"/>
    <w:pPr>
      <w:autoSpaceDE w:val="0"/>
      <w:autoSpaceDN w:val="0"/>
      <w:adjustRightInd w:val="0"/>
      <w:spacing w:after="0" w:line="240" w:lineRule="auto"/>
    </w:pPr>
    <w:rPr>
      <w:rFonts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Annette</dc:creator>
  <cp:keywords/>
  <dc:description/>
  <cp:lastModifiedBy>Janssen, Annette</cp:lastModifiedBy>
  <cp:revision>10</cp:revision>
  <dcterms:created xsi:type="dcterms:W3CDTF">2021-07-26T09:53:00Z</dcterms:created>
  <dcterms:modified xsi:type="dcterms:W3CDTF">2021-07-27T11:23:00Z</dcterms:modified>
</cp:coreProperties>
</file>