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b1542f"/>
          <w:spacing w:val="40"/>
          <w:sz w:val="20"/>
          <w:szCs w:val="20"/>
        </w:rPr>
        <w:t xml:space="preserve">THE 80-BLOGS-A-WEEK ENGINE</w:t>
      </w:r>
    </w:p>
    <w:p>
      <w:pPr>
        <w:spacing w:after="0" w:before="120"/>
      </w:pPr>
      <w:r>
        <w:rPr>
          <w:b/>
          <w:bCs/>
          <w:color w:val="1f2a44"/>
          <w:sz w:val="40"/>
          <w:szCs w:val="40"/>
        </w:rPr>
        <w:t xml:space="preserve">An engineered system for indexed, ranking, pipeline-attributable content at scale</w:t>
      </w:r>
    </w:p>
    <w:p>
      <w:pPr>
        <w:pBdr>
          <w:bottom w:val="single" w:color="b1542f" w:sz="8" w:space="6"/>
        </w:pBdr>
        <w:spacing w:before="200"/>
      </w:pPr>
    </w:p>
    <w:p>
      <w:pPr>
        <w:spacing w:before="220"/>
      </w:pPr>
      <w:r>
        <w:rPr>
          <w:b/>
          <w:bCs/>
          <w:color w:val="1a1a1a"/>
          <w:sz w:val="24"/>
          <w:szCs w:val="24"/>
        </w:rPr>
        <w:t xml:space="preserve">NeevCloud — GTM Engineer Case Study</w:t>
      </w:r>
    </w:p>
    <w:p>
      <w:pPr>
        <w:spacing w:before="40"/>
      </w:pPr>
      <w:r>
        <w:rPr>
          <w:color w:val="6b6b6b"/>
          <w:sz w:val="21"/>
          <w:szCs w:val="21"/>
        </w:rPr>
        <w:t xml:space="preserve">Deliverable 1 of 2 — The Detailed Technical Plan</w:t>
      </w:r>
    </w:p>
    <w:p>
      <w:pPr>
        <w:spacing w:before="600"/>
      </w:pPr>
      <w:r>
        <w:rPr>
          <w:b/>
          <w:bCs/>
          <w:color w:val="1a1a1a"/>
          <w:sz w:val="22"/>
          <w:szCs w:val="22"/>
        </w:rPr>
        <w:t xml:space="preserve">Prasad Khake</w:t>
      </w:r>
    </w:p>
    <w:p>
      <w:r>
        <w:rPr>
          <w:color w:val="6b6b6b"/>
          <w:sz w:val="20"/>
          <w:szCs w:val="20"/>
        </w:rPr>
        <w:t xml:space="preserve">Full-Stack AI / GTM Engineer</w:t>
      </w:r>
    </w:p>
    <w:p>
      <w:r>
        <w:rPr>
          <w:color w:val="6b6b6b"/>
          <w:sz w:val="20"/>
          <w:szCs w:val="20"/>
        </w:rPr>
        <w:t xml:space="preserve">prasadkhake@gmail.com · prasadkhake.com</w:t>
      </w:r>
    </w:p>
    <w:p>
      <w:pPr>
        <w:spacing w:before="500"/>
      </w:pPr>
      <w:r>
        <w:rPr>
          <w:i/>
          <w:iCs/>
          <w:color w:val="6b6b6b"/>
          <w:sz w:val="18"/>
          <w:szCs w:val="18"/>
        </w:rPr>
        <w:t xml:space="preserve">Note on data: every diagnostic in §2 and §3 of this plan was produced by running the prototype (Deliverable 3) live against neevcloud.com and blog.neevcloud.com. Nothing here is assumed where it could be measured.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276"/>
      </w:pPr>
      <w:r>
        <w:rPr>
          <w:color w:val="1a1a1a"/>
          <w:sz w:val="21"/>
          <w:szCs w:val="21"/>
        </w:rPr>
        <w:t xml:space="preserve">The headline asks for 80 posts a week. The trap is that </w:t>
      </w:r>
      <w:r>
        <w:rPr>
          <w:b/>
          <w:bCs/>
          <w:color w:val="1a1a1a"/>
          <w:sz w:val="21"/>
          <w:szCs w:val="21"/>
        </w:rPr>
        <w:t xml:space="preserve">80/week is a generation problem only on the surface</w:t>
      </w:r>
      <w:r>
        <w:rPr>
          <w:color w:val="1a1a1a"/>
          <w:sz w:val="21"/>
          <w:szCs w:val="21"/>
        </w:rPr>
        <w:t xml:space="preserve">. At ~347 posts/month and ~4,160 indexable URLs/year, the binding constraints are site-level quality evaluation, crawl-budget economics, and internal-link topology — not how fast a model can write. Flooding a low-trust domain with 4,000+ pages a year is the fastest way to trigger site-wide quality demotion, partial indexation, and crawl starvation of the pages that actually convert. So the first engineering decision is to </w:t>
      </w:r>
      <w:r>
        <w:rPr>
          <w:b/>
          <w:bCs/>
          <w:color w:val="1a1a1a"/>
          <w:sz w:val="21"/>
          <w:szCs w:val="21"/>
        </w:rPr>
        <w:t xml:space="preserve">refuse the naive framing</w:t>
      </w:r>
      <w:r>
        <w:rPr>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2a44" w:sz="18"/>
              <w:bottom w:val="single" w:color="CCCCCC" w:sz="1"/>
              <w:right w:val="single" w:color="CCCCCC" w:sz="1"/>
            </w:tcBorders>
            <w:shd w:fill="f2efe9" w:val="clear"/>
            <w:tcMar>
              <w:top w:type="dxa" w:w="130"/>
              <w:left w:type="dxa" w:w="200"/>
              <w:bottom w:type="dxa" w:w="130"/>
              <w:right w:type="dxa" w:w="160"/>
            </w:tcMar>
          </w:tcPr>
          <w:p>
            <w:pPr>
              <w:spacing w:after="80"/>
            </w:pPr>
            <w:r>
              <w:rPr>
                <w:b/>
                <w:bCs/>
                <w:color w:val="1f2a44"/>
                <w:sz w:val="21"/>
                <w:szCs w:val="21"/>
              </w:rPr>
              <w:t xml:space="preserve">Position on the Section 3.1 volume trap</w:t>
            </w:r>
          </w:p>
          <w:p>
            <w:pPr>
              <w:spacing w:after="60" w:line="270"/>
            </w:pPr>
            <w:r>
              <w:rPr>
                <w:color w:val="1a1a1a"/>
                <w:sz w:val="21"/>
                <w:szCs w:val="21"/>
              </w:rPr>
              <w:t xml:space="preserve">80/week of editorial long-form is the wrong shape and is actively dangerous on this domain. The correct shape is a </w:t>
            </w:r>
            <w:r>
              <w:rPr>
                <w:b/>
                <w:bCs/>
                <w:color w:val="1a1a1a"/>
                <w:sz w:val="21"/>
                <w:szCs w:val="21"/>
              </w:rPr>
              <w:t xml:space="preserve">hybrid</w:t>
            </w:r>
            <w:r>
              <w:rPr>
                <w:color w:val="1a1a1a"/>
                <w:sz w:val="21"/>
                <w:szCs w:val="21"/>
              </w:rPr>
              <w:t xml:space="preserve">: a thin </w:t>
            </w:r>
            <w:r>
              <w:rPr>
                <w:b/>
                <w:bCs/>
                <w:color w:val="1a1a1a"/>
                <w:sz w:val="21"/>
                <w:szCs w:val="21"/>
              </w:rPr>
              <w:t xml:space="preserve">editorial spine</w:t>
            </w:r>
            <w:r>
              <w:rPr>
                <w:color w:val="1a1a1a"/>
                <w:sz w:val="21"/>
                <w:szCs w:val="21"/>
              </w:rPr>
              <w:t xml:space="preserve"> of ~5–8 deep, human-steered pillars per week, plus a </w:t>
            </w:r>
            <w:r>
              <w:rPr>
                <w:b/>
                <w:bCs/>
                <w:color w:val="1a1a1a"/>
                <w:sz w:val="21"/>
                <w:szCs w:val="21"/>
              </w:rPr>
              <w:t xml:space="preserve">programmatic substrate</w:t>
            </w:r>
            <w:r>
              <w:rPr>
                <w:color w:val="1a1a1a"/>
                <w:sz w:val="21"/>
                <w:szCs w:val="21"/>
              </w:rPr>
              <w:t xml:space="preserve"> that produces the bulk of volume as templated, data-backed pages over real datasets NeevCloud already owns (GPU SKUs, regions, workloads, prices). Volume comes from the substrate; trust comes from the spine; the link engine fuses them.</w:t>
            </w:r>
          </w:p>
        </w:tc>
      </w:tr>
    </w:tbl>
    <w:p>
      <w:pPr>
        <w:spacing w:after="120" w:before="80" w:line="276"/>
      </w:pPr>
      <w:r>
        <w:rPr>
          <w:color w:val="1a1a1a"/>
          <w:sz w:val="21"/>
          <w:szCs w:val="21"/>
        </w:rPr>
        <w:t xml:space="preserve">This is not a theoretical recommendation. NeevCloud </w:t>
      </w:r>
      <w:r>
        <w:rPr>
          <w:b/>
          <w:bCs/>
          <w:color w:val="1a1a1a"/>
          <w:sz w:val="21"/>
          <w:szCs w:val="21"/>
        </w:rPr>
        <w:t xml:space="preserve">already hand-builds the exact pages the substrate should generate</w:t>
      </w:r>
      <w:r>
        <w:rPr>
          <w:color w:val="1a1a1a"/>
          <w:sz w:val="21"/>
          <w:szCs w:val="21"/>
        </w:rPr>
        <w:t xml:space="preserve"> — there are ~17 individually-maintained GPU/product pages today (</w:t>
      </w:r>
      <w:r>
        <w:rPr>
          <w:rFonts w:ascii="Consolas" w:cs="Consolas" w:eastAsia="Consolas" w:hAnsi="Consolas"/>
          <w:color w:val="1f2a44"/>
          <w:sz w:val="19"/>
          <w:szCs w:val="19"/>
        </w:rPr>
        <w:t xml:space="preserve">nvidia-h200.php, nvidia-b200.php, nvidia-gb200-nvl72.php</w:t>
      </w:r>
      <w:r>
        <w:rPr>
          <w:color w:val="1a1a1a"/>
          <w:sz w:val="21"/>
          <w:szCs w:val="21"/>
        </w:rPr>
        <w:t xml:space="preserve">, cluster pages, etc.). The substrate systematizes a motion they already trust, rather than introducing a new one.</w:t>
      </w:r>
    </w:p>
    <w:p>
      <w:pPr>
        <w:pStyle w:val="Heading3"/>
      </w:pPr>
      <w:r>
        <w:t xml:space="preserve">What the live audit found (run against their production site)</w:t>
      </w:r>
    </w:p>
    <w:p>
      <w:pPr>
        <w:pStyle w:val="ListParagraph"/>
        <w:numPr>
          <w:ilvl w:val="0"/>
          <w:numId w:val="2"/>
        </w:numPr>
        <w:spacing w:after="80" w:line="270"/>
      </w:pPr>
      <w:r>
        <w:rPr>
          <w:b/>
          <w:bCs/>
          <w:color w:val="1a1a1a"/>
          <w:sz w:val="21"/>
          <w:szCs w:val="21"/>
        </w:rPr>
        <w:t xml:space="preserve">Split-brain authority. </w:t>
      </w:r>
      <w:r>
        <w:rPr>
          <w:color w:val="1a1a1a"/>
          <w:sz w:val="21"/>
          <w:szCs w:val="21"/>
        </w:rPr>
        <w:t xml:space="preserve">The blog lives on a separate Hashnode subdomain (</w:t>
      </w:r>
      <w:r>
        <w:rPr>
          <w:rFonts w:ascii="Consolas" w:cs="Consolas" w:eastAsia="Consolas" w:hAnsi="Consolas"/>
          <w:color w:val="1f2a44"/>
          <w:sz w:val="19"/>
          <w:szCs w:val="19"/>
        </w:rPr>
        <w:t xml:space="preserve">blog.neevcloud.com</w:t>
      </w:r>
      <w:r>
        <w:rPr>
          <w:color w:val="1a1a1a"/>
          <w:sz w:val="21"/>
          <w:szCs w:val="21"/>
        </w:rPr>
        <w:t xml:space="preserve">). The cross-domain link matrix shows the money site links into the blog, but the blog returns </w:t>
      </w:r>
      <w:r>
        <w:rPr>
          <w:b/>
          <w:bCs/>
          <w:color w:val="1a1a1a"/>
          <w:sz w:val="21"/>
          <w:szCs w:val="21"/>
        </w:rPr>
        <w:t xml:space="preserve">zero</w:t>
      </w:r>
      <w:r>
        <w:rPr>
          <w:color w:val="1a1a1a"/>
          <w:sz w:val="21"/>
          <w:szCs w:val="21"/>
        </w:rPr>
        <w:t xml:space="preserve"> internal links to money pages. ~234 posts of topical authority flow nowhere useful.</w:t>
      </w:r>
    </w:p>
    <w:p>
      <w:pPr>
        <w:pStyle w:val="ListParagraph"/>
        <w:numPr>
          <w:ilvl w:val="0"/>
          <w:numId w:val="2"/>
        </w:numPr>
        <w:spacing w:after="80" w:line="270"/>
      </w:pPr>
      <w:r>
        <w:rPr>
          <w:b/>
          <w:bCs/>
          <w:color w:val="1a1a1a"/>
          <w:sz w:val="21"/>
          <w:szCs w:val="21"/>
        </w:rPr>
        <w:t xml:space="preserve">Orphaned revenue pages. </w:t>
      </w:r>
      <w:r>
        <w:rPr>
          <w:color w:val="1a1a1a"/>
          <w:sz w:val="21"/>
          <w:szCs w:val="21"/>
        </w:rPr>
        <w:t xml:space="preserve">Six GPU/revenue pages have zero internal inlinks (</w:t>
      </w:r>
      <w:r>
        <w:rPr>
          <w:rFonts w:ascii="Consolas" w:cs="Consolas" w:eastAsia="Consolas" w:hAnsi="Consolas"/>
          <w:color w:val="1f2a44"/>
          <w:sz w:val="19"/>
          <w:szCs w:val="19"/>
        </w:rPr>
        <w:t xml:space="preserve">nvidia-b300, nvidia-tesla-t4, rtx-a6000, h100-gpu-cluster, h200-gpu-cluster, ai-colocation</w:t>
      </w:r>
      <w:r>
        <w:rPr>
          <w:color w:val="1a1a1a"/>
          <w:sz w:val="21"/>
          <w:szCs w:val="21"/>
        </w:rPr>
        <w:t xml:space="preserve">) — discoverable only via the sitemap.</w:t>
      </w:r>
    </w:p>
    <w:p>
      <w:pPr>
        <w:pStyle w:val="ListParagraph"/>
        <w:numPr>
          <w:ilvl w:val="0"/>
          <w:numId w:val="2"/>
        </w:numPr>
        <w:spacing w:after="80" w:line="270"/>
      </w:pPr>
      <w:r>
        <w:rPr>
          <w:b/>
          <w:bCs/>
          <w:color w:val="1a1a1a"/>
          <w:sz w:val="21"/>
          <w:szCs w:val="21"/>
        </w:rPr>
        <w:t xml:space="preserve">Keyword cannibalization. </w:t>
      </w:r>
      <w:r>
        <w:rPr>
          <w:color w:val="1a1a1a"/>
          <w:sz w:val="21"/>
          <w:szCs w:val="21"/>
        </w:rPr>
        <w:t xml:space="preserve">A cluster of seven pages competes for the same "AI GPU cluster" intent; homepage↔ai-colocation similarity ≈ 0.90 (near-duplicate).</w:t>
      </w:r>
    </w:p>
    <w:p>
      <w:pPr>
        <w:pStyle w:val="ListParagraph"/>
        <w:numPr>
          <w:ilvl w:val="0"/>
          <w:numId w:val="2"/>
        </w:numPr>
        <w:spacing w:after="80" w:line="270"/>
      </w:pPr>
      <w:r>
        <w:rPr>
          <w:b/>
          <w:bCs/>
          <w:color w:val="1a1a1a"/>
          <w:sz w:val="21"/>
          <w:szCs w:val="21"/>
        </w:rPr>
        <w:t xml:space="preserve">Crawl risk on the content base. </w:t>
      </w:r>
      <w:r>
        <w:rPr>
          <w:color w:val="1a1a1a"/>
          <w:sz w:val="21"/>
          <w:szCs w:val="21"/>
        </w:rPr>
        <w:t xml:space="preserve">The blog sitemap returns HTTP 429 behind a Vercel security checkpoint — if a polite crawler is challenged, Googlebot’s crawl budget on 234 posts is at risk.</w:t>
      </w:r>
    </w:p>
    <w:p>
      <w:pPr>
        <w:pStyle w:val="ListParagraph"/>
        <w:numPr>
          <w:ilvl w:val="0"/>
          <w:numId w:val="2"/>
        </w:numPr>
        <w:spacing w:after="80" w:line="270"/>
      </w:pPr>
      <w:r>
        <w:rPr>
          <w:b/>
          <w:bCs/>
          <w:color w:val="1a1a1a"/>
          <w:sz w:val="21"/>
          <w:szCs w:val="21"/>
        </w:rPr>
        <w:t xml:space="preserve">Sitemap hygiene. </w:t>
      </w:r>
      <w:r>
        <w:rPr>
          <w:color w:val="1a1a1a"/>
          <w:sz w:val="21"/>
          <w:szCs w:val="21"/>
        </w:rPr>
        <w:t xml:space="preserve">A </w:t>
      </w:r>
      <w:r>
        <w:rPr>
          <w:rFonts w:ascii="Consolas" w:cs="Consolas" w:eastAsia="Consolas" w:hAnsi="Consolas"/>
          <w:color w:val="1f2a44"/>
          <w:sz w:val="19"/>
          <w:szCs w:val="19"/>
        </w:rPr>
        <w:t xml:space="preserve">&lt;loc&gt;</w:t>
      </w:r>
      <w:r>
        <w:rPr>
          <w:color w:val="1a1a1a"/>
          <w:sz w:val="21"/>
          <w:szCs w:val="21"/>
        </w:rPr>
        <w:t xml:space="preserve"> entry ships with a trailing space — the tell of a hand-maintained sitemap that will not survive 4,160 URLs/year.</w:t>
      </w:r>
    </w:p>
    <w:p>
      <w:pPr>
        <w:spacing w:after="120" w:before="80" w:line="276"/>
      </w:pPr>
      <w:r>
        <w:rPr>
          <w:color w:val="1a1a1a"/>
          <w:sz w:val="21"/>
          <w:szCs w:val="21"/>
        </w:rPr>
        <w:t xml:space="preserve">The system in this plan is built to fix these as a class, not one by one, and to make the 80/week ramp safe by construction.</w:t>
      </w:r>
    </w:p>
    <w:p>
      <w:pPr>
        <w:pStyle w:val="Heading1"/>
      </w:pPr>
      <w:r>
        <w:t xml:space="preserve">2. Current state — measured, not assumed</w:t>
      </w:r>
    </w:p>
    <w:p>
      <w:pPr>
        <w:spacing w:after="120" w:before="0" w:line="276"/>
      </w:pPr>
      <w:r>
        <w:rPr>
          <w:color w:val="1a1a1a"/>
          <w:sz w:val="21"/>
          <w:szCs w:val="21"/>
        </w:rPr>
        <w:t xml:space="preserve">The brief supplied an assumed current-state table. The prototype measured the real one. The differences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Dimension</w:t>
            </w:r>
          </w:p>
        </w:tc>
        <w:tc>
          <w:tcPr>
            <w:tcW w:type="dxa" w:w="30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Brief assumed</w:t>
            </w:r>
          </w:p>
        </w:tc>
        <w:tc>
          <w:tcPr>
            <w:tcW w:type="dxa" w:w="43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Actually measured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CMS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Headless w/ REST+GraphQL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Hashnode (hosted) on blog. subdomain; PHP money site on www</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Output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~3–5/week manual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~234 posts total; editorial long-form (6–10 min reads)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Money pages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61 sitemap URLs; ~17 hand-built GPU/product pages (.php)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Indexing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No log analysis, stale sitemaps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Confirmed: trailing-space sitemap defect; blog sitemap 429</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Internal links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blog→money = 0; 6 orphan revenue pages; avg ~3.6 inlinks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Rendering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Money pages SSR (good); blog behind bot-challenge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robots.txt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Uses Content-Signals (search=yes, ai-train=no)</w:t>
            </w:r>
          </w:p>
        </w:tc>
      </w:tr>
    </w:tbl>
    <w:p>
      <w:pPr>
        <w:spacing w:after="120" w:before="100" w:line="276"/>
      </w:pPr>
      <w:r>
        <w:rPr>
          <w:color w:val="1a1a1a"/>
          <w:sz w:val="21"/>
          <w:szCs w:val="21"/>
        </w:rPr>
        <w:t xml:space="preserve">Architectural read: this is a </w:t>
      </w:r>
      <w:r>
        <w:rPr>
          <w:b/>
          <w:bCs/>
          <w:color w:val="1a1a1a"/>
          <w:sz w:val="21"/>
          <w:szCs w:val="21"/>
        </w:rPr>
        <w:t xml:space="preserve">two-system estate</w:t>
      </w:r>
      <w:r>
        <w:rPr>
          <w:color w:val="1a1a1a"/>
          <w:sz w:val="21"/>
          <w:szCs w:val="21"/>
        </w:rPr>
        <w:t xml:space="preserve"> — a PHP marketing site and a hosted blog on different infrastructure — with no link topology binding them. Any plan to 16–25× the publishing rate has to resolve that split first, or the volume amplifies the existing leakage.</w:t>
      </w:r>
    </w:p>
    <w:p>
      <w:pPr>
        <w:pStyle w:val="Heading1"/>
      </w:pPr>
      <w:r>
        <w:t xml:space="preserve">3. Target-state architecture</w:t>
      </w:r>
    </w:p>
    <w:p>
      <w:pPr>
        <w:spacing w:after="120" w:before="0" w:line="276"/>
      </w:pPr>
      <w:r>
        <w:rPr>
          <w:color w:val="1a1a1a"/>
          <w:sz w:val="21"/>
          <w:szCs w:val="21"/>
        </w:rPr>
        <w:t xml:space="preserve">One pipeline, six stages, one feedback loop. Orchestration is event-driven (n8n for glue, dropping to TypeScript/Python services where logic, retries, or idempotency demand real code). State lives in Postgres; the work queue is durable (BullMQ/Redis) so a failed generation or a rate-limited index ping retries without losing position.</w:t>
      </w:r>
    </w:p>
    <w:p>
      <w:pPr>
        <w:spacing w:after="60" w:before="0" w:line="276"/>
      </w:pPr>
      <w:r>
        <w:rPr>
          <w:i/>
          <w:iCs/>
          <w:color w:val="1f2a44"/>
          <w:sz w:val="21"/>
          <w:szCs w:val="21"/>
        </w:rPr>
        <w:t xml:space="preserve">sources → topic queue → brief → generation → multi-stage QA gate → CMS publish → indexation monitor → measurement → (feeds back into) sources</w:t>
      </w:r>
    </w:p>
    <w:p>
      <w:pPr>
        <w:pStyle w:val="Heading3"/>
      </w:pPr>
      <w:r>
        <w:t xml:space="preserve">Stage map and where code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Stage</w:t>
            </w:r>
          </w:p>
        </w:tc>
        <w:tc>
          <w:tcPr>
            <w:tcW w:type="dxa" w:w="46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Does what</w:t>
            </w:r>
          </w:p>
        </w:tc>
        <w:tc>
          <w:tcPr>
            <w:tcW w:type="dxa" w:w="30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Orchestrator vs code</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Sources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GSC query mining, SERP gap, third-party keyword APIs, dataset ingest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n8n pulls; Python clustering service</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Topic queue</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Cluster, prioritize (vol×intent×difficulty×$), dedupe vs published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Code (Postgres + embeddings)</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Brief</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Topic → structured brief (entities, sources, schema target)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Code (prompt-as-code, versioned)</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Generation</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Draft from brief; substrate templates vs editorial drafts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Code (LLM API, retry/idempotent)</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QA gate</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Near-dup, claim/citation check, confidential scan, CWV, schema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Code (the gate service)</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Publish</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Push to CMS via API/webhook; inject internal links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n8n + link engine</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Index monitor</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GSC inspection, time-to-index, indexed/submitted delta, kill-switch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Code (the monitor service)</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Measure</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GA4 + GSC + CRM join → pipeline attribution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Code + warehouse</w:t>
            </w:r>
          </w:p>
        </w:tc>
      </w:tr>
    </w:tbl>
    <w:p>
      <w:pPr>
        <w:pStyle w:val="Heading3"/>
      </w:pPr>
      <w:r>
        <w:t xml:space="preserve">Data model (core entities)</w:t>
      </w:r>
    </w:p>
    <w:p>
      <w:pPr>
        <w:pStyle w:val="ListParagraph"/>
        <w:numPr>
          <w:ilvl w:val="0"/>
          <w:numId w:val="2"/>
        </w:numPr>
        <w:spacing w:after="80" w:line="270"/>
      </w:pPr>
      <w:r>
        <w:rPr>
          <w:rFonts w:ascii="Consolas" w:cs="Consolas" w:eastAsia="Consolas" w:hAnsi="Consolas"/>
          <w:color w:val="1f2a44"/>
          <w:sz w:val="19"/>
          <w:szCs w:val="19"/>
        </w:rPr>
        <w:t xml:space="preserve">topic</w:t>
      </w:r>
      <w:r>
        <w:rPr>
          <w:color w:val="1a1a1a"/>
          <w:sz w:val="21"/>
          <w:szCs w:val="21"/>
        </w:rPr>
        <w:t xml:space="preserve"> (id, cluster_id, intent, priority_score, status, dedupe_hash)</w:t>
      </w:r>
    </w:p>
    <w:p>
      <w:pPr>
        <w:pStyle w:val="ListParagraph"/>
        <w:numPr>
          <w:ilvl w:val="0"/>
          <w:numId w:val="2"/>
        </w:numPr>
        <w:spacing w:after="80" w:line="270"/>
      </w:pPr>
      <w:r>
        <w:rPr>
          <w:rFonts w:ascii="Consolas" w:cs="Consolas" w:eastAsia="Consolas" w:hAnsi="Consolas"/>
          <w:color w:val="1f2a44"/>
          <w:sz w:val="19"/>
          <w:szCs w:val="19"/>
        </w:rPr>
        <w:t xml:space="preserve">page</w:t>
      </w:r>
      <w:r>
        <w:rPr>
          <w:color w:val="1a1a1a"/>
          <w:sz w:val="21"/>
          <w:szCs w:val="21"/>
        </w:rPr>
        <w:t xml:space="preserve"> (url, topic_id, type[spine|substrate], embedding, schema_type, published_at, lastmod)</w:t>
      </w:r>
    </w:p>
    <w:p>
      <w:pPr>
        <w:pStyle w:val="ListParagraph"/>
        <w:numPr>
          <w:ilvl w:val="0"/>
          <w:numId w:val="2"/>
        </w:numPr>
        <w:spacing w:after="80" w:line="270"/>
      </w:pPr>
      <w:r>
        <w:rPr>
          <w:rFonts w:ascii="Consolas" w:cs="Consolas" w:eastAsia="Consolas" w:hAnsi="Consolas"/>
          <w:color w:val="1f2a44"/>
          <w:sz w:val="19"/>
          <w:szCs w:val="19"/>
        </w:rPr>
        <w:t xml:space="preserve">link_edge</w:t>
      </w:r>
      <w:r>
        <w:rPr>
          <w:color w:val="1a1a1a"/>
          <w:sz w:val="21"/>
          <w:szCs w:val="21"/>
        </w:rPr>
        <w:t xml:space="preserve"> (from_url, to_url, anchor, relevance_score, source[auto|manual])</w:t>
      </w:r>
    </w:p>
    <w:p>
      <w:pPr>
        <w:pStyle w:val="ListParagraph"/>
        <w:numPr>
          <w:ilvl w:val="0"/>
          <w:numId w:val="2"/>
        </w:numPr>
        <w:spacing w:after="80" w:line="270"/>
      </w:pPr>
      <w:r>
        <w:rPr>
          <w:rFonts w:ascii="Consolas" w:cs="Consolas" w:eastAsia="Consolas" w:hAnsi="Consolas"/>
          <w:color w:val="1f2a44"/>
          <w:sz w:val="19"/>
          <w:szCs w:val="19"/>
        </w:rPr>
        <w:t xml:space="preserve">index_state</w:t>
      </w:r>
      <w:r>
        <w:rPr>
          <w:color w:val="1a1a1a"/>
          <w:sz w:val="21"/>
          <w:szCs w:val="21"/>
        </w:rPr>
        <w:t xml:space="preserve"> (url, first_seen, indexed_at, coverage_state, last_checked)</w:t>
      </w:r>
    </w:p>
    <w:p>
      <w:pPr>
        <w:pStyle w:val="ListParagraph"/>
        <w:numPr>
          <w:ilvl w:val="0"/>
          <w:numId w:val="2"/>
        </w:numPr>
        <w:spacing w:after="80" w:line="270"/>
      </w:pPr>
      <w:r>
        <w:rPr>
          <w:rFonts w:ascii="Consolas" w:cs="Consolas" w:eastAsia="Consolas" w:hAnsi="Consolas"/>
          <w:color w:val="1f2a44"/>
          <w:sz w:val="19"/>
          <w:szCs w:val="19"/>
        </w:rPr>
        <w:t xml:space="preserve">attribution</w:t>
      </w:r>
      <w:r>
        <w:rPr>
          <w:color w:val="1a1a1a"/>
          <w:sz w:val="21"/>
          <w:szCs w:val="21"/>
        </w:rPr>
        <w:t xml:space="preserve"> (url, session_id, ga4_client_id, crm_contact_id, stage[MQL|SQL|opp])</w:t>
      </w:r>
    </w:p>
    <w:p>
      <w:pPr>
        <w:spacing w:after="120" w:before="60" w:line="276"/>
      </w:pPr>
      <w:r>
        <w:rPr>
          <w:color w:val="1a1a1a"/>
          <w:sz w:val="21"/>
          <w:szCs w:val="21"/>
        </w:rPr>
        <w:t xml:space="preserve">Join keys for attribution: GA4 </w:t>
      </w:r>
      <w:r>
        <w:rPr>
          <w:rFonts w:ascii="Consolas" w:cs="Consolas" w:eastAsia="Consolas" w:hAnsi="Consolas"/>
          <w:color w:val="1f2a44"/>
          <w:sz w:val="19"/>
          <w:szCs w:val="19"/>
        </w:rPr>
        <w:t xml:space="preserve">client_id</w:t>
      </w:r>
      <w:r>
        <w:rPr>
          <w:color w:val="1a1a1a"/>
          <w:sz w:val="21"/>
          <w:szCs w:val="21"/>
        </w:rPr>
        <w:t xml:space="preserve"> ↔ first-touch landing </w:t>
      </w:r>
      <w:r>
        <w:rPr>
          <w:rFonts w:ascii="Consolas" w:cs="Consolas" w:eastAsia="Consolas" w:hAnsi="Consolas"/>
          <w:color w:val="1f2a44"/>
          <w:sz w:val="19"/>
          <w:szCs w:val="19"/>
        </w:rPr>
        <w:t xml:space="preserve">url</w:t>
      </w:r>
      <w:r>
        <w:rPr>
          <w:color w:val="1a1a1a"/>
          <w:sz w:val="21"/>
          <w:szCs w:val="21"/>
        </w:rPr>
        <w:t xml:space="preserve"> ↔ CRM contact via a hidden form field carrying the client_id. That single chain is what turns "sessions" into "pipeline".</w:t>
      </w:r>
    </w:p>
    <w:p>
      <w:pPr>
        <w:pStyle w:val="Heading1"/>
      </w:pPr>
      <w:r>
        <w:t xml:space="preserve">4. SEO engineering strategy</w:t>
      </w:r>
    </w:p>
    <w:p>
      <w:pPr>
        <w:pStyle w:val="Heading2"/>
      </w:pPr>
      <w:r>
        <w:t xml:space="preserve">4.1 Content shape — the argument with numbers</w:t>
      </w:r>
    </w:p>
    <w:p>
      <w:pPr>
        <w:spacing w:after="120" w:before="0" w:line="276"/>
      </w:pPr>
      <w:r>
        <w:rPr>
          <w:color w:val="1a1a1a"/>
          <w:sz w:val="21"/>
          <w:szCs w:val="21"/>
        </w:rPr>
        <w:t xml:space="preserve">Assume the substrate is templated pages over a dataset of roughly: 11 GPU SKUs × ~6 workloads × ~4 regions ≈ 260 base pages, plus comparison pages (NeevCloud vs 3 hyperscalers × 11 SKUs ≈ 33) and benchmark/spec explainers. That is a finite, defensible corpus measured in the low thousands — not infinite. The editorial spine adds ~5–8/week of genuine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rPr>
          <w:tblHeader/>
        </w:trPr>
        <w:tc>
          <w:tcPr>
            <w:tcW w:type="dxa" w:w="24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Track</w:t>
            </w:r>
          </w:p>
        </w:tc>
        <w:tc>
          <w:tcPr>
            <w:tcW w:type="dxa" w:w="18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Weekly volume</w:t>
            </w:r>
          </w:p>
        </w:tc>
        <w:tc>
          <w:tcPr>
            <w:tcW w:type="dxa" w:w="27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Cost shape</w:t>
            </w:r>
          </w:p>
        </w:tc>
        <w:tc>
          <w:tcPr>
            <w:tcW w:type="dxa" w:w="24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Indexation expectation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Editorial spine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5–8 pillars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High (editor + SME review)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High intent, slow build, durable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Programmatic substrate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60–75 templated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Low (token + template)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Index in waves; prune losers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~70–80</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Blended low per-page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Measured on indexed, not published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b1542f" w:sz="18"/>
              <w:bottom w:val="single" w:color="CCCCCC" w:sz="1"/>
              <w:right w:val="single" w:color="CCCCCC" w:sz="1"/>
            </w:tcBorders>
            <w:shd w:fill="f2efe9" w:val="clear"/>
            <w:tcMar>
              <w:top w:type="dxa" w:w="130"/>
              <w:left w:type="dxa" w:w="200"/>
              <w:bottom w:type="dxa" w:w="130"/>
              <w:right w:type="dxa" w:w="160"/>
            </w:tcMar>
          </w:tcPr>
          <w:p>
            <w:pPr>
              <w:spacing w:after="80"/>
            </w:pPr>
            <w:r>
              <w:rPr>
                <w:b/>
                <w:bCs/>
                <w:color w:val="b1542f"/>
                <w:sz w:val="21"/>
                <w:szCs w:val="21"/>
              </w:rPr>
              <w:t xml:space="preserve">Why not 80 editorial/week</w:t>
            </w:r>
          </w:p>
          <w:p>
            <w:pPr>
              <w:spacing w:after="60" w:line="270"/>
            </w:pPr>
            <w:r>
              <w:rPr>
                <w:color w:val="1a1a1a"/>
                <w:sz w:val="20"/>
                <w:szCs w:val="20"/>
              </w:rPr>
              <w:t xml:space="preserve">Eighty genuine 10-minute technical essays a week is neither sustainable nor distinguishable from spun content at the site level. The substrate carries volume precisely because each page answers a narrow, real, data-backed query (this SKU, this region, this price, this workload) — defensibly useful to a senior buyer, and cheap to keep accurate because the data, not prose, is the product.</w:t>
            </w:r>
          </w:p>
        </w:tc>
      </w:tr>
    </w:tbl>
    <w:p>
      <w:pPr>
        <w:pStyle w:val="Heading2"/>
      </w:pPr>
      <w:r>
        <w:t xml:space="preserve">4.2 Crawl budget &amp; indexation economics</w:t>
      </w:r>
    </w:p>
    <w:p>
      <w:pPr>
        <w:pStyle w:val="ListParagraph"/>
        <w:numPr>
          <w:ilvl w:val="0"/>
          <w:numId w:val="2"/>
        </w:numPr>
        <w:spacing w:after="80" w:line="270"/>
      </w:pPr>
      <w:r>
        <w:rPr>
          <w:b/>
          <w:bCs/>
          <w:color w:val="1a1a1a"/>
          <w:sz w:val="21"/>
          <w:szCs w:val="21"/>
        </w:rPr>
        <w:t xml:space="preserve">Crawl budget </w:t>
      </w:r>
      <w:r>
        <w:rPr>
          <w:color w:val="1a1a1a"/>
          <w:sz w:val="21"/>
          <w:szCs w:val="21"/>
        </w:rPr>
        <w:t xml:space="preserve">= crawl rate limit × crawl demand. On a low-trust domain it is scarce; we engineer demand (freshness signals, internal links to new URLs from high-crawl pages) and remove waste.</w:t>
      </w:r>
    </w:p>
    <w:p>
      <w:pPr>
        <w:pStyle w:val="ListParagraph"/>
        <w:numPr>
          <w:ilvl w:val="0"/>
          <w:numId w:val="2"/>
        </w:numPr>
        <w:spacing w:after="80" w:line="270"/>
      </w:pPr>
      <w:r>
        <w:rPr>
          <w:b/>
          <w:bCs/>
          <w:color w:val="1a1a1a"/>
          <w:sz w:val="21"/>
          <w:szCs w:val="21"/>
        </w:rPr>
        <w:t xml:space="preserve">Log-file analysis. </w:t>
      </w:r>
      <w:r>
        <w:rPr>
          <w:color w:val="1a1a1a"/>
          <w:sz w:val="21"/>
          <w:szCs w:val="21"/>
        </w:rPr>
        <w:t xml:space="preserve">A pipeline ships server/CDN logs to the warehouse nightly; we parse Googlebot hits to see crawl frequency, depth, and waste on parameters/redirects/404s. Crawl waste is the first thing to cut before adding 4,000 URLs.</w:t>
      </w:r>
    </w:p>
    <w:p>
      <w:pPr>
        <w:pStyle w:val="ListParagraph"/>
        <w:numPr>
          <w:ilvl w:val="0"/>
          <w:numId w:val="2"/>
        </w:numPr>
        <w:spacing w:after="80" w:line="270"/>
      </w:pPr>
      <w:r>
        <w:rPr>
          <w:b/>
          <w:bCs/>
          <w:color w:val="1a1a1a"/>
          <w:sz w:val="21"/>
          <w:szCs w:val="21"/>
        </w:rPr>
        <w:t xml:space="preserve">Sitemaps. </w:t>
      </w:r>
      <w:r>
        <w:rPr>
          <w:color w:val="1a1a1a"/>
          <w:sz w:val="21"/>
          <w:szCs w:val="21"/>
        </w:rPr>
        <w:t xml:space="preserve">Shard by type and freshness (spine, substrate-by-category, news) — never monolithic. Honest </w:t>
      </w:r>
      <w:r>
        <w:rPr>
          <w:rFonts w:ascii="Consolas" w:cs="Consolas" w:eastAsia="Consolas" w:hAnsi="Consolas"/>
          <w:color w:val="1f2a44"/>
          <w:sz w:val="19"/>
          <w:szCs w:val="19"/>
        </w:rPr>
        <w:t xml:space="preserve">&lt;lastmod&gt;</w:t>
      </w:r>
      <w:r>
        <w:rPr>
          <w:color w:val="1a1a1a"/>
          <w:sz w:val="21"/>
          <w:szCs w:val="21"/>
        </w:rPr>
        <w:t xml:space="preserve"> only on real change (Google discounts abused lastmod). Track the indexed-vs-submitted delta in GSC as the core health metric. (We already found a trailing-space </w:t>
      </w:r>
      <w:r>
        <w:rPr>
          <w:rFonts w:ascii="Consolas" w:cs="Consolas" w:eastAsia="Consolas" w:hAnsi="Consolas"/>
          <w:color w:val="1f2a44"/>
          <w:sz w:val="19"/>
          <w:szCs w:val="19"/>
        </w:rPr>
        <w:t xml:space="preserve">&lt;loc&gt;</w:t>
      </w:r>
      <w:r>
        <w:rPr>
          <w:color w:val="1a1a1a"/>
          <w:sz w:val="21"/>
          <w:szCs w:val="21"/>
        </w:rPr>
        <w:t xml:space="preserve"> defect to fix.)</w:t>
      </w:r>
    </w:p>
    <w:p>
      <w:pPr>
        <w:pStyle w:val="ListParagraph"/>
        <w:numPr>
          <w:ilvl w:val="0"/>
          <w:numId w:val="2"/>
        </w:numPr>
        <w:spacing w:after="80" w:line="270"/>
      </w:pPr>
      <w:r>
        <w:rPr>
          <w:b/>
          <w:bCs/>
          <w:color w:val="1a1a1a"/>
          <w:sz w:val="21"/>
          <w:szCs w:val="21"/>
        </w:rPr>
        <w:t xml:space="preserve">Indexing API. </w:t>
      </w:r>
      <w:r>
        <w:rPr>
          <w:color w:val="1a1a1a"/>
          <w:sz w:val="21"/>
          <w:szCs w:val="21"/>
        </w:rPr>
        <w:t xml:space="preserve">Legitimate for JobPosting/BroadcastEvent; </w:t>
      </w:r>
      <w:r>
        <w:rPr>
          <w:b/>
          <w:bCs/>
          <w:color w:val="1a1a1a"/>
          <w:sz w:val="21"/>
          <w:szCs w:val="21"/>
        </w:rPr>
        <w:t xml:space="preserve">not</w:t>
      </w:r>
      <w:r>
        <w:rPr>
          <w:color w:val="1a1a1a"/>
          <w:sz w:val="21"/>
          <w:szCs w:val="21"/>
        </w:rPr>
        <w:t xml:space="preserve"> a general blog-indexing shortcut. "Submit every URL to the Indexing API" is a wrong answer; for content we rely on sitemaps + internal links + crawl health.</w:t>
      </w:r>
    </w:p>
    <w:p>
      <w:pPr>
        <w:pStyle w:val="ListParagraph"/>
        <w:numPr>
          <w:ilvl w:val="0"/>
          <w:numId w:val="2"/>
        </w:numPr>
        <w:spacing w:after="80" w:line="270"/>
      </w:pPr>
      <w:r>
        <w:rPr>
          <w:b/>
          <w:bCs/>
          <w:color w:val="1a1a1a"/>
          <w:sz w:val="21"/>
          <w:szCs w:val="21"/>
        </w:rPr>
        <w:t xml:space="preserve">Index-state detection. </w:t>
      </w:r>
      <w:r>
        <w:rPr>
          <w:color w:val="1a1a1a"/>
          <w:sz w:val="21"/>
          <w:szCs w:val="21"/>
        </w:rPr>
        <w:t xml:space="preserve">The monitor classifies each URL (Submitted/Indexed, Discovered–not-indexed, Crawled–not-indexed) via the URL Inspection API and triggers remediation: orphan? add internal links. Thin? consolidate. Duplicate? canonical.</w:t>
      </w:r>
    </w:p>
    <w:p>
      <w:pPr>
        <w:pStyle w:val="Heading2"/>
      </w:pPr>
      <w:r>
        <w:t xml:space="preserve">4.3 Site-level quality, E-E-A-T &amp; Helpful Content</w:t>
      </w:r>
    </w:p>
    <w:p>
      <w:pPr>
        <w:pStyle w:val="ListParagraph"/>
        <w:numPr>
          <w:ilvl w:val="0"/>
          <w:numId w:val="2"/>
        </w:numPr>
        <w:spacing w:after="80" w:line="270"/>
      </w:pPr>
      <w:r>
        <w:rPr>
          <w:b/>
          <w:bCs/>
          <w:color w:val="1a1a1a"/>
          <w:sz w:val="21"/>
          <w:szCs w:val="21"/>
        </w:rPr>
        <w:t xml:space="preserve">Automated quality gate (mechanism, not slogan). </w:t>
      </w:r>
      <w:r>
        <w:rPr>
          <w:color w:val="1a1a1a"/>
          <w:sz w:val="21"/>
          <w:szCs w:val="21"/>
        </w:rPr>
        <w:t xml:space="preserve">Every page must pass, pre-publish: readability + structure check; near-duplicate cosine vs the existing corpus (block if &gt; threshold); claim/citation verification (every stat must resolve to a cited source); confidential-term scan; schema validity; Core Web Vitals budget. Fail = no publish. This is what keeps average per-URL quality above the site-demotion line at volume.</w:t>
      </w:r>
    </w:p>
    <w:p>
      <w:pPr>
        <w:pStyle w:val="ListParagraph"/>
        <w:numPr>
          <w:ilvl w:val="0"/>
          <w:numId w:val="2"/>
        </w:numPr>
        <w:spacing w:after="80" w:line="270"/>
      </w:pPr>
      <w:r>
        <w:rPr>
          <w:b/>
          <w:bCs/>
          <w:color w:val="1a1a1a"/>
          <w:sz w:val="21"/>
          <w:szCs w:val="21"/>
        </w:rPr>
        <w:t xml:space="preserve">E-E-A-T into the template. </w:t>
      </w:r>
      <w:r>
        <w:rPr>
          <w:color w:val="1a1a1a"/>
          <w:sz w:val="21"/>
          <w:szCs w:val="21"/>
        </w:rPr>
        <w:t xml:space="preserve">Real author entities (they have them — Tanvi Ausare, Vijayakumar Arumuga Nadar [Chief AI Officer], with bylines and </w:t>
      </w:r>
      <w:r>
        <w:rPr>
          <w:rFonts w:ascii="Consolas" w:cs="Consolas" w:eastAsia="Consolas" w:hAnsi="Consolas"/>
          <w:color w:val="1f2a44"/>
          <w:sz w:val="19"/>
          <w:szCs w:val="19"/>
        </w:rPr>
        <w:t xml:space="preserve">about-*.php</w:t>
      </w:r>
      <w:r>
        <w:rPr>
          <w:color w:val="1a1a1a"/>
          <w:sz w:val="21"/>
          <w:szCs w:val="21"/>
        </w:rPr>
        <w:t xml:space="preserve"> author pages), Person/Organization schema, first-party benchmark data, and citations are template fields, not afterthoughts.</w:t>
      </w:r>
    </w:p>
    <w:p>
      <w:pPr>
        <w:pStyle w:val="ListParagraph"/>
        <w:numPr>
          <w:ilvl w:val="0"/>
          <w:numId w:val="2"/>
        </w:numPr>
        <w:spacing w:after="80" w:line="270"/>
      </w:pPr>
      <w:r>
        <w:rPr>
          <w:b/>
          <w:bCs/>
          <w:color w:val="1a1a1a"/>
          <w:sz w:val="21"/>
          <w:szCs w:val="21"/>
        </w:rPr>
        <w:t xml:space="preserve">Near-dup &amp; cannibalization as automated checks. </w:t>
      </w:r>
      <w:r>
        <w:rPr>
          <w:color w:val="1a1a1a"/>
          <w:sz w:val="21"/>
          <w:szCs w:val="21"/>
        </w:rPr>
        <w:t xml:space="preserve">The link engine already computes pairwise similarity; pages above the cannibalization threshold are flagged for consolidation before they compete. (Live run found a 7-page cluster.)</w:t>
      </w:r>
    </w:p>
    <w:p>
      <w:pPr>
        <w:pStyle w:val="ListParagraph"/>
        <w:numPr>
          <w:ilvl w:val="0"/>
          <w:numId w:val="2"/>
        </w:numPr>
        <w:spacing w:after="80" w:line="270"/>
      </w:pPr>
      <w:r>
        <w:rPr>
          <w:b/>
          <w:bCs/>
          <w:color w:val="1a1a1a"/>
          <w:sz w:val="21"/>
          <w:szCs w:val="21"/>
        </w:rPr>
        <w:t xml:space="preserve">Prune / refresh / consolidate. </w:t>
      </w:r>
      <w:r>
        <w:rPr>
          <w:color w:val="1a1a1a"/>
          <w:sz w:val="21"/>
          <w:szCs w:val="21"/>
        </w:rPr>
        <w:t xml:space="preserve">At 4,000+ pages/year, decay management is part of the system: quarterly, substrate pages below an impressions/clicks floor are refreshed, consolidated, or noindexed. Pruning underperformers protects site-level quality.</w:t>
      </w:r>
    </w:p>
    <w:p>
      <w:pPr>
        <w:pStyle w:val="Heading2"/>
      </w:pPr>
      <w:r>
        <w:t xml:space="preserve">4.4 Information architecture &amp; the internal-linking engine</w:t>
      </w:r>
    </w:p>
    <w:p>
      <w:pPr>
        <w:spacing w:after="120" w:before="0" w:line="276"/>
      </w:pPr>
      <w:r>
        <w:rPr>
          <w:color w:val="1a1a1a"/>
          <w:sz w:val="21"/>
          <w:szCs w:val="21"/>
        </w:rPr>
        <w:t xml:space="preserve">This is the component built for real (Deliverable 3). Topical authority is modeled as a graph: pillars are hubs, substrate pages are spokes, edges are relevance-scored links.</w:t>
      </w:r>
    </w:p>
    <w:p>
      <w:pPr>
        <w:pStyle w:val="ListParagraph"/>
        <w:numPr>
          <w:ilvl w:val="0"/>
          <w:numId w:val="2"/>
        </w:numPr>
        <w:spacing w:after="80" w:line="270"/>
      </w:pPr>
      <w:r>
        <w:rPr>
          <w:b/>
          <w:bCs/>
          <w:color w:val="1a1a1a"/>
          <w:sz w:val="21"/>
          <w:szCs w:val="21"/>
        </w:rPr>
        <w:t xml:space="preserve">Algorithm. </w:t>
      </w:r>
      <w:r>
        <w:rPr>
          <w:color w:val="1a1a1a"/>
          <w:sz w:val="21"/>
          <w:szCs w:val="21"/>
        </w:rPr>
        <w:t xml:space="preserve">Embed every page (title + h1 + body); for a new page, score cosine similarity against the corpus; propose the top-N relevant existing pages to link from/to, above a relevance floor; write edges to </w:t>
      </w:r>
      <w:r>
        <w:rPr>
          <w:rFonts w:ascii="Consolas" w:cs="Consolas" w:eastAsia="Consolas" w:hAnsi="Consolas"/>
          <w:color w:val="1f2a44"/>
          <w:sz w:val="19"/>
          <w:szCs w:val="19"/>
        </w:rPr>
        <w:t xml:space="preserve">link_edge</w:t>
      </w:r>
      <w:r>
        <w:rPr>
          <w:color w:val="1a1a1a"/>
          <w:sz w:val="21"/>
          <w:szCs w:val="21"/>
        </w:rPr>
        <w:t xml:space="preserve">. Orphans (zero inlinks) are surfaced and auto-fixed on publish.</w:t>
      </w:r>
    </w:p>
    <w:p>
      <w:pPr>
        <w:pStyle w:val="ListParagraph"/>
        <w:numPr>
          <w:ilvl w:val="0"/>
          <w:numId w:val="2"/>
        </w:numPr>
        <w:spacing w:after="80" w:line="270"/>
      </w:pPr>
      <w:r>
        <w:rPr>
          <w:b/>
          <w:bCs/>
          <w:color w:val="1a1a1a"/>
          <w:sz w:val="21"/>
          <w:szCs w:val="21"/>
        </w:rPr>
        <w:t xml:space="preserve">Equity flow &amp; the split-brain fix. </w:t>
      </w:r>
      <w:r>
        <w:rPr>
          <w:color w:val="1a1a1a"/>
          <w:sz w:val="21"/>
          <w:szCs w:val="21"/>
        </w:rPr>
        <w:t xml:space="preserve">Migrate the blog from the </w:t>
      </w:r>
      <w:r>
        <w:rPr>
          <w:rFonts w:ascii="Consolas" w:cs="Consolas" w:eastAsia="Consolas" w:hAnsi="Consolas"/>
          <w:color w:val="1f2a44"/>
          <w:sz w:val="19"/>
          <w:szCs w:val="19"/>
        </w:rPr>
        <w:t xml:space="preserve">blog.</w:t>
      </w:r>
      <w:r>
        <w:rPr>
          <w:color w:val="1a1a1a"/>
          <w:sz w:val="21"/>
          <w:szCs w:val="21"/>
        </w:rPr>
        <w:t xml:space="preserve"> subdomain to a </w:t>
      </w:r>
      <w:r>
        <w:rPr>
          <w:rFonts w:ascii="Consolas" w:cs="Consolas" w:eastAsia="Consolas" w:hAnsi="Consolas"/>
          <w:color w:val="1f2a44"/>
          <w:sz w:val="19"/>
          <w:szCs w:val="19"/>
        </w:rPr>
        <w:t xml:space="preserve">/learn/</w:t>
      </w:r>
      <w:r>
        <w:rPr>
          <w:color w:val="1a1a1a"/>
          <w:sz w:val="21"/>
          <w:szCs w:val="21"/>
        </w:rPr>
        <w:t xml:space="preserve"> subdirectory of the money domain so authority consolidates; or, if migration is deferred, enforce blog→money contextual links so the 234-post reservoir stops leaking.</w:t>
      </w:r>
    </w:p>
    <w:p>
      <w:pPr>
        <w:pStyle w:val="ListParagraph"/>
        <w:numPr>
          <w:ilvl w:val="0"/>
          <w:numId w:val="2"/>
        </w:numPr>
        <w:spacing w:after="80" w:line="270"/>
      </w:pPr>
      <w:r>
        <w:rPr>
          <w:b/>
          <w:bCs/>
          <w:color w:val="1a1a1a"/>
          <w:sz w:val="21"/>
          <w:szCs w:val="21"/>
        </w:rPr>
        <w:t xml:space="preserve">Infinite-space control. </w:t>
      </w:r>
      <w:r>
        <w:rPr>
          <w:color w:val="1a1a1a"/>
          <w:sz w:val="21"/>
          <w:szCs w:val="21"/>
        </w:rPr>
        <w:t xml:space="preserve">Substrate URLs are a fixed taxonomy; faceted/parameter combinations are </w:t>
      </w:r>
      <w:r>
        <w:rPr>
          <w:rFonts w:ascii="Consolas" w:cs="Consolas" w:eastAsia="Consolas" w:hAnsi="Consolas"/>
          <w:color w:val="1f2a44"/>
          <w:sz w:val="19"/>
          <w:szCs w:val="19"/>
        </w:rPr>
        <w:t xml:space="preserve">noindex</w:t>
      </w:r>
      <w:r>
        <w:rPr>
          <w:color w:val="1a1a1a"/>
          <w:sz w:val="21"/>
          <w:szCs w:val="21"/>
        </w:rPr>
        <w:t xml:space="preserve"> + canonical to the base, and disallowed in robots where they add no value, to prevent crawlable infinite spaces.</w:t>
      </w:r>
    </w:p>
    <w:p>
      <w:pPr>
        <w:pStyle w:val="Heading2"/>
      </w:pPr>
      <w:r>
        <w:t xml:space="preserve">4.5 Technical SEO &amp; rendering</w:t>
      </w:r>
    </w:p>
    <w:p>
      <w:pPr>
        <w:pStyle w:val="ListParagraph"/>
        <w:numPr>
          <w:ilvl w:val="0"/>
          <w:numId w:val="2"/>
        </w:numPr>
        <w:spacing w:after="80" w:line="270"/>
      </w:pPr>
      <w:r>
        <w:rPr>
          <w:b/>
          <w:bCs/>
          <w:color w:val="1a1a1a"/>
          <w:sz w:val="21"/>
          <w:szCs w:val="21"/>
        </w:rPr>
        <w:t xml:space="preserve">Rendering. </w:t>
      </w:r>
      <w:r>
        <w:rPr>
          <w:color w:val="1a1a1a"/>
          <w:sz w:val="21"/>
          <w:szCs w:val="21"/>
        </w:rPr>
        <w:t xml:space="preserve">Substrate and spine render </w:t>
      </w:r>
      <w:r>
        <w:rPr>
          <w:b/>
          <w:bCs/>
          <w:color w:val="1a1a1a"/>
          <w:sz w:val="21"/>
          <w:szCs w:val="21"/>
        </w:rPr>
        <w:t xml:space="preserve">SSR/SSG</w:t>
      </w:r>
      <w:r>
        <w:rPr>
          <w:color w:val="1a1a1a"/>
          <w:sz w:val="21"/>
          <w:szCs w:val="21"/>
        </w:rPr>
        <w:t xml:space="preserve"> (Next.js App Router) so links and content are in the initial HTML. CSR would hide links behind JS and throttle indexation — the prototype flags JS-only pages for exactly this reason. (Money pages are already SSR; good.)</w:t>
      </w:r>
    </w:p>
    <w:p>
      <w:pPr>
        <w:pStyle w:val="ListParagraph"/>
        <w:numPr>
          <w:ilvl w:val="0"/>
          <w:numId w:val="2"/>
        </w:numPr>
        <w:spacing w:after="80" w:line="270"/>
      </w:pPr>
      <w:r>
        <w:rPr>
          <w:b/>
          <w:bCs/>
          <w:color w:val="1a1a1a"/>
          <w:sz w:val="21"/>
          <w:szCs w:val="21"/>
        </w:rPr>
        <w:t xml:space="preserve">Core Web Vitals as a build gate. </w:t>
      </w:r>
      <w:r>
        <w:rPr>
          <w:color w:val="1a1a1a"/>
          <w:sz w:val="21"/>
          <w:szCs w:val="21"/>
        </w:rPr>
        <w:t xml:space="preserve">LCP/INP/CLS budgets enforced in CI (Lighthouse) on the template; a regression fails the build before it ships to 4,000 pages.</w:t>
      </w:r>
    </w:p>
    <w:p>
      <w:pPr>
        <w:pStyle w:val="ListParagraph"/>
        <w:numPr>
          <w:ilvl w:val="0"/>
          <w:numId w:val="2"/>
        </w:numPr>
        <w:spacing w:after="80" w:line="270"/>
      </w:pPr>
      <w:r>
        <w:rPr>
          <w:b/>
          <w:bCs/>
          <w:color w:val="1a1a1a"/>
          <w:sz w:val="21"/>
          <w:szCs w:val="21"/>
        </w:rPr>
        <w:t xml:space="preserve">Structured data at scale. </w:t>
      </w:r>
      <w:r>
        <w:rPr>
          <w:color w:val="1a1a1a"/>
          <w:sz w:val="21"/>
          <w:szCs w:val="21"/>
        </w:rPr>
        <w:t xml:space="preserve">Article, FAQPage, BreadcrumbList, Organization, and (for the comparison pages) Product/Offer — generated from the data model, validated programmatically, monitored for rich-result eligibility in GSC.</w:t>
      </w:r>
    </w:p>
    <w:p>
      <w:pPr>
        <w:pStyle w:val="ListParagraph"/>
        <w:numPr>
          <w:ilvl w:val="0"/>
          <w:numId w:val="2"/>
        </w:numPr>
        <w:spacing w:after="80" w:line="270"/>
      </w:pPr>
      <w:r>
        <w:rPr>
          <w:b/>
          <w:bCs/>
          <w:color w:val="1a1a1a"/>
          <w:sz w:val="21"/>
          <w:szCs w:val="21"/>
        </w:rPr>
        <w:t xml:space="preserve">Directives. </w:t>
      </w:r>
      <w:r>
        <w:rPr>
          <w:color w:val="1a1a1a"/>
          <w:sz w:val="21"/>
          <w:szCs w:val="21"/>
        </w:rPr>
        <w:t xml:space="preserve">Right tool for each job: </w:t>
      </w:r>
      <w:r>
        <w:rPr>
          <w:rFonts w:ascii="Consolas" w:cs="Consolas" w:eastAsia="Consolas" w:hAnsi="Consolas"/>
          <w:color w:val="1f2a44"/>
          <w:sz w:val="19"/>
          <w:szCs w:val="19"/>
        </w:rPr>
        <w:t xml:space="preserve">noindex</w:t>
      </w:r>
      <w:r>
        <w:rPr>
          <w:color w:val="1a1a1a"/>
          <w:sz w:val="21"/>
          <w:szCs w:val="21"/>
        </w:rPr>
        <w:t xml:space="preserve"> to keep a crawlable page out of the index; </w:t>
      </w:r>
      <w:r>
        <w:rPr>
          <w:rFonts w:ascii="Consolas" w:cs="Consolas" w:eastAsia="Consolas" w:hAnsi="Consolas"/>
          <w:color w:val="1f2a44"/>
          <w:sz w:val="19"/>
          <w:szCs w:val="19"/>
        </w:rPr>
        <w:t xml:space="preserve">canonical</w:t>
      </w:r>
      <w:r>
        <w:rPr>
          <w:color w:val="1a1a1a"/>
          <w:sz w:val="21"/>
          <w:szCs w:val="21"/>
        </w:rPr>
        <w:t xml:space="preserve"> to consolidate duplicates; </w:t>
      </w:r>
      <w:r>
        <w:rPr>
          <w:rFonts w:ascii="Consolas" w:cs="Consolas" w:eastAsia="Consolas" w:hAnsi="Consolas"/>
          <w:color w:val="1f2a44"/>
          <w:sz w:val="19"/>
          <w:szCs w:val="19"/>
        </w:rPr>
        <w:t xml:space="preserve">robots.txt disallow</w:t>
      </w:r>
      <w:r>
        <w:rPr>
          <w:color w:val="1a1a1a"/>
          <w:sz w:val="21"/>
          <w:szCs w:val="21"/>
        </w:rPr>
        <w:t xml:space="preserve"> to save crawl budget on worthless paths (never to deindex — disallowed pages can still be indexed without crawling).</w:t>
      </w:r>
    </w:p>
    <w:p>
      <w:pPr>
        <w:pStyle w:val="Heading1"/>
      </w:pPr>
      <w:r>
        <w:t xml:space="preserve">5. The content pipeline</w:t>
      </w:r>
    </w:p>
    <w:p>
      <w:pPr>
        <w:spacing w:after="120" w:before="0" w:line="276"/>
      </w:pPr>
      <w:r>
        <w:rPr>
          <w:color w:val="1a1a1a"/>
          <w:sz w:val="21"/>
          <w:szCs w:val="21"/>
        </w:rPr>
        <w:t xml:space="preserve">Topic → prioritization → brief → generation → multi-stage QA → publish → index → measure. Human-in-the-loop checkpoints are marked </w:t>
      </w:r>
      <w:r>
        <w:rPr>
          <w:b/>
          <w:bCs/>
          <w:color w:val="b1542f"/>
          <w:sz w:val="21"/>
          <w:szCs w:val="21"/>
        </w:rPr>
        <w:t xml:space="preserve">[H]</w:t>
      </w:r>
      <w:r>
        <w:rPr>
          <w:color w:val="1a1a1a"/>
          <w:sz w:val="21"/>
          <w:szCs w:val="21"/>
        </w:rPr>
        <w:t xml:space="preserve">.</w:t>
      </w:r>
    </w:p>
    <w:p>
      <w:pPr>
        <w:pStyle w:val="ListParagraph"/>
        <w:numPr>
          <w:ilvl w:val="0"/>
          <w:numId w:val="3"/>
        </w:numPr>
        <w:spacing w:after="80" w:line="270"/>
      </w:pPr>
      <w:r>
        <w:rPr>
          <w:b/>
          <w:bCs/>
          <w:color w:val="1a1a1a"/>
          <w:sz w:val="21"/>
          <w:szCs w:val="21"/>
        </w:rPr>
        <w:t xml:space="preserve">Topic sourcing. </w:t>
      </w:r>
      <w:r>
        <w:rPr>
          <w:color w:val="1a1a1a"/>
          <w:sz w:val="21"/>
          <w:szCs w:val="21"/>
        </w:rPr>
        <w:t xml:space="preserve">GSC query mining (their own impressions with no rank), SERP gap analysis, third-party keyword APIs, dataset enumeration for the substrate.</w:t>
      </w:r>
    </w:p>
    <w:p>
      <w:pPr>
        <w:pStyle w:val="ListParagraph"/>
        <w:numPr>
          <w:ilvl w:val="0"/>
          <w:numId w:val="3"/>
        </w:numPr>
        <w:spacing w:after="80" w:line="270"/>
      </w:pPr>
      <w:r>
        <w:rPr>
          <w:b/>
          <w:bCs/>
          <w:color w:val="1a1a1a"/>
          <w:sz w:val="21"/>
          <w:szCs w:val="21"/>
        </w:rPr>
        <w:t xml:space="preserve">Prioritization. </w:t>
      </w:r>
      <w:r>
        <w:rPr>
          <w:color w:val="1a1a1a"/>
          <w:sz w:val="21"/>
          <w:szCs w:val="21"/>
        </w:rPr>
        <w:t xml:space="preserve">Score = volume × intent × (1/difficulty) × business value. Dedupe against published via embedding hash. </w:t>
      </w:r>
      <w:r>
        <w:rPr>
          <w:b/>
          <w:bCs/>
          <w:color w:val="b1542f"/>
          <w:sz w:val="21"/>
          <w:szCs w:val="21"/>
        </w:rPr>
        <w:t xml:space="preserve">[H]</w:t>
      </w:r>
      <w:r>
        <w:rPr>
          <w:color w:val="1a1a1a"/>
          <w:sz w:val="21"/>
          <w:szCs w:val="21"/>
        </w:rPr>
        <w:t xml:space="preserve"> editorial lead approves the weekly spine slate.</w:t>
      </w:r>
    </w:p>
    <w:p>
      <w:pPr>
        <w:pStyle w:val="ListParagraph"/>
        <w:numPr>
          <w:ilvl w:val="0"/>
          <w:numId w:val="3"/>
        </w:numPr>
        <w:spacing w:after="80" w:line="270"/>
      </w:pPr>
      <w:r>
        <w:rPr>
          <w:b/>
          <w:bCs/>
          <w:color w:val="1a1a1a"/>
          <w:sz w:val="21"/>
          <w:szCs w:val="21"/>
        </w:rPr>
        <w:t xml:space="preserve">Brief. </w:t>
      </w:r>
      <w:r>
        <w:rPr>
          <w:color w:val="1a1a1a"/>
          <w:sz w:val="21"/>
          <w:szCs w:val="21"/>
        </w:rPr>
        <w:t xml:space="preserve">Versioned prompt-as-code turns a topic into a structured brief: required entities, citations, schema type, internal-link targets (from the engine).</w:t>
      </w:r>
    </w:p>
    <w:p>
      <w:pPr>
        <w:pStyle w:val="ListParagraph"/>
        <w:numPr>
          <w:ilvl w:val="0"/>
          <w:numId w:val="3"/>
        </w:numPr>
        <w:spacing w:after="80" w:line="270"/>
      </w:pPr>
      <w:r>
        <w:rPr>
          <w:b/>
          <w:bCs/>
          <w:color w:val="1a1a1a"/>
          <w:sz w:val="21"/>
          <w:szCs w:val="21"/>
        </w:rPr>
        <w:t xml:space="preserve">Generation. </w:t>
      </w:r>
      <w:r>
        <w:rPr>
          <w:color w:val="1a1a1a"/>
          <w:sz w:val="21"/>
          <w:szCs w:val="21"/>
        </w:rPr>
        <w:t xml:space="preserve">Substrate: template + data. Spine: LLM draft from brief. Idempotent, retried, every claim tagged with its source for the gate.</w:t>
      </w:r>
    </w:p>
    <w:p>
      <w:pPr>
        <w:pStyle w:val="ListParagraph"/>
        <w:numPr>
          <w:ilvl w:val="0"/>
          <w:numId w:val="3"/>
        </w:numPr>
        <w:spacing w:after="80" w:line="270"/>
      </w:pPr>
      <w:r>
        <w:rPr>
          <w:b/>
          <w:bCs/>
          <w:color w:val="1a1a1a"/>
          <w:sz w:val="21"/>
          <w:szCs w:val="21"/>
        </w:rPr>
        <w:t xml:space="preserve">Multi-stage QA gate. </w:t>
      </w:r>
      <w:r>
        <w:rPr>
          <w:color w:val="1a1a1a"/>
          <w:sz w:val="21"/>
          <w:szCs w:val="21"/>
        </w:rPr>
        <w:t xml:space="preserve">Automated checks (4.3) run first; </w:t>
      </w:r>
      <w:r>
        <w:rPr>
          <w:b/>
          <w:bCs/>
          <w:color w:val="b1542f"/>
          <w:sz w:val="21"/>
          <w:szCs w:val="21"/>
        </w:rPr>
        <w:t xml:space="preserve">[H]</w:t>
      </w:r>
      <w:r>
        <w:rPr>
          <w:color w:val="1a1a1a"/>
          <w:sz w:val="21"/>
          <w:szCs w:val="21"/>
        </w:rPr>
        <w:t xml:space="preserve"> editor reviews spine pieces and a sampled % of substrate; nothing publishes that fails the gate.</w:t>
      </w:r>
    </w:p>
    <w:p>
      <w:pPr>
        <w:pStyle w:val="ListParagraph"/>
        <w:numPr>
          <w:ilvl w:val="0"/>
          <w:numId w:val="3"/>
        </w:numPr>
        <w:spacing w:after="80" w:line="270"/>
      </w:pPr>
      <w:r>
        <w:rPr>
          <w:b/>
          <w:bCs/>
          <w:color w:val="1a1a1a"/>
          <w:sz w:val="21"/>
          <w:szCs w:val="21"/>
        </w:rPr>
        <w:t xml:space="preserve">Publish. </w:t>
      </w:r>
      <w:r>
        <w:rPr>
          <w:color w:val="1a1a1a"/>
          <w:sz w:val="21"/>
          <w:szCs w:val="21"/>
        </w:rPr>
        <w:t xml:space="preserve">CMS API/webhook; link engine injects internal links and updates the graph; sharded sitemap updated with honest lastmod.</w:t>
      </w:r>
    </w:p>
    <w:p>
      <w:pPr>
        <w:pStyle w:val="ListParagraph"/>
        <w:numPr>
          <w:ilvl w:val="0"/>
          <w:numId w:val="3"/>
        </w:numPr>
        <w:spacing w:after="80" w:line="270"/>
      </w:pPr>
      <w:r>
        <w:rPr>
          <w:b/>
          <w:bCs/>
          <w:color w:val="1a1a1a"/>
          <w:sz w:val="21"/>
          <w:szCs w:val="21"/>
        </w:rPr>
        <w:t xml:space="preserve">Index &amp; measure. </w:t>
      </w:r>
      <w:r>
        <w:rPr>
          <w:color w:val="1a1a1a"/>
          <w:sz w:val="21"/>
          <w:szCs w:val="21"/>
        </w:rPr>
        <w:t xml:space="preserve">Monitor watches time-to-index; measurement layer joins to pipeline. </w:t>
      </w:r>
      <w:r>
        <w:rPr>
          <w:b/>
          <w:bCs/>
          <w:color w:val="b1542f"/>
          <w:sz w:val="21"/>
          <w:szCs w:val="21"/>
        </w:rPr>
        <w:t xml:space="preserve">[H]</w:t>
      </w:r>
      <w:r>
        <w:rPr>
          <w:color w:val="1a1a1a"/>
          <w:sz w:val="21"/>
          <w:szCs w:val="21"/>
        </w:rPr>
        <w:t xml:space="preserve"> weekly review of the metric tree and kill-switch state.</w:t>
      </w:r>
    </w:p>
    <w:p>
      <w:pPr>
        <w:pStyle w:val="Heading1"/>
      </w:pPr>
      <w:r>
        <w:t xml:space="preserve">6. Quality, safety &amp; compliance guardrails</w:t>
      </w:r>
    </w:p>
    <w:p>
      <w:pPr>
        <w:spacing w:after="120" w:before="0" w:line="276"/>
      </w:pPr>
      <w:r>
        <w:rPr>
          <w:color w:val="1a1a1a"/>
          <w:sz w:val="21"/>
          <w:szCs w:val="21"/>
        </w:rPr>
        <w:t xml:space="preserve">NeevCloud sells to government and BFSI. A hallucinated benchmark, a leaked internal figure, or a non-compliant claim is a business risk, so guardrails are gates, not advisories.</w:t>
      </w:r>
    </w:p>
    <w:p>
      <w:pPr>
        <w:pStyle w:val="ListParagraph"/>
        <w:numPr>
          <w:ilvl w:val="0"/>
          <w:numId w:val="2"/>
        </w:numPr>
        <w:spacing w:after="80" w:line="270"/>
      </w:pPr>
      <w:r>
        <w:rPr>
          <w:b/>
          <w:bCs/>
          <w:color w:val="1a1a1a"/>
          <w:sz w:val="21"/>
          <w:szCs w:val="21"/>
        </w:rPr>
        <w:t xml:space="preserve">Hallucination control. </w:t>
      </w:r>
      <w:r>
        <w:rPr>
          <w:color w:val="1a1a1a"/>
          <w:sz w:val="21"/>
          <w:szCs w:val="21"/>
        </w:rPr>
        <w:t xml:space="preserve">Generation is grounded: the model may only assert numbers/facts that appear in the supplied brief’s source set. The gate re-checks every numeric claim against a cited source; unsourced stats fail the page.</w:t>
      </w:r>
    </w:p>
    <w:p>
      <w:pPr>
        <w:pStyle w:val="ListParagraph"/>
        <w:numPr>
          <w:ilvl w:val="0"/>
          <w:numId w:val="2"/>
        </w:numPr>
        <w:spacing w:after="80" w:line="270"/>
      </w:pPr>
      <w:r>
        <w:rPr>
          <w:b/>
          <w:bCs/>
          <w:color w:val="1a1a1a"/>
          <w:sz w:val="21"/>
          <w:szCs w:val="21"/>
        </w:rPr>
        <w:t xml:space="preserve">Confidential-data leakage. </w:t>
      </w:r>
      <w:r>
        <w:rPr>
          <w:color w:val="1a1a1a"/>
          <w:sz w:val="21"/>
          <w:szCs w:val="21"/>
        </w:rPr>
        <w:t xml:space="preserve">A denylist + classifier scans drafts for internal-only terms, unannounced SKUs, customer names, and pricing not approved for publication. Hit = block + human review.</w:t>
      </w:r>
    </w:p>
    <w:p>
      <w:pPr>
        <w:pStyle w:val="ListParagraph"/>
        <w:numPr>
          <w:ilvl w:val="0"/>
          <w:numId w:val="2"/>
        </w:numPr>
        <w:spacing w:after="80" w:line="270"/>
      </w:pPr>
      <w:r>
        <w:rPr>
          <w:b/>
          <w:bCs/>
          <w:color w:val="1a1a1a"/>
          <w:sz w:val="21"/>
          <w:szCs w:val="21"/>
        </w:rPr>
        <w:t xml:space="preserve">Claim verification. </w:t>
      </w:r>
      <w:r>
        <w:rPr>
          <w:color w:val="1a1a1a"/>
          <w:sz w:val="21"/>
          <w:szCs w:val="21"/>
        </w:rPr>
        <w:t xml:space="preserve">Competitive/price claims (e.g. "cheaper than hyperscaler X") are flagged for explicit approval and attributed as NeevCloud’s own published claims, never as independent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2a44" w:sz="18"/>
              <w:bottom w:val="single" w:color="CCCCCC" w:sz="1"/>
              <w:right w:val="single" w:color="CCCCCC" w:sz="1"/>
            </w:tcBorders>
            <w:shd w:fill="f2efe9" w:val="clear"/>
            <w:tcMar>
              <w:top w:type="dxa" w:w="130"/>
              <w:left w:type="dxa" w:w="200"/>
              <w:bottom w:type="dxa" w:w="130"/>
              <w:right w:type="dxa" w:w="160"/>
            </w:tcMar>
          </w:tcPr>
          <w:p>
            <w:pPr>
              <w:spacing w:after="80"/>
            </w:pPr>
            <w:r>
              <w:rPr>
                <w:b/>
                <w:bCs/>
                <w:color w:val="1f2a44"/>
                <w:sz w:val="21"/>
                <w:szCs w:val="21"/>
              </w:rPr>
              <w:t xml:space="preserve">Data-integrity discipline (applied to this very submission)</w:t>
            </w:r>
          </w:p>
          <w:p>
            <w:pPr>
              <w:spacing w:after="60" w:line="270"/>
            </w:pPr>
            <w:r>
              <w:rPr>
                <w:color w:val="1a1a1a"/>
                <w:sz w:val="21"/>
                <w:szCs w:val="21"/>
              </w:rPr>
              <w:t xml:space="preserve">Where this plan cites figures like "$1.69/hr" or "50% cheaper than AWS/Azure/GCP", those are </w:t>
            </w:r>
            <w:r>
              <w:rPr>
                <w:b/>
                <w:bCs/>
                <w:color w:val="1a1a1a"/>
                <w:sz w:val="21"/>
                <w:szCs w:val="21"/>
              </w:rPr>
              <w:t xml:space="preserve">NeevCloud’s own published marketing claims</w:t>
            </w:r>
            <w:r>
              <w:rPr>
                <w:color w:val="1a1a1a"/>
                <w:sz w:val="21"/>
                <w:szCs w:val="21"/>
              </w:rPr>
              <w:t xml:space="preserve">, surfaced by the audit — not independently verified facts. Treating a vendor’s marketing as established truth is exactly the failure mode the brief warns about, so the system attributes rather than asserts. The same rule governs the production pipeline.</w:t>
            </w:r>
          </w:p>
        </w:tc>
      </w:tr>
    </w:tbl>
    <w:p>
      <w:pPr>
        <w:pStyle w:val="Heading1"/>
      </w:pPr>
      <w:r>
        <w:t xml:space="preserve">7. Measurement, attribution &amp; the kill-switch</w:t>
      </w:r>
    </w:p>
    <w:p>
      <w:pPr>
        <w:pStyle w:val="Heading3"/>
      </w:pPr>
      <w:r>
        <w:t xml:space="preserve">Metric tree (vanity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rPr>
          <w:tblHeader/>
        </w:trPr>
        <w:tc>
          <w:tcPr>
            <w:tcW w:type="dxa" w:w="17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Layer</w:t>
            </w:r>
          </w:p>
        </w:tc>
        <w:tc>
          <w:tcPr>
            <w:tcW w:type="dxa" w:w="50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Metric (rate of change, not just totals)</w:t>
            </w:r>
          </w:p>
        </w:tc>
        <w:tc>
          <w:tcPr>
            <w:tcW w:type="dxa" w:w="26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Rejects</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Indexation</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Indexed-URL rate, time-to-index, indexed/submitted delta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"pages published"</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Visibility</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Ranking-keyword growth, impressions trend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"keywords tracked"</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Engagement</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Impressions → clicks (CTR by template)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"sessions", "time on page"</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Pipeline</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Assisted MQL → SQL → opportunity by landing URL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"traffic"</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Economics</w:t>
            </w:r>
          </w:p>
        </w:tc>
        <w:tc>
          <w:tcPr>
            <w:tcW w:type="dxa" w:w="5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Cost per indexed-ranking page; pipeline $ / content $</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"cost per post"</w:t>
            </w:r>
          </w:p>
        </w:tc>
      </w:tr>
    </w:tbl>
    <w:p>
      <w:pPr>
        <w:spacing w:after="120" w:before="80" w:line="276"/>
      </w:pPr>
      <w:r>
        <w:rPr>
          <w:color w:val="1a1a1a"/>
          <w:sz w:val="21"/>
          <w:szCs w:val="21"/>
        </w:rPr>
        <w:t xml:space="preserve">Attribution flow: GA4 </w:t>
      </w:r>
      <w:r>
        <w:rPr>
          <w:rFonts w:ascii="Consolas" w:cs="Consolas" w:eastAsia="Consolas" w:hAnsi="Consolas"/>
          <w:color w:val="1f2a44"/>
          <w:sz w:val="19"/>
          <w:szCs w:val="19"/>
        </w:rPr>
        <w:t xml:space="preserve">client_id</w:t>
      </w:r>
      <w:r>
        <w:rPr>
          <w:color w:val="1a1a1a"/>
          <w:sz w:val="21"/>
          <w:szCs w:val="21"/>
        </w:rPr>
        <w:t xml:space="preserve"> captured on first organic landing → carried into the CRM via a hidden form field → joined in the warehouse to MQL/SQL/opportunity stages. That join is what lets us say "this substrate page assisted this opportunity," not merely "this page got traffic."</w:t>
      </w:r>
    </w:p>
    <w:p>
      <w:pPr>
        <w:pStyle w:val="Heading3"/>
      </w:pPr>
      <w:r>
        <w:t xml:space="preserve">Automated kill-switch / circuit-breaker</w:t>
      </w:r>
    </w:p>
    <w:p>
      <w:pPr>
        <w:pStyle w:val="ListParagraph"/>
        <w:numPr>
          <w:ilvl w:val="0"/>
          <w:numId w:val="2"/>
        </w:numPr>
        <w:spacing w:after="80" w:line="270"/>
      </w:pPr>
      <w:r>
        <w:rPr>
          <w:b/>
          <w:bCs/>
          <w:color w:val="1a1a1a"/>
          <w:sz w:val="21"/>
          <w:szCs w:val="21"/>
        </w:rPr>
        <w:t xml:space="preserve">Trip conditions (rate-of-change): </w:t>
      </w:r>
      <w:r>
        <w:rPr>
          <w:color w:val="1a1a1a"/>
          <w:sz w:val="21"/>
          <w:szCs w:val="21"/>
        </w:rPr>
        <w:t xml:space="preserve">indexed-rate drops below a rolling floor; sitewide impressions decline beyond a threshold while volume rises; "Crawled–not-indexed" share spikes. Any of these → the publisher throttles substrate output and pages a human; sustained → rollback (noindex the latest wave) before the domain is damaged.</w:t>
      </w:r>
    </w:p>
    <w:p>
      <w:pPr>
        <w:pStyle w:val="ListParagraph"/>
        <w:numPr>
          <w:ilvl w:val="0"/>
          <w:numId w:val="2"/>
        </w:numPr>
        <w:spacing w:after="80" w:line="270"/>
      </w:pPr>
      <w:r>
        <w:rPr>
          <w:b/>
          <w:bCs/>
          <w:color w:val="1a1a1a"/>
          <w:sz w:val="21"/>
          <w:szCs w:val="21"/>
        </w:rPr>
        <w:t xml:space="preserve">Why it matters: </w:t>
      </w:r>
      <w:r>
        <w:rPr>
          <w:color w:val="1a1a1a"/>
          <w:sz w:val="21"/>
          <w:szCs w:val="21"/>
        </w:rPr>
        <w:t xml:space="preserve">it is the difference between "we shipped 80/week" and "we shipped 80/week and the money pages survived."</w:t>
      </w:r>
    </w:p>
    <w:p>
      <w:pPr>
        <w:pStyle w:val="Heading1"/>
      </w:pPr>
      <w:r>
        <w:t xml:space="preserve">8. Unit economics &amp; capacity</w:t>
      </w:r>
    </w:p>
    <w:p>
      <w:pPr>
        <w:spacing w:after="120" w:before="0" w:line="276"/>
      </w:pPr>
      <w:r>
        <w:rPr>
          <w:color w:val="1a1a1a"/>
          <w:sz w:val="21"/>
          <w:szCs w:val="21"/>
        </w:rPr>
        <w:t xml:space="preserve">Stated budget: a lean monthly envelope of ~$3,000–$4,000 (tooling + LLM tokens + freelance editors), defensible for an India-based operation. Indicative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rPr>
          <w:tblHeader/>
        </w:trPr>
        <w:tc>
          <w:tcPr>
            <w:tcW w:type="dxa" w:w="29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Line</w:t>
            </w:r>
          </w:p>
        </w:tc>
        <w:tc>
          <w:tcPr>
            <w:tcW w:type="dxa" w:w="40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Assumption</w:t>
            </w:r>
          </w:p>
        </w:tc>
        <w:tc>
          <w:tcPr>
            <w:tcW w:type="dxa" w:w="24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Monthly</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LLM tokens — substrate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~300 pages × low token (template-bound)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~$250–$450</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LLM tokens — spine + QA</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~30 pillars + gate re-checks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~$300–$500</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Editors (freelance)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Spine review + sampled substrate QA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~$1,500–$2,200</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Tooling</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Crawl/log infra, GSC/GA4 wiring, vector store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~$400–$700</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Total</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~347 pages/month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~$2,450–$3,850</w:t>
            </w:r>
          </w:p>
        </w:tc>
      </w:tr>
    </w:tbl>
    <w:p>
      <w:pPr>
        <w:spacing w:after="120" w:before="80" w:line="276"/>
      </w:pPr>
      <w:r>
        <w:rPr>
          <w:color w:val="1a1a1a"/>
          <w:sz w:val="21"/>
          <w:szCs w:val="21"/>
        </w:rPr>
        <w:t xml:space="preserve">Blended cost per published page ≈ $7–$11; </w:t>
      </w:r>
      <w:r>
        <w:rPr>
          <w:b/>
          <w:bCs/>
          <w:color w:val="1a1a1a"/>
          <w:sz w:val="21"/>
          <w:szCs w:val="21"/>
        </w:rPr>
        <w:t xml:space="preserve">cost per indexed-ranking page</w:t>
      </w:r>
      <w:r>
        <w:rPr>
          <w:color w:val="1a1a1a"/>
          <w:sz w:val="21"/>
          <w:szCs w:val="21"/>
        </w:rPr>
        <w:t xml:space="preserve"> is the honest denominator and is higher (only a fraction index-and-rank early) — which is exactly why the metric tree tracks it and the prune cycle exists. </w:t>
      </w:r>
      <w:r>
        <w:rPr>
          <w:b/>
          <w:bCs/>
          <w:color w:val="1a1a1a"/>
          <w:sz w:val="21"/>
          <w:szCs w:val="21"/>
        </w:rPr>
        <w:t xml:space="preserve">Where it breaks past 80/week: </w:t>
      </w:r>
      <w:r>
        <w:rPr>
          <w:color w:val="1a1a1a"/>
          <w:sz w:val="21"/>
          <w:szCs w:val="21"/>
        </w:rPr>
        <w:t xml:space="preserve">editor review capacity is the first ceiling (not tokens), and crawl budget is the second — both are monitored, both have throttles.</w:t>
      </w:r>
    </w:p>
    <w:p>
      <w:pPr>
        <w:pStyle w:val="Heading1"/>
      </w:pPr>
      <w:r>
        <w:t xml:space="preserve">9. Rollout — 30 / 60 /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60"/>
        <w:gridCol w:w="1400"/>
        <w:gridCol w:w="3100"/>
      </w:tblGrid>
      <w:tr>
        <w:trPr>
          <w:tblHeader/>
        </w:trPr>
        <w:tc>
          <w:tcPr>
            <w:tcW w:type="dxa" w:w="13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Phase</w:t>
            </w:r>
          </w:p>
        </w:tc>
        <w:tc>
          <w:tcPr>
            <w:tcW w:type="dxa" w:w="356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Ship</w:t>
            </w:r>
          </w:p>
        </w:tc>
        <w:tc>
          <w:tcPr>
            <w:tcW w:type="dxa" w:w="14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Ramp</w:t>
            </w:r>
          </w:p>
        </w:tc>
        <w:tc>
          <w:tcPr>
            <w:tcW w:type="dxa" w:w="3100"/>
            <w:tcBorders>
              <w:top w:val="single" w:color="CCCCCC" w:sz="1"/>
              <w:left w:val="single" w:color="CCCCCC" w:sz="1"/>
              <w:bottom w:val="single" w:color="CCCCCC" w:sz="1"/>
              <w:right w:val="single" w:color="CCCCCC" w:sz="1"/>
            </w:tcBorders>
            <w:shd w:fill="1f2a44" w:val="clear"/>
            <w:tcMar>
              <w:top w:type="dxa" w:w="70"/>
              <w:left w:type="dxa" w:w="110"/>
              <w:bottom w:type="dxa" w:w="70"/>
              <w:right w:type="dxa" w:w="110"/>
            </w:tcMar>
          </w:tcPr>
          <w:p>
            <w:pPr>
              <w:spacing w:after="0" w:line="250"/>
            </w:pPr>
            <w:r>
              <w:rPr>
                <w:b/>
                <w:bCs/>
                <w:color w:val="FFFFFF"/>
                <w:sz w:val="19"/>
                <w:szCs w:val="19"/>
              </w:rPr>
              <w:t xml:space="preserve">Leading indicators watched</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0–30d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Fix crawl blockers (blog 429, sitemap defect, orphans); link engine live; measurement wired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~10–15/week</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Time-to-index, orphan count → 0</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30–60d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Programmatic substrate (one category, e.g. GPU×region); QA gate enforced; kill-switch armed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~30–45/week</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Indexed-rate, near-dup rate, CWV</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60–90d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Scale substrate categories; spine cadence steady; prune cycle begins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~70–80/week</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50"/>
            </w:pPr>
            <w:r>
              <w:rPr>
                <w:b w:val="false"/>
                <w:bCs w:val="false"/>
                <w:color w:val="1a1a1a"/>
                <w:sz w:val="19"/>
                <w:szCs w:val="19"/>
              </w:rPr>
              <w:t xml:space="preserve">Indexed/submitted delta, assisted pipeline</w:t>
            </w:r>
          </w:p>
        </w:tc>
      </w:tr>
    </w:tbl>
    <w:p>
      <w:pPr>
        <w:spacing w:after="120" w:before="80" w:line="276"/>
      </w:pPr>
      <w:r>
        <w:rPr>
          <w:color w:val="1a1a1a"/>
          <w:sz w:val="21"/>
          <w:szCs w:val="21"/>
        </w:rPr>
        <w:t xml:space="preserve">First thing shipped is not content — it is the </w:t>
      </w:r>
      <w:r>
        <w:rPr>
          <w:b/>
          <w:bCs/>
          <w:color w:val="1a1a1a"/>
          <w:sz w:val="21"/>
          <w:szCs w:val="21"/>
        </w:rPr>
        <w:t xml:space="preserve">crawl-health and link foundation</w:t>
      </w:r>
      <w:r>
        <w:rPr>
          <w:color w:val="1a1a1a"/>
          <w:sz w:val="21"/>
          <w:szCs w:val="21"/>
        </w:rPr>
        <w:t xml:space="preserve">. Volume on a leaky, orphan-prone domain just amplifies the leak. Fix the plumbing, then open the tap.</w:t>
      </w:r>
    </w:p>
    <w:p>
      <w:pPr>
        <w:pStyle w:val="Heading1"/>
      </w:pPr>
      <w:r>
        <w:t xml:space="preserve">10. The prototype (Deliverable 3)</w:t>
      </w:r>
    </w:p>
    <w:p>
      <w:pPr>
        <w:spacing w:after="120" w:before="0" w:line="276"/>
      </w:pPr>
      <w:r>
        <w:rPr>
          <w:color w:val="1a1a1a"/>
          <w:sz w:val="21"/>
          <w:szCs w:val="21"/>
        </w:rPr>
        <w:t xml:space="preserve">The highest-leverage, highest-risk component — the cross-domain internal-linking &amp; indexation auditor — is built and runs. It is the engine that keeps an 80/week system from minting orphans and cannibalizing itself.</w:t>
      </w:r>
    </w:p>
    <w:p>
      <w:pPr>
        <w:pStyle w:val="ListParagraph"/>
        <w:numPr>
          <w:ilvl w:val="0"/>
          <w:numId w:val="2"/>
        </w:numPr>
        <w:spacing w:after="80" w:line="270"/>
      </w:pPr>
      <w:r>
        <w:rPr>
          <w:b/>
          <w:bCs/>
          <w:color w:val="1a1a1a"/>
          <w:sz w:val="21"/>
          <w:szCs w:val="21"/>
        </w:rPr>
        <w:t xml:space="preserve">What it does: </w:t>
      </w:r>
      <w:r>
        <w:rPr>
          <w:color w:val="1a1a1a"/>
          <w:sz w:val="21"/>
          <w:szCs w:val="21"/>
        </w:rPr>
        <w:t xml:space="preserve">sitemap-first discovery → BFS crawl fallback (robots-aware, polite) → cross-domain link graph → orphan detection → cannibalization clustering (TF-IDF cosine) → cross-domain gap matrix → relevance-scored link recommendations.</w:t>
      </w:r>
    </w:p>
    <w:p>
      <w:pPr>
        <w:pStyle w:val="ListParagraph"/>
        <w:numPr>
          <w:ilvl w:val="0"/>
          <w:numId w:val="2"/>
        </w:numPr>
        <w:spacing w:after="80" w:line="270"/>
      </w:pPr>
      <w:r>
        <w:rPr>
          <w:b/>
          <w:bCs/>
          <w:color w:val="1a1a1a"/>
          <w:sz w:val="21"/>
          <w:szCs w:val="21"/>
        </w:rPr>
        <w:t xml:space="preserve">Built for real vs stubbed: </w:t>
      </w:r>
      <w:r>
        <w:rPr>
          <w:color w:val="1a1a1a"/>
          <w:sz w:val="21"/>
          <w:szCs w:val="21"/>
        </w:rPr>
        <w:t xml:space="preserve">the link engine is built to depth; the IndexationMonitor (GSC + log + kill-switch) and QualityGate are clearly-marked interface stubs in </w:t>
      </w:r>
      <w:r>
        <w:rPr>
          <w:rFonts w:ascii="Consolas" w:cs="Consolas" w:eastAsia="Consolas" w:hAnsi="Consolas"/>
          <w:color w:val="1f2a44"/>
          <w:sz w:val="19"/>
          <w:szCs w:val="19"/>
        </w:rPr>
        <w:t xml:space="preserve">src/audit.js</w:t>
      </w:r>
      <w:r>
        <w:rPr>
          <w:color w:val="1a1a1a"/>
          <w:sz w:val="21"/>
          <w:szCs w:val="21"/>
        </w:rPr>
        <w:t xml:space="preserve"> — "one thing that runs beats ten described."</w:t>
      </w:r>
    </w:p>
    <w:p>
      <w:pPr>
        <w:pStyle w:val="ListParagraph"/>
        <w:numPr>
          <w:ilvl w:val="0"/>
          <w:numId w:val="2"/>
        </w:numPr>
        <w:spacing w:after="80" w:line="270"/>
      </w:pPr>
      <w:r>
        <w:rPr>
          <w:b/>
          <w:bCs/>
          <w:color w:val="1a1a1a"/>
          <w:sz w:val="21"/>
          <w:szCs w:val="21"/>
        </w:rPr>
        <w:t xml:space="preserve">Stack: </w:t>
      </w:r>
      <w:r>
        <w:rPr>
          <w:color w:val="1a1a1a"/>
          <w:sz w:val="21"/>
          <w:szCs w:val="21"/>
        </w:rPr>
        <w:t xml:space="preserve">Node 20+, undici, cheerio, dependency-free TF-IDF embeddings (with a one-function seam to swap in Voyage/OpenAI). Web dashboard + </w:t>
      </w:r>
      <w:r>
        <w:rPr>
          <w:rFonts w:ascii="Consolas" w:cs="Consolas" w:eastAsia="Consolas" w:hAnsi="Consolas"/>
          <w:color w:val="1f2a44"/>
          <w:sz w:val="19"/>
          <w:szCs w:val="19"/>
        </w:rPr>
        <w:t xml:space="preserve">/api/audit</w:t>
      </w:r>
      <w:r>
        <w:rPr>
          <w:color w:val="1a1a1a"/>
          <w:sz w:val="21"/>
          <w:szCs w:val="21"/>
        </w:rPr>
        <w:t xml:space="preserve"> serverless endpoint; deploys to Vercel.</w:t>
      </w:r>
    </w:p>
    <w:p>
      <w:pPr>
        <w:pStyle w:val="ListParagraph"/>
        <w:numPr>
          <w:ilvl w:val="0"/>
          <w:numId w:val="2"/>
        </w:numPr>
        <w:spacing w:after="80" w:line="270"/>
      </w:pPr>
      <w:r>
        <w:rPr>
          <w:b/>
          <w:bCs/>
          <w:color w:val="1a1a1a"/>
          <w:sz w:val="21"/>
          <w:szCs w:val="21"/>
        </w:rPr>
        <w:t xml:space="preserve">Repo &amp; run: </w:t>
      </w:r>
      <w:r>
        <w:rPr>
          <w:rFonts w:ascii="Consolas" w:cs="Consolas" w:eastAsia="Consolas" w:hAnsi="Consolas"/>
          <w:color w:val="1f2a44"/>
          <w:sz w:val="19"/>
          <w:szCs w:val="19"/>
        </w:rPr>
        <w:t xml:space="preserve">npm run audit</w:t>
      </w:r>
      <w:r>
        <w:rPr>
          <w:color w:val="1a1a1a"/>
          <w:sz w:val="21"/>
          <w:szCs w:val="21"/>
        </w:rPr>
        <w:t xml:space="preserve">  — runs live against both NeevCloud domains and writes </w:t>
      </w:r>
      <w:r>
        <w:rPr>
          <w:rFonts w:ascii="Consolas" w:cs="Consolas" w:eastAsia="Consolas" w:hAnsi="Consolas"/>
          <w:color w:val="1f2a44"/>
          <w:sz w:val="19"/>
          <w:szCs w:val="19"/>
        </w:rPr>
        <w:t xml:space="preserve">report.json</w:t>
      </w:r>
      <w:r>
        <w:rPr>
          <w:color w:val="1a1a1a"/>
          <w:sz w:val="21"/>
          <w:szCs w:val="21"/>
        </w:rPr>
        <w:t xml:space="preserve">. README + CLAUDE.md included.</w:t>
      </w:r>
    </w:p>
    <w:p>
      <w:pPr>
        <w:pStyle w:val="Heading1"/>
      </w:pPr>
      <w:r>
        <w:t xml:space="preserve">11. Risks, failure modes &amp; deliberate cuts</w:t>
      </w:r>
    </w:p>
    <w:p>
      <w:pPr>
        <w:pStyle w:val="ListParagraph"/>
        <w:numPr>
          <w:ilvl w:val="0"/>
          <w:numId w:val="2"/>
        </w:numPr>
        <w:spacing w:after="80" w:line="270"/>
      </w:pPr>
      <w:r>
        <w:rPr>
          <w:b/>
          <w:bCs/>
          <w:color w:val="1a1a1a"/>
          <w:sz w:val="21"/>
          <w:szCs w:val="21"/>
        </w:rPr>
        <w:t xml:space="preserve">Migration risk (blog → /learn/). </w:t>
      </w:r>
      <w:r>
        <w:rPr>
          <w:color w:val="1a1a1a"/>
          <w:sz w:val="21"/>
          <w:szCs w:val="21"/>
        </w:rPr>
        <w:t xml:space="preserve">Consolidating the subdomain is the highest-value, highest-risk move; mitigated by staged 301s, retained Content-Signals, and close index monitoring. If deferred, enforce blog→money links as the interim.</w:t>
      </w:r>
    </w:p>
    <w:p>
      <w:pPr>
        <w:pStyle w:val="ListParagraph"/>
        <w:numPr>
          <w:ilvl w:val="0"/>
          <w:numId w:val="2"/>
        </w:numPr>
        <w:spacing w:after="80" w:line="270"/>
      </w:pPr>
      <w:r>
        <w:rPr>
          <w:b/>
          <w:bCs/>
          <w:color w:val="1a1a1a"/>
          <w:sz w:val="21"/>
          <w:szCs w:val="21"/>
        </w:rPr>
        <w:t xml:space="preserve">Substrate-as-thin-content risk. </w:t>
      </w:r>
      <w:r>
        <w:rPr>
          <w:color w:val="1a1a1a"/>
          <w:sz w:val="21"/>
          <w:szCs w:val="21"/>
        </w:rPr>
        <w:t xml:space="preserve">Templated pages can read as doorway pages if the data is shallow; mitigated by the quality gate’s near-dup + usefulness checks and the prune cycle.</w:t>
      </w:r>
    </w:p>
    <w:p>
      <w:pPr>
        <w:pStyle w:val="ListParagraph"/>
        <w:numPr>
          <w:ilvl w:val="0"/>
          <w:numId w:val="2"/>
        </w:numPr>
        <w:spacing w:after="80" w:line="270"/>
      </w:pPr>
      <w:r>
        <w:rPr>
          <w:b/>
          <w:bCs/>
          <w:color w:val="1a1a1a"/>
          <w:sz w:val="21"/>
          <w:szCs w:val="21"/>
        </w:rPr>
        <w:t xml:space="preserve">Crawl-challenge risk. </w:t>
      </w:r>
      <w:r>
        <w:rPr>
          <w:color w:val="1a1a1a"/>
          <w:sz w:val="21"/>
          <w:szCs w:val="21"/>
        </w:rPr>
        <w:t xml:space="preserve">The blog’s bot protection (429) may be throttling Googlebot; needs verification against GSC crawl stats early.</w:t>
      </w:r>
    </w:p>
    <w:p>
      <w:pPr>
        <w:pStyle w:val="Heading3"/>
      </w:pPr>
      <w:r>
        <w:t xml:space="preserve">Deliberately NOT doing</w:t>
      </w:r>
    </w:p>
    <w:p>
      <w:pPr>
        <w:pStyle w:val="ListParagraph"/>
        <w:numPr>
          <w:ilvl w:val="0"/>
          <w:numId w:val="2"/>
        </w:numPr>
        <w:spacing w:after="80" w:line="270"/>
      </w:pPr>
      <w:r>
        <w:rPr>
          <w:color w:val="1a1a1a"/>
          <w:sz w:val="21"/>
          <w:szCs w:val="21"/>
        </w:rPr>
        <w:t xml:space="preserve">No mass Indexing-API submission for blog content (wrong tool).</w:t>
      </w:r>
    </w:p>
    <w:p>
      <w:pPr>
        <w:pStyle w:val="ListParagraph"/>
        <w:numPr>
          <w:ilvl w:val="0"/>
          <w:numId w:val="2"/>
        </w:numPr>
        <w:spacing w:after="80" w:line="270"/>
      </w:pPr>
      <w:r>
        <w:rPr>
          <w:color w:val="1a1a1a"/>
          <w:sz w:val="21"/>
          <w:szCs w:val="21"/>
        </w:rPr>
        <w:t xml:space="preserve">No 80/week of editorial long-form (wrong shape).</w:t>
      </w:r>
    </w:p>
    <w:p>
      <w:pPr>
        <w:pStyle w:val="ListParagraph"/>
        <w:numPr>
          <w:ilvl w:val="0"/>
          <w:numId w:val="2"/>
        </w:numPr>
        <w:spacing w:after="80" w:line="270"/>
      </w:pPr>
      <w:r>
        <w:rPr>
          <w:color w:val="1a1a1a"/>
          <w:sz w:val="21"/>
          <w:szCs w:val="21"/>
        </w:rPr>
        <w:t xml:space="preserve">No real embedding API in the prototype (TF-IDF is sufficient to prove the engine; the seam is there for production).</w:t>
      </w:r>
    </w:p>
    <w:p>
      <w:pPr>
        <w:pStyle w:val="Heading1"/>
      </w:pPr>
      <w:r>
        <w:t xml:space="preserve">12. Bonus — a GTM system I shipped end-to-end</w:t>
      </w:r>
    </w:p>
    <w:p>
      <w:pPr>
        <w:spacing w:after="120" w:before="0" w:line="276"/>
      </w:pPr>
      <w:r>
        <w:rPr>
          <w:color w:val="1a1a1a"/>
          <w:sz w:val="21"/>
          <w:szCs w:val="21"/>
        </w:rPr>
        <w:t xml:space="preserve">Per the brief’s uncapped bonus: a real GTM machine, what broke, what I measured, what I’d build differently.</w:t>
      </w:r>
    </w:p>
    <w:p>
      <w:pPr>
        <w:pStyle w:val="Heading3"/>
      </w:pPr>
      <w:r>
        <w:t xml:space="preserve">Novryo Signals — daily job-market intelligence for a UK contract recruiter</w:t>
      </w:r>
    </w:p>
    <w:p>
      <w:pPr>
        <w:spacing w:after="120" w:before="0" w:line="276"/>
      </w:pPr>
      <w:r>
        <w:rPr>
          <w:color w:val="1a1a1a"/>
          <w:sz w:val="21"/>
          <w:szCs w:val="21"/>
        </w:rPr>
        <w:t xml:space="preserve">I built and run a daily signals system that scans UK/EU tech job postings, scores "hiring pressure" at the company level, and surfaces ~10–30 companies/day worth contacting. It is a real Next.js 16 + Supabase application — multi-source fetch (</w:t>
      </w:r>
      <w:r>
        <w:rPr>
          <w:b/>
          <w:bCs/>
          <w:color w:val="1a1a1a"/>
          <w:sz w:val="21"/>
          <w:szCs w:val="21"/>
        </w:rPr>
        <w:t xml:space="preserve">Reed</w:t>
      </w:r>
      <w:r>
        <w:rPr>
          <w:color w:val="1a1a1a"/>
          <w:sz w:val="21"/>
          <w:szCs w:val="21"/>
        </w:rPr>
        <w:t xml:space="preserve"> as the primary contract-intensity driver on a 30-day window, </w:t>
      </w:r>
      <w:r>
        <w:rPr>
          <w:b/>
          <w:bCs/>
          <w:color w:val="1a1a1a"/>
          <w:sz w:val="21"/>
          <w:szCs w:val="21"/>
        </w:rPr>
        <w:t xml:space="preserve">Adzuna</w:t>
      </w:r>
      <w:r>
        <w:rPr>
          <w:color w:val="1a1a1a"/>
          <w:sz w:val="21"/>
          <w:szCs w:val="21"/>
        </w:rPr>
        <w:t xml:space="preserve">, </w:t>
      </w:r>
      <w:r>
        <w:rPr>
          <w:b/>
          <w:bCs/>
          <w:color w:val="1a1a1a"/>
          <w:sz w:val="21"/>
          <w:szCs w:val="21"/>
        </w:rPr>
        <w:t xml:space="preserve">TheirStack</w:t>
      </w:r>
      <w:r>
        <w:rPr>
          <w:color w:val="1a1a1a"/>
          <w:sz w:val="21"/>
          <w:szCs w:val="21"/>
        </w:rPr>
        <w:t xml:space="preserve"> for migration tech, </w:t>
      </w:r>
      <w:r>
        <w:rPr>
          <w:b/>
          <w:bCs/>
          <w:color w:val="1a1a1a"/>
          <w:sz w:val="21"/>
          <w:szCs w:val="21"/>
        </w:rPr>
        <w:t xml:space="preserve">Apollo</w:t>
      </w:r>
      <w:r>
        <w:rPr>
          <w:color w:val="1a1a1a"/>
          <w:sz w:val="21"/>
          <w:szCs w:val="21"/>
        </w:rPr>
        <w:t xml:space="preserve"> for contact enrichment), a niche filter, an </w:t>
      </w:r>
      <w:r>
        <w:rPr>
          <w:b/>
          <w:bCs/>
          <w:color w:val="1a1a1a"/>
          <w:sz w:val="21"/>
          <w:szCs w:val="21"/>
        </w:rPr>
        <w:t xml:space="preserve">OpenAI gpt-5-mini</w:t>
      </w:r>
      <w:r>
        <w:rPr>
          <w:color w:val="1a1a1a"/>
          <w:sz w:val="21"/>
          <w:szCs w:val="21"/>
        </w:rPr>
        <w:t xml:space="preserve"> per-posting classifier with a durable Supabase-backed cache, additive company scoring, and a daily Vercel cron. The pipeline runs fetch → filter → classify → score → publish, unattended, for under £100/month.</w:t>
      </w:r>
    </w:p>
    <w:p>
      <w:pPr>
        <w:pStyle w:val="ListParagraph"/>
        <w:numPr>
          <w:ilvl w:val="0"/>
          <w:numId w:val="2"/>
        </w:numPr>
        <w:spacing w:after="80" w:line="270"/>
      </w:pPr>
      <w:r>
        <w:rPr>
          <w:b/>
          <w:bCs/>
          <w:color w:val="1a1a1a"/>
          <w:sz w:val="21"/>
          <w:szCs w:val="21"/>
        </w:rPr>
        <w:t xml:space="preserve">What broke. </w:t>
      </w:r>
      <w:r>
        <w:rPr>
          <w:color w:val="1a1a1a"/>
          <w:sz w:val="21"/>
          <w:szCs w:val="21"/>
        </w:rPr>
        <w:t xml:space="preserve">The publish step does a per-table replace-by-date — delete the day’s rows, then insert the fresh ones — and it is </w:t>
      </w:r>
      <w:r>
        <w:rPr>
          <w:b/>
          <w:bCs/>
          <w:color w:val="1a1a1a"/>
          <w:sz w:val="21"/>
          <w:szCs w:val="21"/>
        </w:rPr>
        <w:t xml:space="preserve">not transactional</w:t>
      </w:r>
      <w:r>
        <w:rPr>
          <w:color w:val="1a1a1a"/>
          <w:sz w:val="21"/>
          <w:szCs w:val="21"/>
        </w:rPr>
        <w:t xml:space="preserve">. A function that dies between the delete and the insert leaves that table empty for the day. I made it recoverable (a full re-run regenerates everything except the persistent decision/override tables), but the real lesson is sharper: </w:t>
      </w:r>
      <w:r>
        <w:rPr>
          <w:b/>
          <w:bCs/>
          <w:color w:val="1a1a1a"/>
          <w:sz w:val="21"/>
          <w:szCs w:val="21"/>
        </w:rPr>
        <w:t xml:space="preserve">any non-atomic write needs an idempotent recovery path designed in, not discovered in prod</w:t>
      </w:r>
      <w:r>
        <w:rPr>
          <w:color w:val="1a1a1a"/>
          <w:sz w:val="21"/>
          <w:szCs w:val="21"/>
        </w:rPr>
        <w:t xml:space="preserve">. That is exactly why durable queues and idempotent publish are first-class in the NeevCloud architecture above, rather than bolted on.</w:t>
      </w:r>
    </w:p>
    <w:p>
      <w:pPr>
        <w:pStyle w:val="ListParagraph"/>
        <w:numPr>
          <w:ilvl w:val="0"/>
          <w:numId w:val="2"/>
        </w:numPr>
        <w:spacing w:after="80" w:line="270"/>
      </w:pPr>
      <w:r>
        <w:rPr>
          <w:b/>
          <w:bCs/>
          <w:color w:val="1a1a1a"/>
          <w:sz w:val="21"/>
          <w:szCs w:val="21"/>
        </w:rPr>
        <w:t xml:space="preserve">What nearly broke quietly. </w:t>
      </w:r>
      <w:r>
        <w:rPr>
          <w:color w:val="1a1a1a"/>
          <w:sz w:val="21"/>
          <w:szCs w:val="21"/>
        </w:rPr>
        <w:t xml:space="preserve">The classifier cache is keyed on each posting’s source </w:t>
      </w:r>
      <w:r>
        <w:rPr>
          <w:rFonts w:ascii="Consolas" w:cs="Consolas" w:eastAsia="Consolas" w:hAnsi="Consolas"/>
          <w:color w:val="1f2a44"/>
          <w:sz w:val="19"/>
          <w:szCs w:val="19"/>
        </w:rPr>
        <w:t xml:space="preserve">id</w:t>
      </w:r>
      <w:r>
        <w:rPr>
          <w:color w:val="1a1a1a"/>
          <w:sz w:val="21"/>
          <w:szCs w:val="21"/>
        </w:rPr>
        <w:t xml:space="preserve">. If a source changes its ID format, the cache silently stops hitting and LLM cost spikes with no error. The discipline — </w:t>
      </w:r>
      <w:r>
        <w:rPr>
          <w:b/>
          <w:bCs/>
          <w:color w:val="1a1a1a"/>
          <w:sz w:val="21"/>
          <w:szCs w:val="21"/>
        </w:rPr>
        <w:t xml:space="preserve">validate that the key you cache on is stable before you architect on it</w:t>
      </w:r>
      <w:r>
        <w:rPr>
          <w:color w:val="1a1a1a"/>
          <w:sz w:val="21"/>
          <w:szCs w:val="21"/>
        </w:rPr>
        <w:t xml:space="preserve"> — is the same care this plan applies to crawl-state and dedupe keys.</w:t>
      </w:r>
    </w:p>
    <w:p>
      <w:pPr>
        <w:pStyle w:val="ListParagraph"/>
        <w:numPr>
          <w:ilvl w:val="0"/>
          <w:numId w:val="2"/>
        </w:numPr>
        <w:spacing w:after="80" w:line="270"/>
      </w:pPr>
      <w:r>
        <w:rPr>
          <w:b/>
          <w:bCs/>
          <w:color w:val="1a1a1a"/>
          <w:sz w:val="21"/>
          <w:szCs w:val="21"/>
        </w:rPr>
        <w:t xml:space="preserve">What I measured. </w:t>
      </w:r>
      <w:r>
        <w:rPr>
          <w:color w:val="1a1a1a"/>
          <w:sz w:val="21"/>
          <w:szCs w:val="21"/>
        </w:rPr>
        <w:t xml:space="preserve">Companies surfaced/day (target 10–30), cache-miss rate (the real cost driver), and outbound conversations/week — not "postings scanned." Cost was a hard design constraint (&lt;£100/month), so the cache-miss rate </w:t>
      </w:r>
      <w:r>
        <w:rPr>
          <w:i/>
          <w:iCs/>
          <w:color w:val="1a1a1a"/>
          <w:sz w:val="21"/>
          <w:szCs w:val="21"/>
        </w:rPr>
        <w:t xml:space="preserve">is</w:t>
      </w:r>
      <w:r>
        <w:rPr>
          <w:color w:val="1a1a1a"/>
          <w:sz w:val="21"/>
          <w:szCs w:val="21"/>
        </w:rPr>
        <w:t xml:space="preserve"> the unit-economics lever, the same way cost-per-indexed-page is here.</w:t>
      </w:r>
    </w:p>
    <w:p>
      <w:pPr>
        <w:spacing w:after="120" w:before="60" w:line="276"/>
      </w:pPr>
      <w:r>
        <w:rPr>
          <w:color w:val="1a1a1a"/>
          <w:sz w:val="21"/>
          <w:szCs w:val="21"/>
        </w:rPr>
        <w:t xml:space="preserve">I also run paperd.ink, an open-source E Ink hardware product shipped to 30+ countries — solo manufacturing, fulfillment, and a content/community GTM motion — and VoiceBench, a TTS-latency benchmarking tool. I build systems that ship and that I then have to keep running unattended. That operational lens — non-atomic writes, cache economics, silent cron failures — is exactly what I bring to the 80/week engine.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6b6b6b"/>
        <w:sz w:val="16"/>
        <w:szCs w:val="16"/>
      </w:rPr>
      <w:t xml:space="preserve">NeevCloud GTM Engineer Case Study — Prasad Khake</w:t>
    </w:r>
    <w:r>
      <w:rPr>
        <w:color w:val="6b6b6b"/>
        <w:sz w:val="16"/>
        <w:szCs w:val="16"/>
      </w:rPr>
      <w:t xml:space="preserve">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1542f" w:sz="6" w:space="4"/>
      </w:pBdr>
      <w:spacing w:after="160" w:before="36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2a44"/>
      <w:sz w:val="24"/>
      <w:szCs w:val="24"/>
    </w:rPr>
  </w:style>
  <w:style w:type="paragraph" w:styleId="Heading3">
    <w:name w:val="Heading 3"/>
    <w:basedOn w:val="Normal"/>
    <w:next w:val="Normal"/>
    <w:qFormat/>
    <w:pPr>
      <w:spacing w:after="70" w:before="160"/>
      <w:outlineLvl w:val="2"/>
    </w:pPr>
    <w:rPr>
      <w:rFonts w:ascii="Calibri" w:cs="Calibri" w:eastAsia="Calibri" w:hAnsi="Calibri"/>
      <w:b/>
      <w:bCs/>
      <w:color w:val="b1542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NeevCloud GTM Engineer Case Study — Technical Plan</dc:title>
  <dc:creator>Prasad Khake</dc:creator>
  <cp:lastModifiedBy>Un-named</cp:lastModifiedBy>
  <cp:revision>1</cp:revision>
  <dcterms:created xsi:type="dcterms:W3CDTF">2026-06-02T16:53:56.611Z</dcterms:created>
  <dcterms:modified xsi:type="dcterms:W3CDTF">2026-06-02T16:53:56.612Z</dcterms:modified>
</cp:coreProperties>
</file>

<file path=docProps/custom.xml><?xml version="1.0" encoding="utf-8"?>
<Properties xmlns="http://schemas.openxmlformats.org/officeDocument/2006/custom-properties" xmlns:vt="http://schemas.openxmlformats.org/officeDocument/2006/docPropsVTypes"/>
</file>