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32A69D" w14:textId="77777777" w:rsidR="00D67802" w:rsidRPr="00D67802" w:rsidRDefault="00D67802" w:rsidP="00D67802">
      <w:r w:rsidRPr="00D67802">
        <w:t xml:space="preserve">Below is a detailed interpretation of your output. Your query grouped users </w:t>
      </w:r>
      <w:proofErr w:type="gramStart"/>
      <w:r w:rsidRPr="00D67802">
        <w:t>by</w:t>
      </w:r>
      <w:proofErr w:type="gramEnd"/>
      <w:r w:rsidRPr="00D67802">
        <w:t xml:space="preserve"> the average discount they received and then calculated the churn rate for each discount group. The columns in your output represent:</w:t>
      </w:r>
    </w:p>
    <w:p w14:paraId="362EBA44" w14:textId="77777777" w:rsidR="00D67802" w:rsidRPr="00D67802" w:rsidRDefault="00D67802" w:rsidP="00D67802">
      <w:pPr>
        <w:numPr>
          <w:ilvl w:val="0"/>
          <w:numId w:val="1"/>
        </w:numPr>
      </w:pPr>
      <w:r w:rsidRPr="00D67802">
        <w:rPr>
          <w:b/>
          <w:bCs/>
        </w:rPr>
        <w:t>Discount Tier:</w:t>
      </w:r>
      <w:r w:rsidRPr="00D67802">
        <w:t xml:space="preserve"> The range or category of discounts offered to the users.</w:t>
      </w:r>
    </w:p>
    <w:p w14:paraId="39AC8564" w14:textId="77777777" w:rsidR="00D67802" w:rsidRPr="00D67802" w:rsidRDefault="00D67802" w:rsidP="00D67802">
      <w:pPr>
        <w:numPr>
          <w:ilvl w:val="0"/>
          <w:numId w:val="1"/>
        </w:numPr>
      </w:pPr>
      <w:r w:rsidRPr="00D67802">
        <w:rPr>
          <w:b/>
          <w:bCs/>
        </w:rPr>
        <w:t>Total Users:</w:t>
      </w:r>
      <w:r w:rsidRPr="00D67802">
        <w:t xml:space="preserve"> The number of users in that discount group.</w:t>
      </w:r>
    </w:p>
    <w:p w14:paraId="2A861A22" w14:textId="77777777" w:rsidR="00D67802" w:rsidRPr="00D67802" w:rsidRDefault="00D67802" w:rsidP="00D67802">
      <w:pPr>
        <w:numPr>
          <w:ilvl w:val="0"/>
          <w:numId w:val="1"/>
        </w:numPr>
      </w:pPr>
      <w:r w:rsidRPr="00D67802">
        <w:rPr>
          <w:b/>
          <w:bCs/>
        </w:rPr>
        <w:t>Churned Users:</w:t>
      </w:r>
      <w:r w:rsidRPr="00D67802">
        <w:t xml:space="preserve"> The number of users in that group who ultimately churned.</w:t>
      </w:r>
    </w:p>
    <w:p w14:paraId="75A544CB" w14:textId="77777777" w:rsidR="00D67802" w:rsidRPr="00D67802" w:rsidRDefault="00D67802" w:rsidP="00D67802">
      <w:pPr>
        <w:numPr>
          <w:ilvl w:val="0"/>
          <w:numId w:val="1"/>
        </w:numPr>
      </w:pPr>
      <w:r w:rsidRPr="00D67802">
        <w:rPr>
          <w:b/>
          <w:bCs/>
        </w:rPr>
        <w:t>Churn Rate (%):</w:t>
      </w:r>
      <w:r w:rsidRPr="00D67802">
        <w:t xml:space="preserve"> The percentage of users in the group who churned, calculated as (</w:t>
      </w:r>
      <w:proofErr w:type="spellStart"/>
      <w:r w:rsidRPr="00D67802">
        <w:t>churned_users</w:t>
      </w:r>
      <w:proofErr w:type="spellEnd"/>
      <w:r w:rsidRPr="00D67802">
        <w:t xml:space="preserve"> / </w:t>
      </w:r>
      <w:proofErr w:type="spellStart"/>
      <w:r w:rsidRPr="00D67802">
        <w:t>total_users</w:t>
      </w:r>
      <w:proofErr w:type="spellEnd"/>
      <w:r w:rsidRPr="00D67802">
        <w:t>) × 100.</w:t>
      </w:r>
    </w:p>
    <w:p w14:paraId="604D13A9" w14:textId="77777777" w:rsidR="00D67802" w:rsidRPr="00D67802" w:rsidRDefault="00D67802" w:rsidP="00D67802">
      <w:r w:rsidRPr="00D67802">
        <w:t>Your output shows these six groups: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9"/>
        <w:gridCol w:w="1269"/>
        <w:gridCol w:w="1691"/>
        <w:gridCol w:w="1694"/>
      </w:tblGrid>
      <w:tr w:rsidR="00D67802" w:rsidRPr="00D67802" w14:paraId="3780F7AF" w14:textId="77777777" w:rsidTr="00D67802">
        <w:trPr>
          <w:tblHeader/>
          <w:tblCellSpacing w:w="15" w:type="dxa"/>
        </w:trPr>
        <w:tc>
          <w:tcPr>
            <w:tcW w:w="0" w:type="auto"/>
            <w:vAlign w:val="center"/>
            <w:hideMark/>
          </w:tcPr>
          <w:p w14:paraId="07F8143D" w14:textId="77777777" w:rsidR="00D67802" w:rsidRPr="00D67802" w:rsidRDefault="00D67802" w:rsidP="00D67802">
            <w:pPr>
              <w:rPr>
                <w:b/>
                <w:bCs/>
              </w:rPr>
            </w:pPr>
            <w:r w:rsidRPr="00D67802">
              <w:rPr>
                <w:b/>
                <w:bCs/>
              </w:rPr>
              <w:t>Discount Tier</w:t>
            </w:r>
          </w:p>
        </w:tc>
        <w:tc>
          <w:tcPr>
            <w:tcW w:w="0" w:type="auto"/>
            <w:vAlign w:val="center"/>
            <w:hideMark/>
          </w:tcPr>
          <w:p w14:paraId="532D1378" w14:textId="77777777" w:rsidR="00D67802" w:rsidRPr="00D67802" w:rsidRDefault="00D67802" w:rsidP="00D67802">
            <w:pPr>
              <w:rPr>
                <w:b/>
                <w:bCs/>
              </w:rPr>
            </w:pPr>
            <w:r w:rsidRPr="00D67802">
              <w:rPr>
                <w:b/>
                <w:bCs/>
              </w:rPr>
              <w:t>Total Users</w:t>
            </w:r>
          </w:p>
        </w:tc>
        <w:tc>
          <w:tcPr>
            <w:tcW w:w="0" w:type="auto"/>
            <w:vAlign w:val="center"/>
            <w:hideMark/>
          </w:tcPr>
          <w:p w14:paraId="0350BBFD" w14:textId="77777777" w:rsidR="00D67802" w:rsidRPr="00D67802" w:rsidRDefault="00D67802" w:rsidP="00D67802">
            <w:pPr>
              <w:rPr>
                <w:b/>
                <w:bCs/>
              </w:rPr>
            </w:pPr>
            <w:r w:rsidRPr="00D67802">
              <w:rPr>
                <w:b/>
                <w:bCs/>
              </w:rPr>
              <w:t>Churned Users</w:t>
            </w:r>
          </w:p>
        </w:tc>
        <w:tc>
          <w:tcPr>
            <w:tcW w:w="0" w:type="auto"/>
            <w:vAlign w:val="center"/>
            <w:hideMark/>
          </w:tcPr>
          <w:p w14:paraId="4B4880C6" w14:textId="77777777" w:rsidR="00D67802" w:rsidRPr="00D67802" w:rsidRDefault="00D67802" w:rsidP="00D67802">
            <w:pPr>
              <w:rPr>
                <w:b/>
                <w:bCs/>
              </w:rPr>
            </w:pPr>
            <w:r w:rsidRPr="00D67802">
              <w:rPr>
                <w:b/>
                <w:bCs/>
              </w:rPr>
              <w:t>Churn Rate (%)</w:t>
            </w:r>
          </w:p>
        </w:tc>
      </w:tr>
      <w:tr w:rsidR="00D67802" w:rsidRPr="00D67802" w14:paraId="38BA1C41" w14:textId="77777777" w:rsidTr="00D67802">
        <w:trPr>
          <w:tblCellSpacing w:w="15" w:type="dxa"/>
        </w:trPr>
        <w:tc>
          <w:tcPr>
            <w:tcW w:w="0" w:type="auto"/>
            <w:vAlign w:val="center"/>
            <w:hideMark/>
          </w:tcPr>
          <w:p w14:paraId="69AAD78D" w14:textId="77777777" w:rsidR="00D67802" w:rsidRPr="00D67802" w:rsidRDefault="00D67802" w:rsidP="00D67802">
            <w:r w:rsidRPr="00D67802">
              <w:t>"No Data"</w:t>
            </w:r>
          </w:p>
        </w:tc>
        <w:tc>
          <w:tcPr>
            <w:tcW w:w="0" w:type="auto"/>
            <w:vAlign w:val="center"/>
            <w:hideMark/>
          </w:tcPr>
          <w:p w14:paraId="5A1C3A67" w14:textId="77777777" w:rsidR="00D67802" w:rsidRPr="00D67802" w:rsidRDefault="00D67802" w:rsidP="00D67802">
            <w:r w:rsidRPr="00D67802">
              <w:t>5,831</w:t>
            </w:r>
          </w:p>
        </w:tc>
        <w:tc>
          <w:tcPr>
            <w:tcW w:w="0" w:type="auto"/>
            <w:vAlign w:val="center"/>
            <w:hideMark/>
          </w:tcPr>
          <w:p w14:paraId="07F956C4" w14:textId="77777777" w:rsidR="00D67802" w:rsidRPr="00D67802" w:rsidRDefault="00D67802" w:rsidP="00D67802">
            <w:r w:rsidRPr="00D67802">
              <w:t>498</w:t>
            </w:r>
          </w:p>
        </w:tc>
        <w:tc>
          <w:tcPr>
            <w:tcW w:w="0" w:type="auto"/>
            <w:vAlign w:val="center"/>
            <w:hideMark/>
          </w:tcPr>
          <w:p w14:paraId="03824C69" w14:textId="77777777" w:rsidR="00D67802" w:rsidRPr="00D67802" w:rsidRDefault="00D67802" w:rsidP="00D67802">
            <w:r w:rsidRPr="00D67802">
              <w:t>8.54</w:t>
            </w:r>
          </w:p>
        </w:tc>
      </w:tr>
      <w:tr w:rsidR="00D67802" w:rsidRPr="00D67802" w14:paraId="0FE18070" w14:textId="77777777" w:rsidTr="00D67802">
        <w:trPr>
          <w:tblCellSpacing w:w="15" w:type="dxa"/>
        </w:trPr>
        <w:tc>
          <w:tcPr>
            <w:tcW w:w="0" w:type="auto"/>
            <w:vAlign w:val="center"/>
            <w:hideMark/>
          </w:tcPr>
          <w:p w14:paraId="56DAC7B9" w14:textId="77777777" w:rsidR="00D67802" w:rsidRPr="00D67802" w:rsidRDefault="00D67802" w:rsidP="00D67802">
            <w:r w:rsidRPr="00D67802">
              <w:t>"0-20%"</w:t>
            </w:r>
          </w:p>
        </w:tc>
        <w:tc>
          <w:tcPr>
            <w:tcW w:w="0" w:type="auto"/>
            <w:vAlign w:val="center"/>
            <w:hideMark/>
          </w:tcPr>
          <w:p w14:paraId="222CE371" w14:textId="77777777" w:rsidR="00D67802" w:rsidRPr="00D67802" w:rsidRDefault="00D67802" w:rsidP="00D67802">
            <w:r w:rsidRPr="00D67802">
              <w:t>23,872</w:t>
            </w:r>
          </w:p>
        </w:tc>
        <w:tc>
          <w:tcPr>
            <w:tcW w:w="0" w:type="auto"/>
            <w:vAlign w:val="center"/>
            <w:hideMark/>
          </w:tcPr>
          <w:p w14:paraId="2F1E3AB9" w14:textId="77777777" w:rsidR="00D67802" w:rsidRPr="00D67802" w:rsidRDefault="00D67802" w:rsidP="00D67802">
            <w:r w:rsidRPr="00D67802">
              <w:t>1,200</w:t>
            </w:r>
          </w:p>
        </w:tc>
        <w:tc>
          <w:tcPr>
            <w:tcW w:w="0" w:type="auto"/>
            <w:vAlign w:val="center"/>
            <w:hideMark/>
          </w:tcPr>
          <w:p w14:paraId="35BF886D" w14:textId="77777777" w:rsidR="00D67802" w:rsidRPr="00D67802" w:rsidRDefault="00D67802" w:rsidP="00D67802">
            <w:r w:rsidRPr="00D67802">
              <w:t>5.03</w:t>
            </w:r>
          </w:p>
        </w:tc>
      </w:tr>
      <w:tr w:rsidR="00D67802" w:rsidRPr="00D67802" w14:paraId="47E92B6A" w14:textId="77777777" w:rsidTr="00D67802">
        <w:trPr>
          <w:tblCellSpacing w:w="15" w:type="dxa"/>
        </w:trPr>
        <w:tc>
          <w:tcPr>
            <w:tcW w:w="0" w:type="auto"/>
            <w:vAlign w:val="center"/>
            <w:hideMark/>
          </w:tcPr>
          <w:p w14:paraId="5908FD10" w14:textId="77777777" w:rsidR="00D67802" w:rsidRPr="00D67802" w:rsidRDefault="00D67802" w:rsidP="00D67802">
            <w:r w:rsidRPr="00D67802">
              <w:t>"20-40%"</w:t>
            </w:r>
          </w:p>
        </w:tc>
        <w:tc>
          <w:tcPr>
            <w:tcW w:w="0" w:type="auto"/>
            <w:vAlign w:val="center"/>
            <w:hideMark/>
          </w:tcPr>
          <w:p w14:paraId="48E12761" w14:textId="77777777" w:rsidR="00D67802" w:rsidRPr="00D67802" w:rsidRDefault="00D67802" w:rsidP="00D67802">
            <w:r w:rsidRPr="00D67802">
              <w:t>45,257</w:t>
            </w:r>
          </w:p>
        </w:tc>
        <w:tc>
          <w:tcPr>
            <w:tcW w:w="0" w:type="auto"/>
            <w:vAlign w:val="center"/>
            <w:hideMark/>
          </w:tcPr>
          <w:p w14:paraId="00B0828B" w14:textId="77777777" w:rsidR="00D67802" w:rsidRPr="00D67802" w:rsidRDefault="00D67802" w:rsidP="00D67802">
            <w:r w:rsidRPr="00D67802">
              <w:t>3,220</w:t>
            </w:r>
          </w:p>
        </w:tc>
        <w:tc>
          <w:tcPr>
            <w:tcW w:w="0" w:type="auto"/>
            <w:vAlign w:val="center"/>
            <w:hideMark/>
          </w:tcPr>
          <w:p w14:paraId="0E8CBADB" w14:textId="77777777" w:rsidR="00D67802" w:rsidRPr="00D67802" w:rsidRDefault="00D67802" w:rsidP="00D67802">
            <w:r w:rsidRPr="00D67802">
              <w:t>7.11</w:t>
            </w:r>
          </w:p>
        </w:tc>
      </w:tr>
      <w:tr w:rsidR="00D67802" w:rsidRPr="00D67802" w14:paraId="32A3D5CD" w14:textId="77777777" w:rsidTr="00D67802">
        <w:trPr>
          <w:tblCellSpacing w:w="15" w:type="dxa"/>
        </w:trPr>
        <w:tc>
          <w:tcPr>
            <w:tcW w:w="0" w:type="auto"/>
            <w:vAlign w:val="center"/>
            <w:hideMark/>
          </w:tcPr>
          <w:p w14:paraId="57336E44" w14:textId="77777777" w:rsidR="00D67802" w:rsidRPr="00D67802" w:rsidRDefault="00D67802" w:rsidP="00D67802">
            <w:r w:rsidRPr="00D67802">
              <w:t>"40-60%"</w:t>
            </w:r>
          </w:p>
        </w:tc>
        <w:tc>
          <w:tcPr>
            <w:tcW w:w="0" w:type="auto"/>
            <w:vAlign w:val="center"/>
            <w:hideMark/>
          </w:tcPr>
          <w:p w14:paraId="6B1A064F" w14:textId="77777777" w:rsidR="00D67802" w:rsidRPr="00D67802" w:rsidRDefault="00D67802" w:rsidP="00D67802">
            <w:r w:rsidRPr="00D67802">
              <w:t>177,576</w:t>
            </w:r>
          </w:p>
        </w:tc>
        <w:tc>
          <w:tcPr>
            <w:tcW w:w="0" w:type="auto"/>
            <w:vAlign w:val="center"/>
            <w:hideMark/>
          </w:tcPr>
          <w:p w14:paraId="6070FC35" w14:textId="77777777" w:rsidR="00D67802" w:rsidRPr="00D67802" w:rsidRDefault="00D67802" w:rsidP="00D67802">
            <w:r w:rsidRPr="00D67802">
              <w:t>12,864</w:t>
            </w:r>
          </w:p>
        </w:tc>
        <w:tc>
          <w:tcPr>
            <w:tcW w:w="0" w:type="auto"/>
            <w:vAlign w:val="center"/>
            <w:hideMark/>
          </w:tcPr>
          <w:p w14:paraId="698872AA" w14:textId="77777777" w:rsidR="00D67802" w:rsidRPr="00D67802" w:rsidRDefault="00D67802" w:rsidP="00D67802">
            <w:r w:rsidRPr="00D67802">
              <w:t>7.24</w:t>
            </w:r>
          </w:p>
        </w:tc>
      </w:tr>
      <w:tr w:rsidR="00D67802" w:rsidRPr="00D67802" w14:paraId="0E33426F" w14:textId="77777777" w:rsidTr="00D67802">
        <w:trPr>
          <w:tblCellSpacing w:w="15" w:type="dxa"/>
        </w:trPr>
        <w:tc>
          <w:tcPr>
            <w:tcW w:w="0" w:type="auto"/>
            <w:vAlign w:val="center"/>
            <w:hideMark/>
          </w:tcPr>
          <w:p w14:paraId="524DDE7B" w14:textId="77777777" w:rsidR="00D67802" w:rsidRPr="00D67802" w:rsidRDefault="00D67802" w:rsidP="00D67802">
            <w:r w:rsidRPr="00D67802">
              <w:t>"60-80%"</w:t>
            </w:r>
          </w:p>
        </w:tc>
        <w:tc>
          <w:tcPr>
            <w:tcW w:w="0" w:type="auto"/>
            <w:vAlign w:val="center"/>
            <w:hideMark/>
          </w:tcPr>
          <w:p w14:paraId="105CF9B1" w14:textId="77777777" w:rsidR="00D67802" w:rsidRPr="00D67802" w:rsidRDefault="00D67802" w:rsidP="00D67802">
            <w:r w:rsidRPr="00D67802">
              <w:t>423,547</w:t>
            </w:r>
          </w:p>
        </w:tc>
        <w:tc>
          <w:tcPr>
            <w:tcW w:w="0" w:type="auto"/>
            <w:vAlign w:val="center"/>
            <w:hideMark/>
          </w:tcPr>
          <w:p w14:paraId="59E3A915" w14:textId="77777777" w:rsidR="00D67802" w:rsidRPr="00D67802" w:rsidRDefault="00D67802" w:rsidP="00D67802">
            <w:r w:rsidRPr="00D67802">
              <w:t>27,684</w:t>
            </w:r>
          </w:p>
        </w:tc>
        <w:tc>
          <w:tcPr>
            <w:tcW w:w="0" w:type="auto"/>
            <w:vAlign w:val="center"/>
            <w:hideMark/>
          </w:tcPr>
          <w:p w14:paraId="0DDA63CC" w14:textId="77777777" w:rsidR="00D67802" w:rsidRPr="00D67802" w:rsidRDefault="00D67802" w:rsidP="00D67802">
            <w:r w:rsidRPr="00D67802">
              <w:t>6.54</w:t>
            </w:r>
          </w:p>
        </w:tc>
      </w:tr>
      <w:tr w:rsidR="00D67802" w:rsidRPr="00D67802" w14:paraId="76659692" w14:textId="77777777" w:rsidTr="00D67802">
        <w:trPr>
          <w:tblCellSpacing w:w="15" w:type="dxa"/>
        </w:trPr>
        <w:tc>
          <w:tcPr>
            <w:tcW w:w="0" w:type="auto"/>
            <w:vAlign w:val="center"/>
            <w:hideMark/>
          </w:tcPr>
          <w:p w14:paraId="5F884E13" w14:textId="77777777" w:rsidR="00D67802" w:rsidRPr="00D67802" w:rsidRDefault="00D67802" w:rsidP="00D67802">
            <w:r w:rsidRPr="00D67802">
              <w:t>"80-100%"</w:t>
            </w:r>
          </w:p>
        </w:tc>
        <w:tc>
          <w:tcPr>
            <w:tcW w:w="0" w:type="auto"/>
            <w:vAlign w:val="center"/>
            <w:hideMark/>
          </w:tcPr>
          <w:p w14:paraId="0B28201F" w14:textId="77777777" w:rsidR="00D67802" w:rsidRPr="00D67802" w:rsidRDefault="00D67802" w:rsidP="00D67802">
            <w:r w:rsidRPr="00D67802">
              <w:t>201,078</w:t>
            </w:r>
          </w:p>
        </w:tc>
        <w:tc>
          <w:tcPr>
            <w:tcW w:w="0" w:type="auto"/>
            <w:vAlign w:val="center"/>
            <w:hideMark/>
          </w:tcPr>
          <w:p w14:paraId="1D650A59" w14:textId="77777777" w:rsidR="00D67802" w:rsidRPr="00D67802" w:rsidRDefault="00D67802" w:rsidP="00D67802">
            <w:r w:rsidRPr="00D67802">
              <w:t>12,189</w:t>
            </w:r>
          </w:p>
        </w:tc>
        <w:tc>
          <w:tcPr>
            <w:tcW w:w="0" w:type="auto"/>
            <w:vAlign w:val="center"/>
            <w:hideMark/>
          </w:tcPr>
          <w:p w14:paraId="484ABDF1" w14:textId="77777777" w:rsidR="00D67802" w:rsidRPr="00D67802" w:rsidRDefault="00D67802" w:rsidP="00D67802">
            <w:r w:rsidRPr="00D67802">
              <w:t>6.06</w:t>
            </w:r>
          </w:p>
        </w:tc>
      </w:tr>
    </w:tbl>
    <w:p w14:paraId="324E5EF1" w14:textId="77777777" w:rsidR="00D67802" w:rsidRPr="00D67802" w:rsidRDefault="00D67802" w:rsidP="00D67802">
      <w:pPr>
        <w:rPr>
          <w:b/>
          <w:bCs/>
        </w:rPr>
      </w:pPr>
      <w:r w:rsidRPr="00D67802">
        <w:rPr>
          <w:b/>
          <w:bCs/>
        </w:rPr>
        <w:t>Key Insights</w:t>
      </w:r>
    </w:p>
    <w:p w14:paraId="039D1FCB" w14:textId="77777777" w:rsidR="00D67802" w:rsidRPr="00D67802" w:rsidRDefault="00D67802" w:rsidP="00D67802">
      <w:pPr>
        <w:numPr>
          <w:ilvl w:val="0"/>
          <w:numId w:val="2"/>
        </w:numPr>
      </w:pPr>
      <w:r w:rsidRPr="00D67802">
        <w:rPr>
          <w:b/>
          <w:bCs/>
        </w:rPr>
        <w:t>"No Data" Group (8.54% Churn Rate):</w:t>
      </w:r>
    </w:p>
    <w:p w14:paraId="3DD952DD" w14:textId="77777777" w:rsidR="00D67802" w:rsidRPr="00D67802" w:rsidRDefault="00D67802" w:rsidP="00D67802">
      <w:pPr>
        <w:numPr>
          <w:ilvl w:val="1"/>
          <w:numId w:val="2"/>
        </w:numPr>
      </w:pPr>
      <w:r w:rsidRPr="00D67802">
        <w:t>This group represents users for whom discount information is missing.</w:t>
      </w:r>
    </w:p>
    <w:p w14:paraId="554CB0E4" w14:textId="77777777" w:rsidR="00D67802" w:rsidRPr="00D67802" w:rsidRDefault="00D67802" w:rsidP="00D67802">
      <w:pPr>
        <w:numPr>
          <w:ilvl w:val="1"/>
          <w:numId w:val="2"/>
        </w:numPr>
      </w:pPr>
      <w:r w:rsidRPr="00D67802">
        <w:t>They account for 5,831 users with an 8.54% churn rate, which is the highest among all groups.</w:t>
      </w:r>
    </w:p>
    <w:p w14:paraId="7A2AF50A" w14:textId="77777777" w:rsidR="00D67802" w:rsidRPr="00D67802" w:rsidRDefault="00D67802" w:rsidP="00D67802">
      <w:pPr>
        <w:numPr>
          <w:ilvl w:val="1"/>
          <w:numId w:val="2"/>
        </w:numPr>
      </w:pPr>
      <w:r w:rsidRPr="00D67802">
        <w:rPr>
          <w:b/>
          <w:bCs/>
        </w:rPr>
        <w:t>Interpretation:</w:t>
      </w:r>
      <w:r w:rsidRPr="00D67802">
        <w:t xml:space="preserve"> The absence of recorded discount data may indicate issues such as irregular discount practices or data tracking problems. This group might require further investigation to understand why they receive no discount information and why their churn rate is relatively high.</w:t>
      </w:r>
    </w:p>
    <w:p w14:paraId="5D077525" w14:textId="77777777" w:rsidR="00D67802" w:rsidRPr="00D67802" w:rsidRDefault="00D67802" w:rsidP="00D67802">
      <w:pPr>
        <w:numPr>
          <w:ilvl w:val="0"/>
          <w:numId w:val="2"/>
        </w:numPr>
      </w:pPr>
      <w:r w:rsidRPr="00D67802">
        <w:rPr>
          <w:b/>
          <w:bCs/>
        </w:rPr>
        <w:t>"0-20%" Group (5.03% Churn Rate):</w:t>
      </w:r>
    </w:p>
    <w:p w14:paraId="0225F7AB" w14:textId="77777777" w:rsidR="00D67802" w:rsidRPr="00D67802" w:rsidRDefault="00D67802" w:rsidP="00D67802">
      <w:pPr>
        <w:numPr>
          <w:ilvl w:val="1"/>
          <w:numId w:val="2"/>
        </w:numPr>
      </w:pPr>
      <w:r w:rsidRPr="00D67802">
        <w:t>With 23,872 users, this group shows the lowest churn rate at 5.03%.</w:t>
      </w:r>
    </w:p>
    <w:p w14:paraId="059B0BD4" w14:textId="77777777" w:rsidR="00D67802" w:rsidRPr="00D67802" w:rsidRDefault="00D67802" w:rsidP="00D67802">
      <w:pPr>
        <w:numPr>
          <w:ilvl w:val="1"/>
          <w:numId w:val="2"/>
        </w:numPr>
      </w:pPr>
      <w:r w:rsidRPr="00D67802">
        <w:rPr>
          <w:b/>
          <w:bCs/>
        </w:rPr>
        <w:lastRenderedPageBreak/>
        <w:t>Interpretation:</w:t>
      </w:r>
      <w:r w:rsidRPr="00D67802">
        <w:t xml:space="preserve"> Minimal </w:t>
      </w:r>
      <w:proofErr w:type="gramStart"/>
      <w:r w:rsidRPr="00D67802">
        <w:t>discounting</w:t>
      </w:r>
      <w:proofErr w:type="gramEnd"/>
      <w:r w:rsidRPr="00D67802">
        <w:t xml:space="preserve"> (between 0 and 20%) appears to be associated with better retention, suggesting that small discounts may be sufficient to incentivize continued usage without eroding customer value.</w:t>
      </w:r>
    </w:p>
    <w:p w14:paraId="28217A0B" w14:textId="77777777" w:rsidR="00D67802" w:rsidRPr="00D67802" w:rsidRDefault="00D67802" w:rsidP="00D67802">
      <w:pPr>
        <w:numPr>
          <w:ilvl w:val="0"/>
          <w:numId w:val="2"/>
        </w:numPr>
      </w:pPr>
      <w:r w:rsidRPr="00D67802">
        <w:rPr>
          <w:b/>
          <w:bCs/>
        </w:rPr>
        <w:t>Moderate Discount Tiers ("20-40%" and "40-60%"):</w:t>
      </w:r>
    </w:p>
    <w:p w14:paraId="2753C10B" w14:textId="77777777" w:rsidR="00D67802" w:rsidRPr="00D67802" w:rsidRDefault="00D67802" w:rsidP="00D67802">
      <w:pPr>
        <w:numPr>
          <w:ilvl w:val="1"/>
          <w:numId w:val="2"/>
        </w:numPr>
      </w:pPr>
      <w:r w:rsidRPr="00D67802">
        <w:t>The "20-40%" group includes 45,257 users with a churn rate of 7.11%.</w:t>
      </w:r>
    </w:p>
    <w:p w14:paraId="53219168" w14:textId="77777777" w:rsidR="00D67802" w:rsidRPr="00D67802" w:rsidRDefault="00D67802" w:rsidP="00D67802">
      <w:pPr>
        <w:numPr>
          <w:ilvl w:val="1"/>
          <w:numId w:val="2"/>
        </w:numPr>
      </w:pPr>
      <w:r w:rsidRPr="00D67802">
        <w:t>The "40-60%" group includes 177,576 users with a churn rate of 7.24%.</w:t>
      </w:r>
    </w:p>
    <w:p w14:paraId="49D43323" w14:textId="77777777" w:rsidR="00D67802" w:rsidRPr="00D67802" w:rsidRDefault="00D67802" w:rsidP="00D67802">
      <w:pPr>
        <w:numPr>
          <w:ilvl w:val="1"/>
          <w:numId w:val="2"/>
        </w:numPr>
      </w:pPr>
      <w:r w:rsidRPr="00D67802">
        <w:rPr>
          <w:b/>
          <w:bCs/>
        </w:rPr>
        <w:t>Interpretation:</w:t>
      </w:r>
      <w:r w:rsidRPr="00D67802">
        <w:t xml:space="preserve"> Users receiving moderate discounts tend to churn at a higher rate than those in the 0-20% group. This could imply that higher discount offers in these ranges might be attracting users who are already more price-sensitive or less loyal, leading to increased churn. It could also mean that the discount level isn’t sufficient to drive retention among users who need a stronger incentive, yet it isn’t so high as to bind them to the service.</w:t>
      </w:r>
    </w:p>
    <w:p w14:paraId="6CBA9A88" w14:textId="77777777" w:rsidR="00D67802" w:rsidRPr="00D67802" w:rsidRDefault="00D67802" w:rsidP="00D67802">
      <w:pPr>
        <w:numPr>
          <w:ilvl w:val="0"/>
          <w:numId w:val="2"/>
        </w:numPr>
      </w:pPr>
      <w:r w:rsidRPr="00D67802">
        <w:rPr>
          <w:b/>
          <w:bCs/>
        </w:rPr>
        <w:t>Higher Discount Tiers ("60-80%" and "80-100%"):</w:t>
      </w:r>
    </w:p>
    <w:p w14:paraId="4DC744EC" w14:textId="77777777" w:rsidR="00D67802" w:rsidRPr="00D67802" w:rsidRDefault="00D67802" w:rsidP="00D67802">
      <w:pPr>
        <w:numPr>
          <w:ilvl w:val="1"/>
          <w:numId w:val="2"/>
        </w:numPr>
      </w:pPr>
      <w:r w:rsidRPr="00D67802">
        <w:t>The "60-80%" tier shows 423,547 users with a churn rate of 6.54%.</w:t>
      </w:r>
    </w:p>
    <w:p w14:paraId="70ABF2C4" w14:textId="77777777" w:rsidR="00D67802" w:rsidRPr="00D67802" w:rsidRDefault="00D67802" w:rsidP="00D67802">
      <w:pPr>
        <w:numPr>
          <w:ilvl w:val="1"/>
          <w:numId w:val="2"/>
        </w:numPr>
      </w:pPr>
      <w:r w:rsidRPr="00D67802">
        <w:t>The "80-100%" tier comprises 201,078 users with a churn rate of 6.06%.</w:t>
      </w:r>
    </w:p>
    <w:p w14:paraId="0F8D2BAA" w14:textId="77777777" w:rsidR="00D67802" w:rsidRPr="00D67802" w:rsidRDefault="00D67802" w:rsidP="00D67802">
      <w:pPr>
        <w:numPr>
          <w:ilvl w:val="1"/>
          <w:numId w:val="2"/>
        </w:numPr>
      </w:pPr>
      <w:r w:rsidRPr="00D67802">
        <w:rPr>
          <w:b/>
          <w:bCs/>
        </w:rPr>
        <w:t>Interpretation:</w:t>
      </w:r>
      <w:r w:rsidRPr="00D67802">
        <w:t xml:space="preserve"> Interestingly, as discounts increase into these higher tiers, the churn rate decreases relative to the moderate discount tiers. This could suggest that when very high discounts are offered, they are more effective at retaining customers—perhaps because the discount is significant enough to create a stronger incentive for continued usage. Alternatively, it might be that these high-discount users are a distinct segment with different behavior patterns.</w:t>
      </w:r>
    </w:p>
    <w:p w14:paraId="35D0BFF2" w14:textId="77777777" w:rsidR="00D67802" w:rsidRPr="00D67802" w:rsidRDefault="00D67802" w:rsidP="00D67802">
      <w:pPr>
        <w:rPr>
          <w:b/>
          <w:bCs/>
        </w:rPr>
      </w:pPr>
      <w:r w:rsidRPr="00D67802">
        <w:rPr>
          <w:b/>
          <w:bCs/>
        </w:rPr>
        <w:t>Overall Considerations</w:t>
      </w:r>
    </w:p>
    <w:p w14:paraId="246080AE" w14:textId="77777777" w:rsidR="00D67802" w:rsidRPr="00D67802" w:rsidRDefault="00D67802" w:rsidP="00D67802">
      <w:pPr>
        <w:numPr>
          <w:ilvl w:val="0"/>
          <w:numId w:val="3"/>
        </w:numPr>
      </w:pPr>
      <w:r w:rsidRPr="00D67802">
        <w:rPr>
          <w:b/>
          <w:bCs/>
        </w:rPr>
        <w:t>Retention Strategy:</w:t>
      </w:r>
      <w:r w:rsidRPr="00D67802">
        <w:br/>
        <w:t>The group with minimal discounts ("0-20%") has the lowest churn rate, hinting that offering small, well-targeted discounts might be most effective for retention.</w:t>
      </w:r>
    </w:p>
    <w:p w14:paraId="25355DEB" w14:textId="77777777" w:rsidR="00D67802" w:rsidRPr="00D67802" w:rsidRDefault="00D67802" w:rsidP="00D67802">
      <w:pPr>
        <w:numPr>
          <w:ilvl w:val="0"/>
          <w:numId w:val="3"/>
        </w:numPr>
      </w:pPr>
      <w:r w:rsidRPr="00D67802">
        <w:rPr>
          <w:b/>
          <w:bCs/>
        </w:rPr>
        <w:t>Data Gaps:</w:t>
      </w:r>
      <w:r w:rsidRPr="00D67802">
        <w:br/>
        <w:t>The "No Data" group’s high churn rate points to a potential issue in discount tracking or customer segmentation that may need to be addressed.</w:t>
      </w:r>
    </w:p>
    <w:p w14:paraId="0B60B786" w14:textId="77777777" w:rsidR="00D67802" w:rsidRPr="00D67802" w:rsidRDefault="00D67802" w:rsidP="00D67802">
      <w:pPr>
        <w:numPr>
          <w:ilvl w:val="0"/>
          <w:numId w:val="3"/>
        </w:numPr>
      </w:pPr>
      <w:r w:rsidRPr="00D67802">
        <w:rPr>
          <w:b/>
          <w:bCs/>
        </w:rPr>
        <w:t>Segmented Analysis:</w:t>
      </w:r>
      <w:r w:rsidRPr="00D67802">
        <w:br/>
        <w:t xml:space="preserve">The non-monotonic trend in churn rates (with moderate discounts showing higher churn than very low or very high discounts) suggests that discount strategy might </w:t>
      </w:r>
      <w:r w:rsidRPr="00D67802">
        <w:lastRenderedPageBreak/>
        <w:t>need to be tailored to different customer segments. It may be worth investigating whether customers receiving very high discounts are doing so as a retention measure for customers already at high risk or if they represent a different demographic altogether.</w:t>
      </w:r>
    </w:p>
    <w:p w14:paraId="186D372B" w14:textId="77777777" w:rsidR="00D67802" w:rsidRPr="00D67802" w:rsidRDefault="00D67802" w:rsidP="00D67802">
      <w:r w:rsidRPr="00D67802">
        <w:t>In summary, the output suggests that while small discounts (0-20%) are associated with the lowest churn, other discount levels exhibit higher churn rates, and missing discount information is a red flag. These insights can help guide further analysis and inform strategies to optimize discount offers for better customer retention.</w:t>
      </w:r>
    </w:p>
    <w:p w14:paraId="30EA3BE5" w14:textId="77777777" w:rsidR="00D67802" w:rsidRPr="00D67802" w:rsidRDefault="00D67802" w:rsidP="00D67802">
      <w:r w:rsidRPr="00D67802">
        <w:t>o3-mini-high</w:t>
      </w:r>
    </w:p>
    <w:p w14:paraId="2508A0C7" w14:textId="77777777" w:rsidR="00D67802" w:rsidRPr="00D67802" w:rsidRDefault="00D67802" w:rsidP="00D67802">
      <w:pPr>
        <w:rPr>
          <w:vanish/>
        </w:rPr>
      </w:pPr>
      <w:r w:rsidRPr="00D67802">
        <w:rPr>
          <w:vanish/>
        </w:rPr>
        <w:t>Top of Form</w:t>
      </w:r>
    </w:p>
    <w:p w14:paraId="570CAAF0" w14:textId="77777777" w:rsidR="00D67802" w:rsidRPr="00D67802" w:rsidRDefault="00D67802" w:rsidP="00D67802">
      <w:pPr>
        <w:rPr>
          <w:vanish/>
        </w:rPr>
      </w:pPr>
      <w:r w:rsidRPr="00D67802">
        <w:rPr>
          <w:vanish/>
        </w:rPr>
        <w:t>Bottom of Form</w:t>
      </w:r>
    </w:p>
    <w:p w14:paraId="34A3825E" w14:textId="77777777" w:rsidR="00C86F34" w:rsidRDefault="00C86F34"/>
    <w:sectPr w:rsidR="00C86F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FC059D"/>
    <w:multiLevelType w:val="multilevel"/>
    <w:tmpl w:val="EEE0C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8F2306"/>
    <w:multiLevelType w:val="multilevel"/>
    <w:tmpl w:val="B5A04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D2750D"/>
    <w:multiLevelType w:val="multilevel"/>
    <w:tmpl w:val="9086F8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28529119">
    <w:abstractNumId w:val="0"/>
  </w:num>
  <w:num w:numId="2" w16cid:durableId="2018656948">
    <w:abstractNumId w:val="2"/>
  </w:num>
  <w:num w:numId="3" w16cid:durableId="8378406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A88"/>
    <w:rsid w:val="003536FF"/>
    <w:rsid w:val="00453BC5"/>
    <w:rsid w:val="008F3A44"/>
    <w:rsid w:val="00A12775"/>
    <w:rsid w:val="00C711A0"/>
    <w:rsid w:val="00C86F34"/>
    <w:rsid w:val="00CC7A88"/>
    <w:rsid w:val="00D03FCB"/>
    <w:rsid w:val="00D241C1"/>
    <w:rsid w:val="00D67802"/>
    <w:rsid w:val="00D81F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C07EAA-0D78-4ACF-8590-6FD6C49A3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7A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C7A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7A8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7A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7A8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7A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7A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7A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7A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7A8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C7A8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C7A8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7A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7A8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7A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7A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7A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7A88"/>
    <w:rPr>
      <w:rFonts w:eastAsiaTheme="majorEastAsia" w:cstheme="majorBidi"/>
      <w:color w:val="272727" w:themeColor="text1" w:themeTint="D8"/>
    </w:rPr>
  </w:style>
  <w:style w:type="paragraph" w:styleId="Title">
    <w:name w:val="Title"/>
    <w:basedOn w:val="Normal"/>
    <w:next w:val="Normal"/>
    <w:link w:val="TitleChar"/>
    <w:uiPriority w:val="10"/>
    <w:qFormat/>
    <w:rsid w:val="00CC7A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7A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7A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7A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7A88"/>
    <w:pPr>
      <w:spacing w:before="160"/>
      <w:jc w:val="center"/>
    </w:pPr>
    <w:rPr>
      <w:i/>
      <w:iCs/>
      <w:color w:val="404040" w:themeColor="text1" w:themeTint="BF"/>
    </w:rPr>
  </w:style>
  <w:style w:type="character" w:customStyle="1" w:styleId="QuoteChar">
    <w:name w:val="Quote Char"/>
    <w:basedOn w:val="DefaultParagraphFont"/>
    <w:link w:val="Quote"/>
    <w:uiPriority w:val="29"/>
    <w:rsid w:val="00CC7A88"/>
    <w:rPr>
      <w:i/>
      <w:iCs/>
      <w:color w:val="404040" w:themeColor="text1" w:themeTint="BF"/>
    </w:rPr>
  </w:style>
  <w:style w:type="paragraph" w:styleId="ListParagraph">
    <w:name w:val="List Paragraph"/>
    <w:basedOn w:val="Normal"/>
    <w:uiPriority w:val="34"/>
    <w:qFormat/>
    <w:rsid w:val="00CC7A88"/>
    <w:pPr>
      <w:ind w:left="720"/>
      <w:contextualSpacing/>
    </w:pPr>
  </w:style>
  <w:style w:type="character" w:styleId="IntenseEmphasis">
    <w:name w:val="Intense Emphasis"/>
    <w:basedOn w:val="DefaultParagraphFont"/>
    <w:uiPriority w:val="21"/>
    <w:qFormat/>
    <w:rsid w:val="00CC7A88"/>
    <w:rPr>
      <w:i/>
      <w:iCs/>
      <w:color w:val="0F4761" w:themeColor="accent1" w:themeShade="BF"/>
    </w:rPr>
  </w:style>
  <w:style w:type="paragraph" w:styleId="IntenseQuote">
    <w:name w:val="Intense Quote"/>
    <w:basedOn w:val="Normal"/>
    <w:next w:val="Normal"/>
    <w:link w:val="IntenseQuoteChar"/>
    <w:uiPriority w:val="30"/>
    <w:qFormat/>
    <w:rsid w:val="00CC7A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7A88"/>
    <w:rPr>
      <w:i/>
      <w:iCs/>
      <w:color w:val="0F4761" w:themeColor="accent1" w:themeShade="BF"/>
    </w:rPr>
  </w:style>
  <w:style w:type="character" w:styleId="IntenseReference">
    <w:name w:val="Intense Reference"/>
    <w:basedOn w:val="DefaultParagraphFont"/>
    <w:uiPriority w:val="32"/>
    <w:qFormat/>
    <w:rsid w:val="00CC7A8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5725279">
      <w:bodyDiv w:val="1"/>
      <w:marLeft w:val="0"/>
      <w:marRight w:val="0"/>
      <w:marTop w:val="0"/>
      <w:marBottom w:val="0"/>
      <w:divBdr>
        <w:top w:val="none" w:sz="0" w:space="0" w:color="auto"/>
        <w:left w:val="none" w:sz="0" w:space="0" w:color="auto"/>
        <w:bottom w:val="none" w:sz="0" w:space="0" w:color="auto"/>
        <w:right w:val="none" w:sz="0" w:space="0" w:color="auto"/>
      </w:divBdr>
      <w:divsChild>
        <w:div w:id="920144183">
          <w:marLeft w:val="0"/>
          <w:marRight w:val="0"/>
          <w:marTop w:val="0"/>
          <w:marBottom w:val="0"/>
          <w:divBdr>
            <w:top w:val="none" w:sz="0" w:space="0" w:color="auto"/>
            <w:left w:val="none" w:sz="0" w:space="0" w:color="auto"/>
            <w:bottom w:val="none" w:sz="0" w:space="0" w:color="auto"/>
            <w:right w:val="none" w:sz="0" w:space="0" w:color="auto"/>
          </w:divBdr>
          <w:divsChild>
            <w:div w:id="1544321070">
              <w:marLeft w:val="0"/>
              <w:marRight w:val="0"/>
              <w:marTop w:val="0"/>
              <w:marBottom w:val="0"/>
              <w:divBdr>
                <w:top w:val="none" w:sz="0" w:space="0" w:color="auto"/>
                <w:left w:val="none" w:sz="0" w:space="0" w:color="auto"/>
                <w:bottom w:val="none" w:sz="0" w:space="0" w:color="auto"/>
                <w:right w:val="none" w:sz="0" w:space="0" w:color="auto"/>
              </w:divBdr>
              <w:divsChild>
                <w:div w:id="514002380">
                  <w:marLeft w:val="0"/>
                  <w:marRight w:val="0"/>
                  <w:marTop w:val="0"/>
                  <w:marBottom w:val="0"/>
                  <w:divBdr>
                    <w:top w:val="none" w:sz="0" w:space="0" w:color="auto"/>
                    <w:left w:val="none" w:sz="0" w:space="0" w:color="auto"/>
                    <w:bottom w:val="none" w:sz="0" w:space="0" w:color="auto"/>
                    <w:right w:val="none" w:sz="0" w:space="0" w:color="auto"/>
                  </w:divBdr>
                  <w:divsChild>
                    <w:div w:id="1095832258">
                      <w:marLeft w:val="0"/>
                      <w:marRight w:val="0"/>
                      <w:marTop w:val="0"/>
                      <w:marBottom w:val="0"/>
                      <w:divBdr>
                        <w:top w:val="none" w:sz="0" w:space="0" w:color="auto"/>
                        <w:left w:val="none" w:sz="0" w:space="0" w:color="auto"/>
                        <w:bottom w:val="none" w:sz="0" w:space="0" w:color="auto"/>
                        <w:right w:val="none" w:sz="0" w:space="0" w:color="auto"/>
                      </w:divBdr>
                      <w:divsChild>
                        <w:div w:id="209807996">
                          <w:marLeft w:val="0"/>
                          <w:marRight w:val="0"/>
                          <w:marTop w:val="0"/>
                          <w:marBottom w:val="0"/>
                          <w:divBdr>
                            <w:top w:val="none" w:sz="0" w:space="0" w:color="auto"/>
                            <w:left w:val="none" w:sz="0" w:space="0" w:color="auto"/>
                            <w:bottom w:val="none" w:sz="0" w:space="0" w:color="auto"/>
                            <w:right w:val="none" w:sz="0" w:space="0" w:color="auto"/>
                          </w:divBdr>
                          <w:divsChild>
                            <w:div w:id="255328953">
                              <w:marLeft w:val="0"/>
                              <w:marRight w:val="0"/>
                              <w:marTop w:val="0"/>
                              <w:marBottom w:val="0"/>
                              <w:divBdr>
                                <w:top w:val="none" w:sz="0" w:space="0" w:color="auto"/>
                                <w:left w:val="none" w:sz="0" w:space="0" w:color="auto"/>
                                <w:bottom w:val="none" w:sz="0" w:space="0" w:color="auto"/>
                                <w:right w:val="none" w:sz="0" w:space="0" w:color="auto"/>
                              </w:divBdr>
                              <w:divsChild>
                                <w:div w:id="29230074">
                                  <w:marLeft w:val="0"/>
                                  <w:marRight w:val="0"/>
                                  <w:marTop w:val="0"/>
                                  <w:marBottom w:val="0"/>
                                  <w:divBdr>
                                    <w:top w:val="none" w:sz="0" w:space="0" w:color="auto"/>
                                    <w:left w:val="none" w:sz="0" w:space="0" w:color="auto"/>
                                    <w:bottom w:val="none" w:sz="0" w:space="0" w:color="auto"/>
                                    <w:right w:val="none" w:sz="0" w:space="0" w:color="auto"/>
                                  </w:divBdr>
                                  <w:divsChild>
                                    <w:div w:id="726609760">
                                      <w:marLeft w:val="0"/>
                                      <w:marRight w:val="0"/>
                                      <w:marTop w:val="0"/>
                                      <w:marBottom w:val="0"/>
                                      <w:divBdr>
                                        <w:top w:val="none" w:sz="0" w:space="0" w:color="auto"/>
                                        <w:left w:val="none" w:sz="0" w:space="0" w:color="auto"/>
                                        <w:bottom w:val="none" w:sz="0" w:space="0" w:color="auto"/>
                                        <w:right w:val="none" w:sz="0" w:space="0" w:color="auto"/>
                                      </w:divBdr>
                                      <w:divsChild>
                                        <w:div w:id="2063290413">
                                          <w:marLeft w:val="0"/>
                                          <w:marRight w:val="0"/>
                                          <w:marTop w:val="0"/>
                                          <w:marBottom w:val="0"/>
                                          <w:divBdr>
                                            <w:top w:val="none" w:sz="0" w:space="0" w:color="auto"/>
                                            <w:left w:val="none" w:sz="0" w:space="0" w:color="auto"/>
                                            <w:bottom w:val="none" w:sz="0" w:space="0" w:color="auto"/>
                                            <w:right w:val="none" w:sz="0" w:space="0" w:color="auto"/>
                                          </w:divBdr>
                                          <w:divsChild>
                                            <w:div w:id="509951340">
                                              <w:marLeft w:val="0"/>
                                              <w:marRight w:val="0"/>
                                              <w:marTop w:val="0"/>
                                              <w:marBottom w:val="0"/>
                                              <w:divBdr>
                                                <w:top w:val="none" w:sz="0" w:space="0" w:color="auto"/>
                                                <w:left w:val="none" w:sz="0" w:space="0" w:color="auto"/>
                                                <w:bottom w:val="none" w:sz="0" w:space="0" w:color="auto"/>
                                                <w:right w:val="none" w:sz="0" w:space="0" w:color="auto"/>
                                              </w:divBdr>
                                              <w:divsChild>
                                                <w:div w:id="818153476">
                                                  <w:marLeft w:val="0"/>
                                                  <w:marRight w:val="0"/>
                                                  <w:marTop w:val="0"/>
                                                  <w:marBottom w:val="0"/>
                                                  <w:divBdr>
                                                    <w:top w:val="none" w:sz="0" w:space="0" w:color="auto"/>
                                                    <w:left w:val="none" w:sz="0" w:space="0" w:color="auto"/>
                                                    <w:bottom w:val="none" w:sz="0" w:space="0" w:color="auto"/>
                                                    <w:right w:val="none" w:sz="0" w:space="0" w:color="auto"/>
                                                  </w:divBdr>
                                                  <w:divsChild>
                                                    <w:div w:id="1165584506">
                                                      <w:marLeft w:val="0"/>
                                                      <w:marRight w:val="0"/>
                                                      <w:marTop w:val="0"/>
                                                      <w:marBottom w:val="0"/>
                                                      <w:divBdr>
                                                        <w:top w:val="none" w:sz="0" w:space="0" w:color="auto"/>
                                                        <w:left w:val="none" w:sz="0" w:space="0" w:color="auto"/>
                                                        <w:bottom w:val="none" w:sz="0" w:space="0" w:color="auto"/>
                                                        <w:right w:val="none" w:sz="0" w:space="0" w:color="auto"/>
                                                      </w:divBdr>
                                                      <w:divsChild>
                                                        <w:div w:id="1002782510">
                                                          <w:marLeft w:val="0"/>
                                                          <w:marRight w:val="0"/>
                                                          <w:marTop w:val="0"/>
                                                          <w:marBottom w:val="0"/>
                                                          <w:divBdr>
                                                            <w:top w:val="none" w:sz="0" w:space="0" w:color="auto"/>
                                                            <w:left w:val="none" w:sz="0" w:space="0" w:color="auto"/>
                                                            <w:bottom w:val="none" w:sz="0" w:space="0" w:color="auto"/>
                                                            <w:right w:val="none" w:sz="0" w:space="0" w:color="auto"/>
                                                          </w:divBdr>
                                                          <w:divsChild>
                                                            <w:div w:id="31110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5110077">
                                          <w:marLeft w:val="0"/>
                                          <w:marRight w:val="0"/>
                                          <w:marTop w:val="0"/>
                                          <w:marBottom w:val="0"/>
                                          <w:divBdr>
                                            <w:top w:val="none" w:sz="0" w:space="0" w:color="auto"/>
                                            <w:left w:val="none" w:sz="0" w:space="0" w:color="auto"/>
                                            <w:bottom w:val="none" w:sz="0" w:space="0" w:color="auto"/>
                                            <w:right w:val="none" w:sz="0" w:space="0" w:color="auto"/>
                                          </w:divBdr>
                                          <w:divsChild>
                                            <w:div w:id="1657145782">
                                              <w:marLeft w:val="0"/>
                                              <w:marRight w:val="0"/>
                                              <w:marTop w:val="0"/>
                                              <w:marBottom w:val="0"/>
                                              <w:divBdr>
                                                <w:top w:val="none" w:sz="0" w:space="0" w:color="auto"/>
                                                <w:left w:val="none" w:sz="0" w:space="0" w:color="auto"/>
                                                <w:bottom w:val="none" w:sz="0" w:space="0" w:color="auto"/>
                                                <w:right w:val="none" w:sz="0" w:space="0" w:color="auto"/>
                                              </w:divBdr>
                                              <w:divsChild>
                                                <w:div w:id="185214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68567659">
          <w:marLeft w:val="0"/>
          <w:marRight w:val="0"/>
          <w:marTop w:val="0"/>
          <w:marBottom w:val="0"/>
          <w:divBdr>
            <w:top w:val="none" w:sz="0" w:space="0" w:color="auto"/>
            <w:left w:val="none" w:sz="0" w:space="0" w:color="auto"/>
            <w:bottom w:val="none" w:sz="0" w:space="0" w:color="auto"/>
            <w:right w:val="none" w:sz="0" w:space="0" w:color="auto"/>
          </w:divBdr>
          <w:divsChild>
            <w:div w:id="1014460243">
              <w:marLeft w:val="0"/>
              <w:marRight w:val="0"/>
              <w:marTop w:val="0"/>
              <w:marBottom w:val="0"/>
              <w:divBdr>
                <w:top w:val="none" w:sz="0" w:space="0" w:color="auto"/>
                <w:left w:val="none" w:sz="0" w:space="0" w:color="auto"/>
                <w:bottom w:val="none" w:sz="0" w:space="0" w:color="auto"/>
                <w:right w:val="none" w:sz="0" w:space="0" w:color="auto"/>
              </w:divBdr>
              <w:divsChild>
                <w:div w:id="935672244">
                  <w:marLeft w:val="0"/>
                  <w:marRight w:val="0"/>
                  <w:marTop w:val="0"/>
                  <w:marBottom w:val="0"/>
                  <w:divBdr>
                    <w:top w:val="none" w:sz="0" w:space="0" w:color="auto"/>
                    <w:left w:val="none" w:sz="0" w:space="0" w:color="auto"/>
                    <w:bottom w:val="none" w:sz="0" w:space="0" w:color="auto"/>
                    <w:right w:val="none" w:sz="0" w:space="0" w:color="auto"/>
                  </w:divBdr>
                  <w:divsChild>
                    <w:div w:id="320669144">
                      <w:marLeft w:val="0"/>
                      <w:marRight w:val="0"/>
                      <w:marTop w:val="0"/>
                      <w:marBottom w:val="0"/>
                      <w:divBdr>
                        <w:top w:val="none" w:sz="0" w:space="0" w:color="auto"/>
                        <w:left w:val="none" w:sz="0" w:space="0" w:color="auto"/>
                        <w:bottom w:val="none" w:sz="0" w:space="0" w:color="auto"/>
                        <w:right w:val="none" w:sz="0" w:space="0" w:color="auto"/>
                      </w:divBdr>
                      <w:divsChild>
                        <w:div w:id="134115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0204635">
      <w:bodyDiv w:val="1"/>
      <w:marLeft w:val="0"/>
      <w:marRight w:val="0"/>
      <w:marTop w:val="0"/>
      <w:marBottom w:val="0"/>
      <w:divBdr>
        <w:top w:val="none" w:sz="0" w:space="0" w:color="auto"/>
        <w:left w:val="none" w:sz="0" w:space="0" w:color="auto"/>
        <w:bottom w:val="none" w:sz="0" w:space="0" w:color="auto"/>
        <w:right w:val="none" w:sz="0" w:space="0" w:color="auto"/>
      </w:divBdr>
      <w:divsChild>
        <w:div w:id="77404933">
          <w:marLeft w:val="0"/>
          <w:marRight w:val="0"/>
          <w:marTop w:val="0"/>
          <w:marBottom w:val="0"/>
          <w:divBdr>
            <w:top w:val="none" w:sz="0" w:space="0" w:color="auto"/>
            <w:left w:val="none" w:sz="0" w:space="0" w:color="auto"/>
            <w:bottom w:val="none" w:sz="0" w:space="0" w:color="auto"/>
            <w:right w:val="none" w:sz="0" w:space="0" w:color="auto"/>
          </w:divBdr>
          <w:divsChild>
            <w:div w:id="2017146747">
              <w:marLeft w:val="0"/>
              <w:marRight w:val="0"/>
              <w:marTop w:val="0"/>
              <w:marBottom w:val="0"/>
              <w:divBdr>
                <w:top w:val="none" w:sz="0" w:space="0" w:color="auto"/>
                <w:left w:val="none" w:sz="0" w:space="0" w:color="auto"/>
                <w:bottom w:val="none" w:sz="0" w:space="0" w:color="auto"/>
                <w:right w:val="none" w:sz="0" w:space="0" w:color="auto"/>
              </w:divBdr>
              <w:divsChild>
                <w:div w:id="607933452">
                  <w:marLeft w:val="0"/>
                  <w:marRight w:val="0"/>
                  <w:marTop w:val="0"/>
                  <w:marBottom w:val="0"/>
                  <w:divBdr>
                    <w:top w:val="none" w:sz="0" w:space="0" w:color="auto"/>
                    <w:left w:val="none" w:sz="0" w:space="0" w:color="auto"/>
                    <w:bottom w:val="none" w:sz="0" w:space="0" w:color="auto"/>
                    <w:right w:val="none" w:sz="0" w:space="0" w:color="auto"/>
                  </w:divBdr>
                  <w:divsChild>
                    <w:div w:id="970600219">
                      <w:marLeft w:val="0"/>
                      <w:marRight w:val="0"/>
                      <w:marTop w:val="0"/>
                      <w:marBottom w:val="0"/>
                      <w:divBdr>
                        <w:top w:val="none" w:sz="0" w:space="0" w:color="auto"/>
                        <w:left w:val="none" w:sz="0" w:space="0" w:color="auto"/>
                        <w:bottom w:val="none" w:sz="0" w:space="0" w:color="auto"/>
                        <w:right w:val="none" w:sz="0" w:space="0" w:color="auto"/>
                      </w:divBdr>
                      <w:divsChild>
                        <w:div w:id="15691211">
                          <w:marLeft w:val="0"/>
                          <w:marRight w:val="0"/>
                          <w:marTop w:val="0"/>
                          <w:marBottom w:val="0"/>
                          <w:divBdr>
                            <w:top w:val="none" w:sz="0" w:space="0" w:color="auto"/>
                            <w:left w:val="none" w:sz="0" w:space="0" w:color="auto"/>
                            <w:bottom w:val="none" w:sz="0" w:space="0" w:color="auto"/>
                            <w:right w:val="none" w:sz="0" w:space="0" w:color="auto"/>
                          </w:divBdr>
                          <w:divsChild>
                            <w:div w:id="1697121911">
                              <w:marLeft w:val="0"/>
                              <w:marRight w:val="0"/>
                              <w:marTop w:val="0"/>
                              <w:marBottom w:val="0"/>
                              <w:divBdr>
                                <w:top w:val="none" w:sz="0" w:space="0" w:color="auto"/>
                                <w:left w:val="none" w:sz="0" w:space="0" w:color="auto"/>
                                <w:bottom w:val="none" w:sz="0" w:space="0" w:color="auto"/>
                                <w:right w:val="none" w:sz="0" w:space="0" w:color="auto"/>
                              </w:divBdr>
                              <w:divsChild>
                                <w:div w:id="1887330737">
                                  <w:marLeft w:val="0"/>
                                  <w:marRight w:val="0"/>
                                  <w:marTop w:val="0"/>
                                  <w:marBottom w:val="0"/>
                                  <w:divBdr>
                                    <w:top w:val="none" w:sz="0" w:space="0" w:color="auto"/>
                                    <w:left w:val="none" w:sz="0" w:space="0" w:color="auto"/>
                                    <w:bottom w:val="none" w:sz="0" w:space="0" w:color="auto"/>
                                    <w:right w:val="none" w:sz="0" w:space="0" w:color="auto"/>
                                  </w:divBdr>
                                  <w:divsChild>
                                    <w:div w:id="1793671839">
                                      <w:marLeft w:val="0"/>
                                      <w:marRight w:val="0"/>
                                      <w:marTop w:val="0"/>
                                      <w:marBottom w:val="0"/>
                                      <w:divBdr>
                                        <w:top w:val="none" w:sz="0" w:space="0" w:color="auto"/>
                                        <w:left w:val="none" w:sz="0" w:space="0" w:color="auto"/>
                                        <w:bottom w:val="none" w:sz="0" w:space="0" w:color="auto"/>
                                        <w:right w:val="none" w:sz="0" w:space="0" w:color="auto"/>
                                      </w:divBdr>
                                      <w:divsChild>
                                        <w:div w:id="830367942">
                                          <w:marLeft w:val="0"/>
                                          <w:marRight w:val="0"/>
                                          <w:marTop w:val="0"/>
                                          <w:marBottom w:val="0"/>
                                          <w:divBdr>
                                            <w:top w:val="none" w:sz="0" w:space="0" w:color="auto"/>
                                            <w:left w:val="none" w:sz="0" w:space="0" w:color="auto"/>
                                            <w:bottom w:val="none" w:sz="0" w:space="0" w:color="auto"/>
                                            <w:right w:val="none" w:sz="0" w:space="0" w:color="auto"/>
                                          </w:divBdr>
                                          <w:divsChild>
                                            <w:div w:id="2141652870">
                                              <w:marLeft w:val="0"/>
                                              <w:marRight w:val="0"/>
                                              <w:marTop w:val="0"/>
                                              <w:marBottom w:val="0"/>
                                              <w:divBdr>
                                                <w:top w:val="none" w:sz="0" w:space="0" w:color="auto"/>
                                                <w:left w:val="none" w:sz="0" w:space="0" w:color="auto"/>
                                                <w:bottom w:val="none" w:sz="0" w:space="0" w:color="auto"/>
                                                <w:right w:val="none" w:sz="0" w:space="0" w:color="auto"/>
                                              </w:divBdr>
                                              <w:divsChild>
                                                <w:div w:id="370688161">
                                                  <w:marLeft w:val="0"/>
                                                  <w:marRight w:val="0"/>
                                                  <w:marTop w:val="0"/>
                                                  <w:marBottom w:val="0"/>
                                                  <w:divBdr>
                                                    <w:top w:val="none" w:sz="0" w:space="0" w:color="auto"/>
                                                    <w:left w:val="none" w:sz="0" w:space="0" w:color="auto"/>
                                                    <w:bottom w:val="none" w:sz="0" w:space="0" w:color="auto"/>
                                                    <w:right w:val="none" w:sz="0" w:space="0" w:color="auto"/>
                                                  </w:divBdr>
                                                  <w:divsChild>
                                                    <w:div w:id="58944450">
                                                      <w:marLeft w:val="0"/>
                                                      <w:marRight w:val="0"/>
                                                      <w:marTop w:val="0"/>
                                                      <w:marBottom w:val="0"/>
                                                      <w:divBdr>
                                                        <w:top w:val="none" w:sz="0" w:space="0" w:color="auto"/>
                                                        <w:left w:val="none" w:sz="0" w:space="0" w:color="auto"/>
                                                        <w:bottom w:val="none" w:sz="0" w:space="0" w:color="auto"/>
                                                        <w:right w:val="none" w:sz="0" w:space="0" w:color="auto"/>
                                                      </w:divBdr>
                                                      <w:divsChild>
                                                        <w:div w:id="2106804719">
                                                          <w:marLeft w:val="0"/>
                                                          <w:marRight w:val="0"/>
                                                          <w:marTop w:val="0"/>
                                                          <w:marBottom w:val="0"/>
                                                          <w:divBdr>
                                                            <w:top w:val="none" w:sz="0" w:space="0" w:color="auto"/>
                                                            <w:left w:val="none" w:sz="0" w:space="0" w:color="auto"/>
                                                            <w:bottom w:val="none" w:sz="0" w:space="0" w:color="auto"/>
                                                            <w:right w:val="none" w:sz="0" w:space="0" w:color="auto"/>
                                                          </w:divBdr>
                                                          <w:divsChild>
                                                            <w:div w:id="154063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4689328">
                                          <w:marLeft w:val="0"/>
                                          <w:marRight w:val="0"/>
                                          <w:marTop w:val="0"/>
                                          <w:marBottom w:val="0"/>
                                          <w:divBdr>
                                            <w:top w:val="none" w:sz="0" w:space="0" w:color="auto"/>
                                            <w:left w:val="none" w:sz="0" w:space="0" w:color="auto"/>
                                            <w:bottom w:val="none" w:sz="0" w:space="0" w:color="auto"/>
                                            <w:right w:val="none" w:sz="0" w:space="0" w:color="auto"/>
                                          </w:divBdr>
                                          <w:divsChild>
                                            <w:div w:id="443962434">
                                              <w:marLeft w:val="0"/>
                                              <w:marRight w:val="0"/>
                                              <w:marTop w:val="0"/>
                                              <w:marBottom w:val="0"/>
                                              <w:divBdr>
                                                <w:top w:val="none" w:sz="0" w:space="0" w:color="auto"/>
                                                <w:left w:val="none" w:sz="0" w:space="0" w:color="auto"/>
                                                <w:bottom w:val="none" w:sz="0" w:space="0" w:color="auto"/>
                                                <w:right w:val="none" w:sz="0" w:space="0" w:color="auto"/>
                                              </w:divBdr>
                                              <w:divsChild>
                                                <w:div w:id="54048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20055743">
          <w:marLeft w:val="0"/>
          <w:marRight w:val="0"/>
          <w:marTop w:val="0"/>
          <w:marBottom w:val="0"/>
          <w:divBdr>
            <w:top w:val="none" w:sz="0" w:space="0" w:color="auto"/>
            <w:left w:val="none" w:sz="0" w:space="0" w:color="auto"/>
            <w:bottom w:val="none" w:sz="0" w:space="0" w:color="auto"/>
            <w:right w:val="none" w:sz="0" w:space="0" w:color="auto"/>
          </w:divBdr>
          <w:divsChild>
            <w:div w:id="1384400651">
              <w:marLeft w:val="0"/>
              <w:marRight w:val="0"/>
              <w:marTop w:val="0"/>
              <w:marBottom w:val="0"/>
              <w:divBdr>
                <w:top w:val="none" w:sz="0" w:space="0" w:color="auto"/>
                <w:left w:val="none" w:sz="0" w:space="0" w:color="auto"/>
                <w:bottom w:val="none" w:sz="0" w:space="0" w:color="auto"/>
                <w:right w:val="none" w:sz="0" w:space="0" w:color="auto"/>
              </w:divBdr>
              <w:divsChild>
                <w:div w:id="631255746">
                  <w:marLeft w:val="0"/>
                  <w:marRight w:val="0"/>
                  <w:marTop w:val="0"/>
                  <w:marBottom w:val="0"/>
                  <w:divBdr>
                    <w:top w:val="none" w:sz="0" w:space="0" w:color="auto"/>
                    <w:left w:val="none" w:sz="0" w:space="0" w:color="auto"/>
                    <w:bottom w:val="none" w:sz="0" w:space="0" w:color="auto"/>
                    <w:right w:val="none" w:sz="0" w:space="0" w:color="auto"/>
                  </w:divBdr>
                  <w:divsChild>
                    <w:div w:id="537157843">
                      <w:marLeft w:val="0"/>
                      <w:marRight w:val="0"/>
                      <w:marTop w:val="0"/>
                      <w:marBottom w:val="0"/>
                      <w:divBdr>
                        <w:top w:val="none" w:sz="0" w:space="0" w:color="auto"/>
                        <w:left w:val="none" w:sz="0" w:space="0" w:color="auto"/>
                        <w:bottom w:val="none" w:sz="0" w:space="0" w:color="auto"/>
                        <w:right w:val="none" w:sz="0" w:space="0" w:color="auto"/>
                      </w:divBdr>
                      <w:divsChild>
                        <w:div w:id="47507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609</Words>
  <Characters>3472</Characters>
  <Application>Microsoft Office Word</Application>
  <DocSecurity>0</DocSecurity>
  <Lines>28</Lines>
  <Paragraphs>8</Paragraphs>
  <ScaleCrop>false</ScaleCrop>
  <Company/>
  <LinksUpToDate>false</LinksUpToDate>
  <CharactersWithSpaces>4073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Lupo</dc:creator>
  <cp:keywords/>
  <dc:description/>
  <cp:lastModifiedBy>Robert Lupo</cp:lastModifiedBy>
  <cp:revision>2</cp:revision>
  <dcterms:created xsi:type="dcterms:W3CDTF">2025-04-09T21:01:00Z</dcterms:created>
  <dcterms:modified xsi:type="dcterms:W3CDTF">2025-04-09T21:02:00Z</dcterms:modified>
</cp:coreProperties>
</file>