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6gl3dmdt2un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7: Finanza e Business (per Professionisti Tecnici)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qs5iavwuzmf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1.693290734824"/>
        <w:gridCol w:w="3967.284345047923"/>
        <w:gridCol w:w="2801.0223642172523"/>
        <w:tblGridChange w:id="0">
          <w:tblGrid>
            <w:gridCol w:w="2591.693290734824"/>
            <w:gridCol w:w="3967.284345047923"/>
            <w:gridCol w:w="2801.022364217252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Regime Forfettario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reddito netto, l'imposta sostitutiva e i contributi (Gestione Separata INPS o Cassa) partendo dal fatturato annuo (regime forfettario).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/finanza-business/calcolo-regime-forfettario-netto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Contributi Inarcassa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 contributi minimi (soggettivo, integrativo) e quelli a conguaglio (% sul volume d'affari) dovuti a Inarcassa da ingegneri e architetti.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/finanza-business/calcolo-contributi-inarcassa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Tariffa Oraria Professionista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Determina la tariffa oraria minima per coprire costi fissi (studio, software), tasse, contributi e generare l'utile desiderato (break-even).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/finanza-business/calcolo-tariffa-oraria-professionista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Rata Mutuo (Ammortamento Francese)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l'importo della rata costante (quota capitale + quota interessi) di un mutuo o finanziamento a tasso fisso (ammortamento francese).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/finanza-business/calcolo-rata-mutuo-ammortamento-francese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VAN e TIR (NPV/IRR)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Valore Attuale Netto (VAN) e il Tasso Interno di Rendimento (TIR) per valutare la profittabilità di un investimento (es. operazione immobiliare).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/finanza-business/calcolo-van-tir-npv-irr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Corrispettivo (Decreto Parametri)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il compenso professionale per lavori pubblici (e privati) secondo il "Decreto Parametri" (DM 17/06/2016) in base a V, G, Q, 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/finanza-business/calcolo-corrispettivo-decreto-parametri-dm-2016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ROI (Return on Investment)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Ritorno sull'Investimento (ROI) e il tempo di payback per valutare l'efficienza di un investimento (es. acquisto attrezzatura).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/finanza-business/calcolo-roi-return-on-investment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Scorporo e Calcolo IVA (Reverse Charge)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l'IVA (scorporo dall'imponibile o calcolo dal totale) e gestisce il calcolo per il meccanismo del Reverse Charge (inversione contabile).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/finanza-business/calcolo-scorporo-iva-reverse-charge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Interesse Composto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montante futuro di un capitale (investimento) o il valore attuale di una somma futura, basandosi sulla formula dell'interesse composto.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/finanza-business/calcolo-interesse-composto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Break-Even Point (Punto di Pareggio)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fatturato minimo (o n° di prestazioni) necessario per coprire tutti i costi fissi e variabili dello studio professionale.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/finanza-business/calcolo-break-even-point-studio-tecnico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evnms2prf90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1.884984025559"/>
        <w:gridCol w:w="3772.907348242811"/>
        <w:gridCol w:w="3055.207667731629"/>
        <w:tblGridChange w:id="0">
          <w:tblGrid>
            <w:gridCol w:w="2531.884984025559"/>
            <w:gridCol w:w="3772.907348242811"/>
            <w:gridCol w:w="3055.20766773162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 Regime Forfettario [Anno Corrente]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funziona il regime forfettario: requisiti di accesso, coefficiente di redditività, calcolo tasse e contributi (con esempi).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/guide/guida-regime-forfettario-professionisti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Inarcassa vs Gestione Separata INPS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alla scelta della previdenza per ingegneri/architetti: differenze, obblighi, costi e benefici delle due gestioni (Rif. Legge 22/05/2012).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/guide/inarcassa-vs-gestione-separata-inps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Calcolare i Parametri (DM 17/06/2016)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 Decreto Parametri: il significato dei parametri V (valore opera), G (grado complessità), Q (prestazione) e P (specificità).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/guide/spiegazione-decreto-parametri-dm-2016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Determinare la Tariffa Oraria (Metodo)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metodo pratico per calcolare la propria tariffa oraria: analisi dei costi fissi (affitto, software), variabili, ore fatturabili e margine.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/guide/come-calcolare-tariffa-oraria-professionista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 VAN e TIR: Valutare Investimenti Immobiliari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usare VAN (NPV) e TIR (IRR) per decidere se un'operazione di sviluppo o acquisto immobiliare è economicamente vantaggiosa.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/guide/guida-van-tir-valutazione-investimenti-immobiliari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Ammortamento Francese: Spiegazione Pratica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funziona l'ammortamento alla francese (rata costante): la scomposizione della rata in quota capitale (crescente) e quota interessi (decrescente).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/guide/ammortamento-francese-spiegazione-calcolo-rata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ROI, ROE, ROA: Capire gli Indici di Redditività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semplice dei principali indici di bilancio (ROI, ROE, ROA) per monitorare la salute finanziaria del proprio studio o progetto.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/guide/differenza-roi-roe-roa-indici-redditivita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 Reverse Charge (Edilizia): Come Funziona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al meccanismo dell'inversione contabile (IVA): quando si applica nel settore edile (subappalti) e come gestirlo in fattura.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/guide/guida-reverse-charge-edilizia-iva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Leasing vs Acquisto: Cosa Conviene al Professionista?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Un'analisi comparativa dei costi/benefici fiscali e finanziari dell'acquisto di un bene (es. auto, PC) rispetto al leasing o al noleggio.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/guide/leasing-vs-acquisto-beni-strumentali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 Business Plan dello Studio Tecnico: Guida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strutturare un business plan per un ingegnere o architetto: analisi di mercato, piano dei costi e previsione dei ricavi (Break-Even).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/guide/business-plan-studio-tecnico-ingegneria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