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AFB" w:rsidRPr="00EA22A1" w:rsidRDefault="00EA22A1" w:rsidP="00EA22A1">
      <w:pPr>
        <w:pStyle w:val="Title"/>
      </w:pPr>
      <w:r w:rsidRPr="00EA22A1">
        <w:t>Financial Information</w:t>
      </w:r>
    </w:p>
    <w:p w:rsidR="00EA22A1" w:rsidRPr="00EA22A1" w:rsidRDefault="00EA22A1">
      <w:pPr>
        <w:rPr>
          <w:sz w:val="28"/>
          <w:szCs w:val="28"/>
        </w:rPr>
      </w:pPr>
    </w:p>
    <w:p w:rsidR="00EA22A1" w:rsidRDefault="00EA22A1" w:rsidP="00EA22A1">
      <w:pPr>
        <w:pStyle w:val="Heading1"/>
      </w:pPr>
      <w:r w:rsidRPr="00EA22A1">
        <w:t>The Big Four Accounting Firms</w:t>
      </w:r>
    </w:p>
    <w:p w:rsidR="00EA22A1" w:rsidRDefault="00EA22A1" w:rsidP="00EA22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Deloitte</w:t>
      </w:r>
    </w:p>
    <w:p w:rsidR="00EA22A1" w:rsidRDefault="00EA22A1" w:rsidP="00EA22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PWC – PricewaterhouseCoopers</w:t>
      </w:r>
    </w:p>
    <w:p w:rsidR="00EA22A1" w:rsidRDefault="00EA22A1" w:rsidP="00EA22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E&amp;R – Ernst &amp; Young</w:t>
      </w:r>
    </w:p>
    <w:p w:rsidR="00EA22A1" w:rsidRDefault="00EA22A1" w:rsidP="00EA22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KPMG</w:t>
      </w:r>
    </w:p>
    <w:p w:rsidR="0080182F" w:rsidRDefault="0080182F" w:rsidP="0080182F">
      <w:pPr>
        <w:pStyle w:val="Heading1"/>
      </w:pPr>
      <w:r>
        <w:t>Bank Capital Requirements</w:t>
      </w:r>
    </w:p>
    <w:p w:rsidR="0080182F" w:rsidRDefault="0080182F" w:rsidP="0080182F">
      <w:pPr>
        <w:rPr>
          <w:sz w:val="28"/>
          <w:szCs w:val="28"/>
        </w:rPr>
      </w:pPr>
      <w:r>
        <w:rPr>
          <w:sz w:val="28"/>
          <w:szCs w:val="28"/>
        </w:rPr>
        <w:t xml:space="preserve">Capital is a cushion against potential losses. </w:t>
      </w:r>
    </w:p>
    <w:p w:rsidR="0080182F" w:rsidRPr="0080182F" w:rsidRDefault="0080182F" w:rsidP="004F44EA">
      <w:pPr>
        <w:pStyle w:val="Heading2"/>
        <w:rPr>
          <w:rFonts w:eastAsia="Times New Roman"/>
        </w:rPr>
      </w:pPr>
      <w:r w:rsidRPr="0080182F">
        <w:rPr>
          <w:rFonts w:eastAsia="Times New Roman"/>
          <w:u w:val="single"/>
        </w:rPr>
        <w:t>Core capital</w:t>
      </w:r>
      <w:r w:rsidRPr="0080182F">
        <w:rPr>
          <w:rFonts w:eastAsia="Times New Roman"/>
        </w:rPr>
        <w:t xml:space="preserve"> is the minimum amount of capital that a </w:t>
      </w:r>
      <w:hyperlink r:id="rId6" w:history="1">
        <w:r w:rsidRPr="0080182F">
          <w:rPr>
            <w:rFonts w:eastAsia="Times New Roman"/>
            <w:color w:val="0000FF"/>
            <w:u w:val="single"/>
          </w:rPr>
          <w:t>thrift bank</w:t>
        </w:r>
      </w:hyperlink>
      <w:r w:rsidRPr="0080182F">
        <w:rPr>
          <w:rFonts w:eastAsia="Times New Roman"/>
        </w:rPr>
        <w:t xml:space="preserve">, such as a </w:t>
      </w:r>
      <w:hyperlink r:id="rId7" w:history="1">
        <w:r w:rsidRPr="0080182F">
          <w:rPr>
            <w:rFonts w:eastAsia="Times New Roman"/>
            <w:color w:val="0000FF"/>
            <w:u w:val="single"/>
          </w:rPr>
          <w:t>savings</w:t>
        </w:r>
      </w:hyperlink>
      <w:r w:rsidRPr="0080182F">
        <w:rPr>
          <w:rFonts w:eastAsia="Times New Roman"/>
        </w:rPr>
        <w:t xml:space="preserve"> bank or savings and loan company, must have on hand in order to comply with Federal Home Loan Bank regulations. Core capital consists </w:t>
      </w:r>
      <w:hyperlink r:id="rId8" w:history="1">
        <w:r w:rsidRPr="0080182F">
          <w:rPr>
            <w:rFonts w:eastAsia="Times New Roman"/>
            <w:color w:val="0000FF"/>
            <w:u w:val="single"/>
          </w:rPr>
          <w:t>of equity capital</w:t>
        </w:r>
      </w:hyperlink>
      <w:r w:rsidRPr="0080182F">
        <w:rPr>
          <w:rFonts w:eastAsia="Times New Roman"/>
        </w:rPr>
        <w:t xml:space="preserve"> and declared reserves.</w:t>
      </w:r>
    </w:p>
    <w:p w:rsidR="0080182F" w:rsidRPr="0080182F" w:rsidRDefault="0080182F" w:rsidP="0080182F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r w:rsidRPr="0080182F">
        <w:rPr>
          <w:rFonts w:eastAsia="Times New Roman" w:cs="Times New Roman"/>
          <w:color w:val="000000"/>
          <w:sz w:val="28"/>
          <w:szCs w:val="28"/>
        </w:rPr>
        <w:br/>
        <w:t xml:space="preserve">Read more: </w:t>
      </w:r>
      <w:hyperlink r:id="rId9" w:anchor="ixzz4EnZvu24v" w:history="1">
        <w:r w:rsidRPr="0080182F">
          <w:rPr>
            <w:rFonts w:eastAsia="Times New Roman" w:cs="Times New Roman"/>
            <w:color w:val="003399"/>
            <w:sz w:val="28"/>
            <w:szCs w:val="28"/>
            <w:u w:val="single"/>
          </w:rPr>
          <w:t>Core Capital Definition | Investopedia</w:t>
        </w:r>
      </w:hyperlink>
      <w:r w:rsidRPr="0080182F">
        <w:rPr>
          <w:rFonts w:eastAsia="Times New Roman" w:cs="Times New Roman"/>
          <w:color w:val="000000"/>
          <w:sz w:val="28"/>
          <w:szCs w:val="28"/>
        </w:rPr>
        <w:t xml:space="preserve"> </w:t>
      </w:r>
      <w:hyperlink r:id="rId10" w:anchor="ixzz4EnZvu24v" w:history="1">
        <w:r w:rsidRPr="0080182F">
          <w:rPr>
            <w:rFonts w:eastAsia="Times New Roman" w:cs="Times New Roman"/>
            <w:color w:val="003399"/>
            <w:sz w:val="28"/>
            <w:szCs w:val="28"/>
            <w:u w:val="single"/>
          </w:rPr>
          <w:t>http://www.investopedia.com/terms/c/core-capital.asp#ixzz4EnZvu24v</w:t>
        </w:r>
      </w:hyperlink>
      <w:r w:rsidRPr="0080182F"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80182F">
        <w:rPr>
          <w:rFonts w:eastAsia="Times New Roman" w:cs="Times New Roman"/>
          <w:color w:val="000000"/>
          <w:sz w:val="28"/>
          <w:szCs w:val="28"/>
        </w:rPr>
        <w:br/>
        <w:t xml:space="preserve">Follow us: </w:t>
      </w:r>
      <w:hyperlink r:id="rId11" w:tgtFrame="_blank" w:history="1">
        <w:r w:rsidRPr="0080182F">
          <w:rPr>
            <w:rFonts w:eastAsia="Times New Roman" w:cs="Times New Roman"/>
            <w:color w:val="0000FF"/>
            <w:sz w:val="28"/>
            <w:szCs w:val="28"/>
            <w:u w:val="single"/>
          </w:rPr>
          <w:t>Investopedia on Facebook</w:t>
        </w:r>
      </w:hyperlink>
    </w:p>
    <w:p w:rsidR="0080182F" w:rsidRDefault="0080182F" w:rsidP="0080182F">
      <w:pPr>
        <w:rPr>
          <w:sz w:val="28"/>
          <w:szCs w:val="28"/>
        </w:rPr>
      </w:pPr>
    </w:p>
    <w:p w:rsidR="001F1593" w:rsidRDefault="001F1593" w:rsidP="004F44EA">
      <w:pPr>
        <w:pStyle w:val="Heading2"/>
      </w:pPr>
      <w:r>
        <w:t>Tier 1 Capital</w:t>
      </w:r>
    </w:p>
    <w:p w:rsidR="001F1593" w:rsidRPr="001F1593" w:rsidRDefault="001F1593" w:rsidP="0080182F">
      <w:pPr>
        <w:rPr>
          <w:rFonts w:eastAsia="Times New Roman" w:cs="Times New Roman"/>
          <w:sz w:val="28"/>
          <w:szCs w:val="28"/>
        </w:rPr>
      </w:pPr>
      <w:r w:rsidRPr="001F1593">
        <w:rPr>
          <w:sz w:val="28"/>
          <w:szCs w:val="28"/>
        </w:rPr>
        <w:tab/>
      </w:r>
      <w:r w:rsidRPr="002514FA">
        <w:rPr>
          <w:sz w:val="28"/>
          <w:szCs w:val="28"/>
        </w:rPr>
        <w:t xml:space="preserve">Consists of </w:t>
      </w:r>
      <w:r w:rsidRPr="002514FA">
        <w:rPr>
          <w:b/>
          <w:sz w:val="28"/>
          <w:szCs w:val="28"/>
        </w:rPr>
        <w:t>shareholder’s equity</w:t>
      </w:r>
      <w:r w:rsidRPr="002514FA">
        <w:rPr>
          <w:sz w:val="28"/>
          <w:szCs w:val="28"/>
        </w:rPr>
        <w:t xml:space="preserve"> </w:t>
      </w:r>
      <w:r w:rsidR="002514FA" w:rsidRPr="002514FA">
        <w:rPr>
          <w:sz w:val="28"/>
          <w:szCs w:val="28"/>
        </w:rPr>
        <w:t>(</w:t>
      </w:r>
      <w:r w:rsidR="002514FA" w:rsidRPr="002514FA">
        <w:rPr>
          <w:rFonts w:eastAsia="Times New Roman" w:cs="Times New Roman"/>
          <w:sz w:val="28"/>
          <w:szCs w:val="28"/>
        </w:rPr>
        <w:t>the net value of a company, or the amount that would be returned to shareholders if all the company's assets were liquidated and all its debts repaid</w:t>
      </w:r>
      <w:r w:rsidR="002514FA" w:rsidRPr="002514FA">
        <w:rPr>
          <w:sz w:val="28"/>
          <w:szCs w:val="28"/>
        </w:rPr>
        <w:t>)</w:t>
      </w:r>
      <w:r w:rsidR="002514FA">
        <w:rPr>
          <w:sz w:val="28"/>
          <w:szCs w:val="28"/>
        </w:rPr>
        <w:t xml:space="preserve"> </w:t>
      </w:r>
      <w:r w:rsidRPr="001F1593">
        <w:rPr>
          <w:sz w:val="28"/>
          <w:szCs w:val="28"/>
        </w:rPr>
        <w:t xml:space="preserve">and </w:t>
      </w:r>
      <w:r w:rsidRPr="002514FA">
        <w:rPr>
          <w:b/>
          <w:sz w:val="28"/>
          <w:szCs w:val="28"/>
        </w:rPr>
        <w:t>retained earnings</w:t>
      </w:r>
      <w:r w:rsidRPr="001F1593">
        <w:rPr>
          <w:sz w:val="28"/>
          <w:szCs w:val="28"/>
        </w:rPr>
        <w:t xml:space="preserve"> (</w:t>
      </w:r>
      <w:r w:rsidRPr="001F1593">
        <w:rPr>
          <w:rFonts w:eastAsia="Times New Roman" w:cs="Times New Roman"/>
          <w:sz w:val="28"/>
          <w:szCs w:val="28"/>
        </w:rPr>
        <w:t xml:space="preserve">percentage of </w:t>
      </w:r>
      <w:hyperlink r:id="rId12" w:history="1">
        <w:r w:rsidRPr="001F1593">
          <w:rPr>
            <w:rFonts w:eastAsia="Times New Roman" w:cs="Times New Roman"/>
            <w:color w:val="0000FF"/>
            <w:sz w:val="28"/>
            <w:szCs w:val="28"/>
            <w:u w:val="single"/>
          </w:rPr>
          <w:t>net earnings</w:t>
        </w:r>
      </w:hyperlink>
      <w:r w:rsidRPr="001F1593">
        <w:rPr>
          <w:rFonts w:eastAsia="Times New Roman" w:cs="Times New Roman"/>
          <w:sz w:val="28"/>
          <w:szCs w:val="28"/>
        </w:rPr>
        <w:t xml:space="preserve"> not paid out as </w:t>
      </w:r>
      <w:hyperlink r:id="rId13" w:history="1">
        <w:r w:rsidRPr="001F1593">
          <w:rPr>
            <w:rFonts w:eastAsia="Times New Roman" w:cs="Times New Roman"/>
            <w:color w:val="0000FF"/>
            <w:sz w:val="28"/>
            <w:szCs w:val="28"/>
            <w:u w:val="single"/>
          </w:rPr>
          <w:t>dividends</w:t>
        </w:r>
      </w:hyperlink>
      <w:r w:rsidRPr="001F1593">
        <w:rPr>
          <w:rFonts w:eastAsia="Times New Roman" w:cs="Times New Roman"/>
          <w:sz w:val="28"/>
          <w:szCs w:val="28"/>
        </w:rPr>
        <w:t>, but retained by the company to be reinvested in its core business, or to pay debt</w:t>
      </w:r>
      <w:r w:rsidRPr="001F1593">
        <w:rPr>
          <w:sz w:val="28"/>
          <w:szCs w:val="28"/>
        </w:rPr>
        <w:t>)</w:t>
      </w:r>
    </w:p>
    <w:p w:rsidR="00BB6958" w:rsidRDefault="00BB6958" w:rsidP="0080182F">
      <w:pPr>
        <w:rPr>
          <w:sz w:val="28"/>
          <w:szCs w:val="28"/>
        </w:rPr>
      </w:pPr>
    </w:p>
    <w:p w:rsidR="00BB6958" w:rsidRDefault="00BB6958" w:rsidP="0080182F">
      <w:pPr>
        <w:rPr>
          <w:sz w:val="28"/>
          <w:szCs w:val="28"/>
        </w:rPr>
      </w:pPr>
    </w:p>
    <w:p w:rsidR="00BB6958" w:rsidRDefault="00BB6958" w:rsidP="0080182F">
      <w:pPr>
        <w:rPr>
          <w:sz w:val="28"/>
          <w:szCs w:val="28"/>
        </w:rPr>
      </w:pPr>
    </w:p>
    <w:p w:rsidR="001F1593" w:rsidRDefault="001F1593" w:rsidP="004F44EA">
      <w:pPr>
        <w:pStyle w:val="Heading2"/>
      </w:pPr>
      <w:r>
        <w:lastRenderedPageBreak/>
        <w:t>Tier 2 Capital</w:t>
      </w:r>
    </w:p>
    <w:p w:rsidR="003F4097" w:rsidRPr="003F4097" w:rsidRDefault="003F4097" w:rsidP="003F4097">
      <w:pPr>
        <w:rPr>
          <w:rFonts w:eastAsia="Times New Roman" w:cs="Times New Roman"/>
          <w:color w:val="000000"/>
          <w:sz w:val="28"/>
          <w:szCs w:val="28"/>
        </w:rPr>
      </w:pPr>
      <w:r w:rsidRPr="003F4097">
        <w:rPr>
          <w:sz w:val="28"/>
          <w:szCs w:val="28"/>
        </w:rPr>
        <w:tab/>
      </w:r>
      <w:hyperlink r:id="rId14" w:history="1">
        <w:r w:rsidRPr="003F4097">
          <w:rPr>
            <w:rFonts w:eastAsia="Times New Roman" w:cs="Times New Roman"/>
            <w:color w:val="0000FF"/>
            <w:sz w:val="28"/>
            <w:szCs w:val="28"/>
            <w:u w:val="single"/>
          </w:rPr>
          <w:t xml:space="preserve">Tier 2 </w:t>
        </w:r>
        <w:proofErr w:type="gramStart"/>
        <w:r w:rsidRPr="003F4097">
          <w:rPr>
            <w:rFonts w:eastAsia="Times New Roman" w:cs="Times New Roman"/>
            <w:color w:val="0000FF"/>
            <w:sz w:val="28"/>
            <w:szCs w:val="28"/>
            <w:u w:val="single"/>
          </w:rPr>
          <w:t>capital</w:t>
        </w:r>
        <w:proofErr w:type="gramEnd"/>
      </w:hyperlink>
      <w:r w:rsidRPr="003F4097">
        <w:rPr>
          <w:rFonts w:eastAsia="Times New Roman" w:cs="Times New Roman"/>
          <w:sz w:val="28"/>
          <w:szCs w:val="28"/>
        </w:rPr>
        <w:t xml:space="preserve"> includes </w:t>
      </w:r>
      <w:hyperlink r:id="rId15" w:history="1">
        <w:r w:rsidRPr="003F4097">
          <w:rPr>
            <w:rFonts w:eastAsia="Times New Roman" w:cs="Times New Roman"/>
            <w:color w:val="0000FF"/>
            <w:sz w:val="28"/>
            <w:szCs w:val="28"/>
            <w:u w:val="single"/>
          </w:rPr>
          <w:t>revaluation reserves</w:t>
        </w:r>
      </w:hyperlink>
      <w:r w:rsidRPr="003F4097">
        <w:rPr>
          <w:rFonts w:eastAsia="Times New Roman" w:cs="Times New Roman"/>
          <w:sz w:val="28"/>
          <w:szCs w:val="28"/>
        </w:rPr>
        <w:t xml:space="preserve">, hybrid capital instruments and subordinated term debt, general loan-loss reserves, and </w:t>
      </w:r>
      <w:hyperlink r:id="rId16" w:history="1">
        <w:r w:rsidRPr="003F4097">
          <w:rPr>
            <w:rFonts w:eastAsia="Times New Roman" w:cs="Times New Roman"/>
            <w:color w:val="0000FF"/>
            <w:sz w:val="28"/>
            <w:szCs w:val="28"/>
            <w:u w:val="single"/>
          </w:rPr>
          <w:t>undisclosed reserves</w:t>
        </w:r>
      </w:hyperlink>
      <w:r w:rsidRPr="003F4097">
        <w:rPr>
          <w:rFonts w:eastAsia="Times New Roman" w:cs="Times New Roman"/>
          <w:sz w:val="28"/>
          <w:szCs w:val="28"/>
        </w:rPr>
        <w:t>. Tier 2 capital is supplementary capital because it is less reliable than tier 1 capital.</w:t>
      </w:r>
    </w:p>
    <w:p w:rsidR="001F1593" w:rsidRDefault="00433DDC" w:rsidP="00433DDC">
      <w:pPr>
        <w:pStyle w:val="Heading1"/>
      </w:pPr>
      <w:r>
        <w:t>Minimal Capital Requirements</w:t>
      </w:r>
    </w:p>
    <w:p w:rsidR="00433DDC" w:rsidRDefault="00433DDC" w:rsidP="00477F4D">
      <w:pPr>
        <w:pStyle w:val="Heading2"/>
        <w:rPr>
          <w:rStyle w:val="tgc"/>
        </w:rPr>
      </w:pPr>
      <w:r w:rsidRPr="00477F4D">
        <w:rPr>
          <w:rStyle w:val="tgc"/>
        </w:rPr>
        <w:t>FRTB</w:t>
      </w:r>
    </w:p>
    <w:p w:rsidR="00433DDC" w:rsidRDefault="00433DDC" w:rsidP="00433DDC">
      <w:pPr>
        <w:rPr>
          <w:rStyle w:val="tgc"/>
          <w:sz w:val="24"/>
          <w:szCs w:val="24"/>
        </w:rPr>
      </w:pPr>
      <w:r w:rsidRPr="00433DDC">
        <w:rPr>
          <w:rStyle w:val="tgc"/>
          <w:sz w:val="24"/>
          <w:szCs w:val="24"/>
        </w:rPr>
        <w:t>The fundamental review of the trading book (</w:t>
      </w:r>
      <w:r w:rsidRPr="00433DDC">
        <w:rPr>
          <w:rStyle w:val="tgc"/>
          <w:b/>
          <w:bCs/>
          <w:sz w:val="24"/>
          <w:szCs w:val="24"/>
        </w:rPr>
        <w:t>FRTB</w:t>
      </w:r>
      <w:r w:rsidRPr="00433DDC">
        <w:rPr>
          <w:rStyle w:val="tgc"/>
          <w:sz w:val="24"/>
          <w:szCs w:val="24"/>
        </w:rPr>
        <w:t xml:space="preserve">) is a complete overhaul of the way banks </w:t>
      </w:r>
      <w:r w:rsidRPr="009F742D">
        <w:rPr>
          <w:rStyle w:val="tgc"/>
          <w:i/>
          <w:sz w:val="24"/>
          <w:szCs w:val="24"/>
          <w:highlight w:val="yellow"/>
        </w:rPr>
        <w:t>assess market risk</w:t>
      </w:r>
      <w:r w:rsidRPr="00433DDC">
        <w:rPr>
          <w:rStyle w:val="tgc"/>
          <w:sz w:val="24"/>
          <w:szCs w:val="24"/>
        </w:rPr>
        <w:t xml:space="preserve"> in the trading book. The new framework tackles both the internal modelling for market risk (partially revised in 2009 as part of “Basel 2.5”) and also the </w:t>
      </w:r>
      <w:proofErr w:type="spellStart"/>
      <w:r w:rsidRPr="00433DDC">
        <w:rPr>
          <w:rStyle w:val="tgc"/>
          <w:sz w:val="24"/>
          <w:szCs w:val="24"/>
        </w:rPr>
        <w:t>standardised</w:t>
      </w:r>
      <w:proofErr w:type="spellEnd"/>
      <w:r w:rsidRPr="00433DDC">
        <w:rPr>
          <w:rStyle w:val="tgc"/>
          <w:sz w:val="24"/>
          <w:szCs w:val="24"/>
        </w:rPr>
        <w:t xml:space="preserve"> approach (untouched since Basel II).</w:t>
      </w:r>
    </w:p>
    <w:p w:rsidR="00477F4D" w:rsidRDefault="00477F4D" w:rsidP="00477F4D">
      <w:pPr>
        <w:pStyle w:val="Heading3"/>
      </w:pPr>
      <w:r>
        <w:t>S</w:t>
      </w:r>
      <w:r>
        <w:t>TANDARDIZED APPROACH</w:t>
      </w:r>
    </w:p>
    <w:p w:rsidR="00477F4D" w:rsidRDefault="00477F4D" w:rsidP="00477F4D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Arial"/>
          <w:sz w:val="24"/>
          <w:szCs w:val="24"/>
        </w:rPr>
      </w:pPr>
      <w:r w:rsidRPr="00477F4D">
        <w:rPr>
          <w:rFonts w:eastAsia="Times New Roman" w:cs="Arial"/>
          <w:sz w:val="24"/>
          <w:szCs w:val="24"/>
        </w:rPr>
        <w:t xml:space="preserve">Sensitivity calculations across all risk factors: equity, general interest rate risk, credit spread risk, commodity and FX risk covering delta, </w:t>
      </w:r>
      <w:proofErr w:type="spellStart"/>
      <w:proofErr w:type="gramStart"/>
      <w:r w:rsidRPr="00477F4D">
        <w:rPr>
          <w:rFonts w:eastAsia="Times New Roman" w:cs="Arial"/>
          <w:sz w:val="24"/>
          <w:szCs w:val="24"/>
        </w:rPr>
        <w:t>vega</w:t>
      </w:r>
      <w:proofErr w:type="spellEnd"/>
      <w:proofErr w:type="gramEnd"/>
      <w:r w:rsidRPr="00477F4D">
        <w:rPr>
          <w:rFonts w:eastAsia="Times New Roman" w:cs="Arial"/>
          <w:sz w:val="24"/>
          <w:szCs w:val="24"/>
        </w:rPr>
        <w:t xml:space="preserve"> and curvature risk.</w:t>
      </w:r>
    </w:p>
    <w:p w:rsidR="004C3A7F" w:rsidRPr="004C3A7F" w:rsidRDefault="004C3A7F" w:rsidP="004C3A7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Arial"/>
          <w:sz w:val="24"/>
          <w:szCs w:val="24"/>
        </w:rPr>
      </w:pPr>
      <w:r w:rsidRPr="004C3A7F">
        <w:rPr>
          <w:rFonts w:eastAsia="Times New Roman" w:cs="Arial"/>
          <w:sz w:val="24"/>
          <w:szCs w:val="24"/>
        </w:rPr>
        <w:t>Aggregation methodologies across multiple dimensions, including trading desk, instrument type, currency etc.</w:t>
      </w:r>
    </w:p>
    <w:p w:rsidR="004C3A7F" w:rsidRPr="004C3A7F" w:rsidRDefault="004C3A7F" w:rsidP="00477F4D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Arial"/>
          <w:sz w:val="24"/>
          <w:szCs w:val="24"/>
        </w:rPr>
      </w:pPr>
      <w:r w:rsidRPr="004C3A7F">
        <w:rPr>
          <w:sz w:val="24"/>
          <w:szCs w:val="24"/>
        </w:rPr>
        <w:t>Correlation calculations across all asset classes for aggregation of ris</w:t>
      </w:r>
      <w:r w:rsidRPr="004C3A7F">
        <w:rPr>
          <w:sz w:val="24"/>
          <w:szCs w:val="24"/>
        </w:rPr>
        <w:t>k</w:t>
      </w:r>
    </w:p>
    <w:p w:rsidR="00477F4D" w:rsidRPr="00477F4D" w:rsidRDefault="00477F4D" w:rsidP="00477F4D"/>
    <w:p w:rsidR="00477F4D" w:rsidRDefault="00195C3B" w:rsidP="00477F4D">
      <w:pPr>
        <w:pStyle w:val="Heading3"/>
      </w:pPr>
      <w:r>
        <w:t>I</w:t>
      </w:r>
      <w:r w:rsidR="00477F4D">
        <w:t>NTERNAL MODEL</w:t>
      </w:r>
    </w:p>
    <w:p w:rsidR="00195C3B" w:rsidRDefault="00195C3B" w:rsidP="00195C3B">
      <w:pPr>
        <w:pStyle w:val="ListParagraph"/>
        <w:numPr>
          <w:ilvl w:val="0"/>
          <w:numId w:val="4"/>
        </w:numPr>
      </w:pPr>
      <w:r>
        <w:t>Risk Measurement</w:t>
      </w:r>
      <w:r w:rsidR="000A68F5">
        <w:t xml:space="preserve"> – Calculate general or specific risk. </w:t>
      </w:r>
      <w:proofErr w:type="spellStart"/>
      <w:r w:rsidR="000A68F5">
        <w:t>VaR</w:t>
      </w:r>
      <w:proofErr w:type="spellEnd"/>
      <w:r w:rsidR="000A68F5">
        <w:t>, Monte Carlo.</w:t>
      </w:r>
    </w:p>
    <w:p w:rsidR="00195C3B" w:rsidRDefault="00195C3B" w:rsidP="00195C3B">
      <w:pPr>
        <w:pStyle w:val="ListParagraph"/>
        <w:numPr>
          <w:ilvl w:val="0"/>
          <w:numId w:val="4"/>
        </w:numPr>
      </w:pPr>
      <w:r>
        <w:t>Sensitivity Analysis – shocking any curve or risk factor (PV01, Cs01, Greeks</w:t>
      </w:r>
      <w:proofErr w:type="gramStart"/>
      <w:r>
        <w:t xml:space="preserve">, </w:t>
      </w:r>
      <w:r>
        <w:t xml:space="preserve"> parallel</w:t>
      </w:r>
      <w:proofErr w:type="gramEnd"/>
      <w:r>
        <w:t xml:space="preserve"> and non-parallel shift</w:t>
      </w:r>
      <w:r>
        <w:t xml:space="preserve">. </w:t>
      </w:r>
    </w:p>
    <w:p w:rsidR="00195C3B" w:rsidRPr="00195C3B" w:rsidRDefault="00195C3B" w:rsidP="00195C3B">
      <w:pPr>
        <w:pStyle w:val="ListParagraph"/>
        <w:numPr>
          <w:ilvl w:val="0"/>
          <w:numId w:val="4"/>
        </w:numPr>
      </w:pPr>
      <w:r>
        <w:t>Stress Testing</w:t>
      </w:r>
      <w:r w:rsidR="000A68F5">
        <w:t xml:space="preserve"> – user-defined stress tests to stress market data, </w:t>
      </w:r>
      <w:r w:rsidR="000A68F5">
        <w:t>stochastic parameters, correlations and</w:t>
      </w:r>
      <w:r w:rsidR="000A68F5">
        <w:t xml:space="preserve"> reference data,</w:t>
      </w:r>
      <w:bookmarkStart w:id="0" w:name="_GoBack"/>
      <w:bookmarkEnd w:id="0"/>
      <w:r w:rsidR="000A68F5">
        <w:t xml:space="preserve"> to determine the impact on </w:t>
      </w:r>
      <w:r w:rsidR="000A68F5">
        <w:t>portfolio risk as well as to perform BIS regulatory stress tests (FRTB)</w:t>
      </w:r>
      <w:r w:rsidR="000A68F5">
        <w:t>.</w:t>
      </w:r>
    </w:p>
    <w:p w:rsidR="00044821" w:rsidRPr="00433DDC" w:rsidRDefault="00044821" w:rsidP="00044821">
      <w:pPr>
        <w:pStyle w:val="Heading2"/>
        <w:rPr>
          <w:rStyle w:val="tgc"/>
          <w:sz w:val="24"/>
          <w:szCs w:val="24"/>
        </w:rPr>
      </w:pPr>
      <w:r>
        <w:rPr>
          <w:rStyle w:val="tgc"/>
          <w:sz w:val="24"/>
          <w:szCs w:val="24"/>
        </w:rPr>
        <w:t>Razor Risk and FRTB</w:t>
      </w:r>
    </w:p>
    <w:p w:rsidR="00433DDC" w:rsidRDefault="00433DDC" w:rsidP="00433DDC">
      <w:pPr>
        <w:rPr>
          <w:sz w:val="24"/>
          <w:szCs w:val="24"/>
        </w:rPr>
      </w:pPr>
      <w:r w:rsidRPr="00044821">
        <w:rPr>
          <w:sz w:val="24"/>
          <w:szCs w:val="24"/>
          <w:highlight w:val="yellow"/>
          <w:u w:val="single"/>
        </w:rPr>
        <w:t>Razor Risk</w:t>
      </w:r>
      <w:r w:rsidRPr="00433DDC">
        <w:rPr>
          <w:sz w:val="24"/>
          <w:szCs w:val="24"/>
        </w:rPr>
        <w:t xml:space="preserve"> supports the </w:t>
      </w:r>
      <w:r w:rsidRPr="00433DDC">
        <w:rPr>
          <w:b/>
          <w:sz w:val="24"/>
          <w:szCs w:val="24"/>
        </w:rPr>
        <w:t>FRTB</w:t>
      </w:r>
      <w:r w:rsidRPr="00433DDC">
        <w:rPr>
          <w:sz w:val="24"/>
          <w:szCs w:val="24"/>
        </w:rPr>
        <w:t xml:space="preserve"> – minimum capital requirements for market risk capital reforms.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i.e</w:t>
      </w:r>
      <w:proofErr w:type="gramEnd"/>
      <w:r>
        <w:rPr>
          <w:sz w:val="24"/>
          <w:szCs w:val="24"/>
        </w:rPr>
        <w:t>. Calculate and manage market risk capital and performance.</w:t>
      </w:r>
    </w:p>
    <w:p w:rsidR="00044821" w:rsidRPr="00AD698A" w:rsidRDefault="00044821" w:rsidP="00AD698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D698A">
        <w:rPr>
          <w:sz w:val="24"/>
          <w:szCs w:val="24"/>
        </w:rPr>
        <w:t xml:space="preserve">Razor can manage the firm’s </w:t>
      </w:r>
      <w:r w:rsidRPr="00AD698A">
        <w:rPr>
          <w:sz w:val="24"/>
          <w:szCs w:val="24"/>
          <w:u w:val="single"/>
        </w:rPr>
        <w:t xml:space="preserve">trading book vs. banking </w:t>
      </w:r>
      <w:r w:rsidR="00AD698A" w:rsidRPr="00AD698A">
        <w:rPr>
          <w:sz w:val="24"/>
          <w:szCs w:val="24"/>
          <w:u w:val="single"/>
        </w:rPr>
        <w:t>book</w:t>
      </w:r>
      <w:r w:rsidR="00AD698A">
        <w:rPr>
          <w:sz w:val="24"/>
          <w:szCs w:val="24"/>
        </w:rPr>
        <w:t xml:space="preserve"> by routing positions to trading/banking portfolios</w:t>
      </w:r>
    </w:p>
    <w:p w:rsidR="00044821" w:rsidRDefault="00044821" w:rsidP="00AD698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44821">
        <w:rPr>
          <w:b/>
          <w:i/>
          <w:sz w:val="24"/>
          <w:szCs w:val="24"/>
        </w:rPr>
        <w:t>Trading book</w:t>
      </w:r>
      <w:r>
        <w:rPr>
          <w:sz w:val="24"/>
          <w:szCs w:val="24"/>
        </w:rPr>
        <w:t xml:space="preserve">: assets held by a bank that are traded regularly. Basel III required daily MTM and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calculations with a 10-day horizon.</w:t>
      </w:r>
    </w:p>
    <w:p w:rsidR="00044821" w:rsidRDefault="00044821" w:rsidP="00AD698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44821">
        <w:rPr>
          <w:b/>
          <w:i/>
          <w:sz w:val="24"/>
          <w:szCs w:val="24"/>
        </w:rPr>
        <w:t>Banking book:</w:t>
      </w:r>
      <w:r>
        <w:rPr>
          <w:sz w:val="24"/>
          <w:szCs w:val="24"/>
        </w:rPr>
        <w:t xml:space="preserve"> assets held by a bank until maturity. Daily MTM is not required.</w:t>
      </w:r>
    </w:p>
    <w:p w:rsidR="00860A14" w:rsidRDefault="00860A14" w:rsidP="00860A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5BCF">
        <w:rPr>
          <w:sz w:val="24"/>
          <w:szCs w:val="24"/>
        </w:rPr>
        <w:t xml:space="preserve">Razor provides </w:t>
      </w:r>
      <w:r w:rsidRPr="008C5BCF">
        <w:rPr>
          <w:rStyle w:val="Strong"/>
          <w:b w:val="0"/>
          <w:sz w:val="24"/>
          <w:szCs w:val="24"/>
        </w:rPr>
        <w:t>front to back analytics:</w:t>
      </w:r>
      <w:r w:rsidRPr="008C5BCF">
        <w:rPr>
          <w:rStyle w:val="Strong"/>
          <w:b w:val="0"/>
          <w:sz w:val="24"/>
          <w:szCs w:val="24"/>
        </w:rPr>
        <w:t xml:space="preserve"> </w:t>
      </w:r>
      <w:r w:rsidRPr="008C5BCF">
        <w:rPr>
          <w:sz w:val="24"/>
          <w:szCs w:val="24"/>
        </w:rPr>
        <w:t xml:space="preserve">Firms can calculate minimum capital requirements using Expected Shortfall approach, or the Sensitivity Based approach. </w:t>
      </w:r>
    </w:p>
    <w:p w:rsidR="008C5BCF" w:rsidRDefault="008C5BCF" w:rsidP="00860A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Verify the firm’s capital numbers using Razor’s </w:t>
      </w:r>
      <w:proofErr w:type="spellStart"/>
      <w:r>
        <w:rPr>
          <w:sz w:val="24"/>
          <w:szCs w:val="24"/>
        </w:rPr>
        <w:t>backtesting</w:t>
      </w:r>
      <w:proofErr w:type="spellEnd"/>
      <w:r>
        <w:rPr>
          <w:sz w:val="24"/>
          <w:szCs w:val="24"/>
        </w:rPr>
        <w:t xml:space="preserve"> framework:</w:t>
      </w:r>
    </w:p>
    <w:p w:rsidR="008C5BCF" w:rsidRDefault="008C5BCF" w:rsidP="008C5BC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Calculate theoretical P&amp;Ls and compare against </w:t>
      </w:r>
      <w:r>
        <w:t>hypothetical P&amp;Ls</w:t>
      </w:r>
    </w:p>
    <w:p w:rsidR="008C5BCF" w:rsidRDefault="008C5BCF" w:rsidP="008C5BC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Manage breaches</w:t>
      </w:r>
    </w:p>
    <w:p w:rsidR="008C5BCF" w:rsidRPr="008C5BCF" w:rsidRDefault="008C5BCF" w:rsidP="008C5BCF">
      <w:pPr>
        <w:pStyle w:val="ListParagraph"/>
        <w:numPr>
          <w:ilvl w:val="1"/>
          <w:numId w:val="2"/>
        </w:numPr>
        <w:rPr>
          <w:sz w:val="24"/>
          <w:szCs w:val="24"/>
        </w:rPr>
      </w:pPr>
    </w:p>
    <w:p w:rsidR="00C76546" w:rsidRDefault="00C76546" w:rsidP="00C76546">
      <w:pPr>
        <w:pStyle w:val="Heading1"/>
      </w:pPr>
      <w:r>
        <w:t>Banks Tiers</w:t>
      </w:r>
    </w:p>
    <w:p w:rsidR="00C76546" w:rsidRPr="00C76546" w:rsidRDefault="00C76546" w:rsidP="00C76546"/>
    <w:p w:rsidR="00C76546" w:rsidRDefault="00C76546" w:rsidP="004F44EA">
      <w:pPr>
        <w:pStyle w:val="Heading2"/>
      </w:pPr>
      <w:r>
        <w:t>Tier 1 Banks (</w:t>
      </w:r>
      <w:proofErr w:type="spellStart"/>
      <w:r>
        <w:t>desc</w:t>
      </w:r>
      <w:proofErr w:type="spellEnd"/>
      <w:r>
        <w:t xml:space="preserve"> order)</w:t>
      </w:r>
    </w:p>
    <w:p w:rsidR="00C76546" w:rsidRDefault="00C76546" w:rsidP="00EA22A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Goldman Sachs, Morgan Stanley, JPMorgan Chase, BOA ML (</w:t>
      </w:r>
      <w:proofErr w:type="spellStart"/>
      <w:r>
        <w:rPr>
          <w:sz w:val="28"/>
          <w:szCs w:val="28"/>
        </w:rPr>
        <w:t>Bnk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Amer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</w:t>
      </w:r>
      <w:proofErr w:type="spellEnd"/>
      <w:r>
        <w:rPr>
          <w:sz w:val="28"/>
          <w:szCs w:val="28"/>
        </w:rPr>
        <w:t xml:space="preserve"> Lynch), </w:t>
      </w:r>
      <w:proofErr w:type="spellStart"/>
      <w:r>
        <w:rPr>
          <w:sz w:val="28"/>
          <w:szCs w:val="28"/>
        </w:rPr>
        <w:t>Duetsche</w:t>
      </w:r>
      <w:proofErr w:type="spellEnd"/>
      <w:r>
        <w:rPr>
          <w:sz w:val="28"/>
          <w:szCs w:val="28"/>
        </w:rPr>
        <w:t>, Citi and Credit Suisse (tied), Barclays &amp; UBS.</w:t>
      </w:r>
      <w:proofErr w:type="gramEnd"/>
    </w:p>
    <w:p w:rsidR="00C76546" w:rsidRDefault="00C76546" w:rsidP="004F44EA">
      <w:pPr>
        <w:pStyle w:val="Heading2"/>
      </w:pPr>
      <w:r>
        <w:t>Tier 2 Banks (</w:t>
      </w:r>
      <w:proofErr w:type="spellStart"/>
      <w:r>
        <w:t>desc</w:t>
      </w:r>
      <w:proofErr w:type="spellEnd"/>
      <w:r>
        <w:t xml:space="preserve"> order)</w:t>
      </w:r>
    </w:p>
    <w:p w:rsidR="00EA22A1" w:rsidRDefault="00C76546" w:rsidP="00EA22A1">
      <w:pPr>
        <w:rPr>
          <w:sz w:val="28"/>
          <w:szCs w:val="28"/>
        </w:rPr>
      </w:pPr>
      <w:proofErr w:type="gramStart"/>
      <w:r w:rsidRPr="00C76546">
        <w:rPr>
          <w:sz w:val="28"/>
          <w:szCs w:val="28"/>
        </w:rPr>
        <w:t xml:space="preserve">HSBC, Nomura Holdings, RBC, BNP Paribas, RBS, TD Securities, Wells Fargo, Lazard, Jefferies, </w:t>
      </w:r>
      <w:proofErr w:type="spellStart"/>
      <w:r w:rsidRPr="00C76546">
        <w:rPr>
          <w:sz w:val="28"/>
          <w:szCs w:val="28"/>
        </w:rPr>
        <w:t>Société</w:t>
      </w:r>
      <w:proofErr w:type="spellEnd"/>
      <w:r w:rsidRPr="00C76546">
        <w:rPr>
          <w:sz w:val="28"/>
          <w:szCs w:val="28"/>
        </w:rPr>
        <w:t xml:space="preserve"> </w:t>
      </w:r>
      <w:proofErr w:type="spellStart"/>
      <w:r w:rsidRPr="00C76546">
        <w:rPr>
          <w:sz w:val="28"/>
          <w:szCs w:val="28"/>
        </w:rPr>
        <w:t>Générale</w:t>
      </w:r>
      <w:proofErr w:type="spellEnd"/>
      <w:r w:rsidRPr="00C76546">
        <w:rPr>
          <w:sz w:val="28"/>
          <w:szCs w:val="28"/>
        </w:rPr>
        <w:t>, and BMO</w:t>
      </w:r>
      <w:r>
        <w:rPr>
          <w:sz w:val="28"/>
          <w:szCs w:val="28"/>
        </w:rPr>
        <w:t>.</w:t>
      </w:r>
      <w:proofErr w:type="gramEnd"/>
    </w:p>
    <w:p w:rsidR="00C76546" w:rsidRDefault="008E1664" w:rsidP="008E1664">
      <w:pPr>
        <w:pStyle w:val="Heading1"/>
      </w:pPr>
      <w:r>
        <w:t>The Major Exchanges</w:t>
      </w:r>
    </w:p>
    <w:p w:rsidR="008E1664" w:rsidRDefault="008E1664" w:rsidP="008E1664">
      <w:pPr>
        <w:rPr>
          <w:sz w:val="28"/>
          <w:szCs w:val="28"/>
        </w:rPr>
      </w:pPr>
    </w:p>
    <w:p w:rsidR="008E1664" w:rsidRDefault="008E1664" w:rsidP="008E1664">
      <w:pPr>
        <w:rPr>
          <w:sz w:val="28"/>
          <w:szCs w:val="28"/>
        </w:rPr>
      </w:pPr>
      <w:r>
        <w:rPr>
          <w:sz w:val="28"/>
          <w:szCs w:val="28"/>
        </w:rPr>
        <w:t>NYSE</w:t>
      </w:r>
    </w:p>
    <w:p w:rsidR="008E1664" w:rsidRDefault="008E1664" w:rsidP="008E1664">
      <w:pPr>
        <w:rPr>
          <w:sz w:val="28"/>
          <w:szCs w:val="28"/>
        </w:rPr>
      </w:pPr>
      <w:r>
        <w:rPr>
          <w:sz w:val="28"/>
          <w:szCs w:val="28"/>
        </w:rPr>
        <w:t>NASDAQ</w:t>
      </w:r>
    </w:p>
    <w:p w:rsidR="008E1664" w:rsidRDefault="008E1664" w:rsidP="008E1664">
      <w:pPr>
        <w:rPr>
          <w:sz w:val="28"/>
          <w:szCs w:val="28"/>
        </w:rPr>
      </w:pPr>
      <w:r>
        <w:rPr>
          <w:sz w:val="28"/>
          <w:szCs w:val="28"/>
        </w:rPr>
        <w:t>LSE (London Stock Exchange Group)</w:t>
      </w:r>
    </w:p>
    <w:p w:rsidR="008E1664" w:rsidRDefault="008E1664" w:rsidP="008E1664">
      <w:pPr>
        <w:rPr>
          <w:sz w:val="28"/>
          <w:szCs w:val="28"/>
        </w:rPr>
      </w:pPr>
      <w:r>
        <w:rPr>
          <w:sz w:val="28"/>
          <w:szCs w:val="28"/>
        </w:rPr>
        <w:t>Japan</w:t>
      </w:r>
      <w:r w:rsidR="00F1040E">
        <w:rPr>
          <w:sz w:val="28"/>
          <w:szCs w:val="28"/>
        </w:rPr>
        <w:t>es</w:t>
      </w:r>
      <w:r>
        <w:rPr>
          <w:sz w:val="28"/>
          <w:szCs w:val="28"/>
        </w:rPr>
        <w:t>e Exchange Group</w:t>
      </w:r>
    </w:p>
    <w:p w:rsidR="008E1664" w:rsidRDefault="00F1040E" w:rsidP="008E1664">
      <w:pPr>
        <w:rPr>
          <w:sz w:val="28"/>
          <w:szCs w:val="28"/>
        </w:rPr>
      </w:pPr>
      <w:r w:rsidRPr="00F1040E">
        <w:rPr>
          <w:sz w:val="28"/>
          <w:szCs w:val="28"/>
        </w:rPr>
        <w:t>Shanghai Stock Exchange</w:t>
      </w:r>
    </w:p>
    <w:p w:rsidR="00F1040E" w:rsidRDefault="00F1040E" w:rsidP="008E1664">
      <w:pPr>
        <w:rPr>
          <w:sz w:val="28"/>
          <w:szCs w:val="28"/>
        </w:rPr>
      </w:pPr>
      <w:r>
        <w:rPr>
          <w:sz w:val="28"/>
          <w:szCs w:val="28"/>
        </w:rPr>
        <w:t>Hong Kong Stock Exchange</w:t>
      </w:r>
    </w:p>
    <w:p w:rsidR="008E1664" w:rsidRDefault="00F1040E" w:rsidP="00EA22A1">
      <w:pPr>
        <w:rPr>
          <w:sz w:val="28"/>
          <w:szCs w:val="28"/>
        </w:rPr>
      </w:pPr>
      <w:r>
        <w:rPr>
          <w:sz w:val="28"/>
          <w:szCs w:val="28"/>
        </w:rPr>
        <w:t>Euronext</w:t>
      </w:r>
    </w:p>
    <w:p w:rsidR="00F1040E" w:rsidRDefault="00F1040E" w:rsidP="00EA22A1">
      <w:pPr>
        <w:rPr>
          <w:sz w:val="28"/>
          <w:szCs w:val="28"/>
        </w:rPr>
      </w:pPr>
      <w:r>
        <w:rPr>
          <w:sz w:val="28"/>
          <w:szCs w:val="28"/>
        </w:rPr>
        <w:t>Shenzhen (China)</w:t>
      </w:r>
    </w:p>
    <w:p w:rsidR="00F1040E" w:rsidRDefault="00F1040E" w:rsidP="00EA22A1">
      <w:pPr>
        <w:rPr>
          <w:sz w:val="28"/>
          <w:szCs w:val="28"/>
        </w:rPr>
      </w:pPr>
      <w:r>
        <w:rPr>
          <w:sz w:val="28"/>
          <w:szCs w:val="28"/>
        </w:rPr>
        <w:t>TMX Group</w:t>
      </w:r>
    </w:p>
    <w:p w:rsidR="00F1040E" w:rsidRDefault="00F1040E" w:rsidP="00EA22A1">
      <w:pPr>
        <w:rPr>
          <w:sz w:val="28"/>
          <w:szCs w:val="28"/>
        </w:rPr>
      </w:pPr>
      <w:r>
        <w:rPr>
          <w:sz w:val="28"/>
          <w:szCs w:val="28"/>
        </w:rPr>
        <w:t xml:space="preserve">Deutsche </w:t>
      </w:r>
      <w:proofErr w:type="spellStart"/>
      <w:r>
        <w:rPr>
          <w:sz w:val="28"/>
          <w:szCs w:val="28"/>
        </w:rPr>
        <w:t>Borse</w:t>
      </w:r>
      <w:proofErr w:type="spellEnd"/>
      <w:r>
        <w:rPr>
          <w:sz w:val="28"/>
          <w:szCs w:val="28"/>
        </w:rPr>
        <w:t xml:space="preserve"> (Germany)</w:t>
      </w:r>
    </w:p>
    <w:p w:rsidR="00DE64BD" w:rsidRDefault="00DE64BD" w:rsidP="00EA22A1">
      <w:pPr>
        <w:rPr>
          <w:sz w:val="28"/>
          <w:szCs w:val="28"/>
        </w:rPr>
      </w:pPr>
    </w:p>
    <w:p w:rsidR="00DE64BD" w:rsidRDefault="00DE64BD" w:rsidP="00EA22A1">
      <w:pPr>
        <w:rPr>
          <w:sz w:val="28"/>
          <w:szCs w:val="28"/>
        </w:rPr>
      </w:pPr>
    </w:p>
    <w:p w:rsidR="00DE64BD" w:rsidRDefault="00DE64BD" w:rsidP="00DE64BD">
      <w:pPr>
        <w:pStyle w:val="Heading1"/>
      </w:pPr>
      <w:r>
        <w:t>Glossary of terms</w:t>
      </w:r>
    </w:p>
    <w:p w:rsidR="00DE64BD" w:rsidRDefault="00DE64BD" w:rsidP="00DE64BD">
      <w:pPr>
        <w:pStyle w:val="Heading2"/>
      </w:pPr>
      <w:r>
        <w:t>PV01 (</w:t>
      </w:r>
      <w:hyperlink r:id="rId17" w:history="1">
        <w:r w:rsidRPr="008C6908">
          <w:rPr>
            <w:rStyle w:val="Hyperlink"/>
          </w:rPr>
          <w:t>https://eiptrading.com/risk-management/</w:t>
        </w:r>
      </w:hyperlink>
      <w:r>
        <w:t xml:space="preserve"> )</w:t>
      </w:r>
    </w:p>
    <w:p w:rsidR="00DE64BD" w:rsidRPr="00DE64BD" w:rsidRDefault="00DE64BD" w:rsidP="00DE64BD">
      <w:r>
        <w:t>PV01 is an acronym for the Price Value for a 01 change in yield. This measures the impact on price of a 0.01% (1 Basis Point or 1 BP) change in yield.</w:t>
      </w:r>
    </w:p>
    <w:p w:rsidR="00DE64BD" w:rsidRDefault="00DE64BD" w:rsidP="00DE64BD">
      <w:pPr>
        <w:pStyle w:val="Heading1"/>
      </w:pPr>
      <w:r>
        <w:t>CS01</w:t>
      </w:r>
    </w:p>
    <w:p w:rsidR="00DE64BD" w:rsidRDefault="00DE64BD" w:rsidP="00DE64BD">
      <w:pPr>
        <w:pStyle w:val="NormalWeb"/>
      </w:pPr>
      <w:r>
        <w:t xml:space="preserve">With respect to </w:t>
      </w:r>
      <w:hyperlink r:id="rId18" w:history="1">
        <w:r>
          <w:rPr>
            <w:rStyle w:val="Hyperlink"/>
            <w:rFonts w:eastAsiaTheme="majorEastAsia"/>
          </w:rPr>
          <w:t>credit default swaps</w:t>
        </w:r>
      </w:hyperlink>
      <w:r>
        <w:t xml:space="preserve">, it is the credit exposure of the swap at a given point in time (it stands for credit spread dollar value of one </w:t>
      </w:r>
      <w:hyperlink r:id="rId19" w:history="1">
        <w:r>
          <w:rPr>
            <w:rStyle w:val="Hyperlink"/>
            <w:rFonts w:eastAsiaTheme="majorEastAsia"/>
          </w:rPr>
          <w:t>basis point</w:t>
        </w:r>
      </w:hyperlink>
      <w:r>
        <w:t xml:space="preserve">). It reflects the change in market value of a </w:t>
      </w:r>
      <w:hyperlink r:id="rId20" w:history="1">
        <w:r>
          <w:rPr>
            <w:rStyle w:val="Hyperlink"/>
            <w:rFonts w:eastAsiaTheme="majorEastAsia"/>
          </w:rPr>
          <w:t>CDS</w:t>
        </w:r>
      </w:hyperlink>
      <w:r>
        <w:t xml:space="preserve"> in response to a one basis point change in the </w:t>
      </w:r>
      <w:hyperlink r:id="rId21" w:history="1">
        <w:r>
          <w:rPr>
            <w:rStyle w:val="Hyperlink"/>
            <w:rFonts w:eastAsiaTheme="majorEastAsia"/>
          </w:rPr>
          <w:t>swap premium</w:t>
        </w:r>
      </w:hyperlink>
      <w:r>
        <w:t>. More specifically, it is the change in a CDS contract market for a one basis point parallel shift in the credit curve.</w:t>
      </w:r>
    </w:p>
    <w:p w:rsidR="00F1040E" w:rsidRDefault="00987C41" w:rsidP="00EA22A1">
      <w:pPr>
        <w:rPr>
          <w:sz w:val="28"/>
          <w:szCs w:val="28"/>
        </w:rPr>
      </w:pPr>
      <w:r>
        <w:rPr>
          <w:sz w:val="28"/>
          <w:szCs w:val="28"/>
        </w:rPr>
        <w:t>Fixed Income</w:t>
      </w:r>
    </w:p>
    <w:p w:rsidR="00D86B08" w:rsidRDefault="00987C41" w:rsidP="00987C41">
      <w:r>
        <w:t>A</w:t>
      </w:r>
      <w:r>
        <w:t xml:space="preserve">n investment that provides a return in the form of fixed periodic </w:t>
      </w:r>
      <w:hyperlink r:id="rId22" w:history="1">
        <w:r>
          <w:rPr>
            <w:rStyle w:val="Hyperlink"/>
          </w:rPr>
          <w:t>payments</w:t>
        </w:r>
      </w:hyperlink>
      <w:r>
        <w:t xml:space="preserve"> and the eventual return of principal at maturity. </w:t>
      </w:r>
      <w:r>
        <w:t xml:space="preserve"> </w:t>
      </w:r>
    </w:p>
    <w:p w:rsidR="00987C41" w:rsidRDefault="00D86B08" w:rsidP="00987C41">
      <w:r>
        <w:t xml:space="preserve">A </w:t>
      </w:r>
      <w:r w:rsidR="00987C41">
        <w:t>fixed income security is commonly referred to as a bond or money market security.</w:t>
      </w:r>
      <w:r>
        <w:t xml:space="preserve"> </w:t>
      </w:r>
      <w:proofErr w:type="gramStart"/>
      <w:r>
        <w:t>i.e</w:t>
      </w:r>
      <w:proofErr w:type="gramEnd"/>
      <w:r>
        <w:t>. Treasuries, Corporate bonds,  Muni bonds, CD.</w:t>
      </w:r>
    </w:p>
    <w:p w:rsidR="00987C41" w:rsidRDefault="00987C41" w:rsidP="00987C41"/>
    <w:p w:rsidR="00987C41" w:rsidRPr="00C76546" w:rsidRDefault="00987C41" w:rsidP="00EA22A1">
      <w:pPr>
        <w:rPr>
          <w:sz w:val="28"/>
          <w:szCs w:val="28"/>
        </w:rPr>
      </w:pPr>
    </w:p>
    <w:sectPr w:rsidR="00987C41" w:rsidRPr="00C76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E2B94"/>
    <w:multiLevelType w:val="hybridMultilevel"/>
    <w:tmpl w:val="2DE87FDE"/>
    <w:lvl w:ilvl="0" w:tplc="10A60C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540A08"/>
    <w:multiLevelType w:val="hybridMultilevel"/>
    <w:tmpl w:val="00286E18"/>
    <w:lvl w:ilvl="0" w:tplc="10A60C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F048F9"/>
    <w:multiLevelType w:val="hybridMultilevel"/>
    <w:tmpl w:val="FFAAE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0343D2"/>
    <w:multiLevelType w:val="hybridMultilevel"/>
    <w:tmpl w:val="854634DA"/>
    <w:lvl w:ilvl="0" w:tplc="10A60C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2A1"/>
    <w:rsid w:val="00044821"/>
    <w:rsid w:val="000A68F5"/>
    <w:rsid w:val="00195C3B"/>
    <w:rsid w:val="001F1593"/>
    <w:rsid w:val="002514FA"/>
    <w:rsid w:val="00393AFB"/>
    <w:rsid w:val="003F4097"/>
    <w:rsid w:val="00433DDC"/>
    <w:rsid w:val="00477F4D"/>
    <w:rsid w:val="004C3A7F"/>
    <w:rsid w:val="004F44EA"/>
    <w:rsid w:val="0080182F"/>
    <w:rsid w:val="00860A14"/>
    <w:rsid w:val="008C5BCF"/>
    <w:rsid w:val="008E1664"/>
    <w:rsid w:val="00987C41"/>
    <w:rsid w:val="009F742D"/>
    <w:rsid w:val="00AD698A"/>
    <w:rsid w:val="00BB6958"/>
    <w:rsid w:val="00C76546"/>
    <w:rsid w:val="00D86B08"/>
    <w:rsid w:val="00DE64BD"/>
    <w:rsid w:val="00EA22A1"/>
    <w:rsid w:val="00F1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2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4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0A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2A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A22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22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A22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0182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F44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gc">
    <w:name w:val="_tgc"/>
    <w:basedOn w:val="DefaultParagraphFont"/>
    <w:rsid w:val="00433DDC"/>
  </w:style>
  <w:style w:type="character" w:styleId="Strong">
    <w:name w:val="Strong"/>
    <w:basedOn w:val="DefaultParagraphFont"/>
    <w:uiPriority w:val="22"/>
    <w:qFormat/>
    <w:rsid w:val="00860A1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60A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E6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2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4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0A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2A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A22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22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A22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0182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F44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gc">
    <w:name w:val="_tgc"/>
    <w:basedOn w:val="DefaultParagraphFont"/>
    <w:rsid w:val="00433DDC"/>
  </w:style>
  <w:style w:type="character" w:styleId="Strong">
    <w:name w:val="Strong"/>
    <w:basedOn w:val="DefaultParagraphFont"/>
    <w:uiPriority w:val="22"/>
    <w:qFormat/>
    <w:rsid w:val="00860A1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60A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E6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vestopedia.com/video/play/debt-to-equity-ratio/" TargetMode="External"/><Relationship Id="rId13" Type="http://schemas.openxmlformats.org/officeDocument/2006/relationships/hyperlink" Target="http://www.investopedia.com/terms/d/dividend.asp" TargetMode="External"/><Relationship Id="rId18" Type="http://schemas.openxmlformats.org/officeDocument/2006/relationships/hyperlink" Target="http://www.investment-and-finance.net/derivatives/c/credit-default-swap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investment-and-finance.net/derivatives/s/swap-premium.html" TargetMode="External"/><Relationship Id="rId7" Type="http://schemas.openxmlformats.org/officeDocument/2006/relationships/hyperlink" Target="http://www.investopedia.com/terms/s/savings.asp" TargetMode="External"/><Relationship Id="rId12" Type="http://schemas.openxmlformats.org/officeDocument/2006/relationships/hyperlink" Target="http://www.investopedia.com/terms/n/netincome.asp" TargetMode="External"/><Relationship Id="rId17" Type="http://schemas.openxmlformats.org/officeDocument/2006/relationships/hyperlink" Target="https://eiptrading.com/risk-management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nvestopedia.com/terms/u/undisclosedreserves.asp" TargetMode="External"/><Relationship Id="rId20" Type="http://schemas.openxmlformats.org/officeDocument/2006/relationships/hyperlink" Target="http://www.investment-and-finance.net/derivatives/c/cd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nvestopedia.com/terms/t/thriftbank.asp" TargetMode="External"/><Relationship Id="rId11" Type="http://schemas.openxmlformats.org/officeDocument/2006/relationships/hyperlink" Target="http://ec.tynt.com/b/rf?id=arwjQmCEqr4l6Cadbi-bnq&amp;u=Investopedia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investopedia.com/terms/r/revaluationreserves.as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investopedia.com/terms/c/core-capital.asp" TargetMode="External"/><Relationship Id="rId19" Type="http://schemas.openxmlformats.org/officeDocument/2006/relationships/hyperlink" Target="http://www.investment-and-finance.net/derivatives/b/basis-poin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vestopedia.com/terms/c/core-capital.asp" TargetMode="External"/><Relationship Id="rId14" Type="http://schemas.openxmlformats.org/officeDocument/2006/relationships/hyperlink" Target="http://www.investopedia.com/terms/t/tier2capital.asp" TargetMode="External"/><Relationship Id="rId22" Type="http://schemas.openxmlformats.org/officeDocument/2006/relationships/hyperlink" Target="http://www.investopedia.com/terms/p/paymen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mazzo</dc:creator>
  <cp:lastModifiedBy>mazzo</cp:lastModifiedBy>
  <cp:revision>23</cp:revision>
  <dcterms:created xsi:type="dcterms:W3CDTF">2016-07-18T21:20:00Z</dcterms:created>
  <dcterms:modified xsi:type="dcterms:W3CDTF">2016-07-19T18:19:00Z</dcterms:modified>
</cp:coreProperties>
</file>