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30373" w14:textId="1D7C70E8" w:rsidR="00326C4F" w:rsidRPr="00326C4F" w:rsidRDefault="00326C4F" w:rsidP="00326C4F">
      <w:pPr>
        <w:jc w:val="center"/>
        <w:rPr>
          <w:noProof/>
          <w:sz w:val="28"/>
          <w:szCs w:val="28"/>
        </w:rPr>
      </w:pPr>
      <w:r w:rsidRPr="00326C4F">
        <w:rPr>
          <w:noProof/>
          <w:sz w:val="28"/>
          <w:szCs w:val="28"/>
        </w:rPr>
        <w:t>Crystal Reports Database Connections</w:t>
      </w:r>
    </w:p>
    <w:p w14:paraId="5E7661E6" w14:textId="1D6BFDFC" w:rsidR="004C7F9D" w:rsidRDefault="004C7F9D">
      <w:pPr>
        <w:rPr>
          <w:noProof/>
        </w:rPr>
      </w:pPr>
      <w:r>
        <w:rPr>
          <w:noProof/>
        </w:rPr>
        <w:t>Choose “Microsoft OLE DB Provider for SQL Server” (highlighted) when making a new connection.</w:t>
      </w:r>
    </w:p>
    <w:p w14:paraId="4A8E2486" w14:textId="3C0672FF" w:rsidR="00F901D4" w:rsidRDefault="004C7F9D">
      <w:pPr>
        <w:rPr>
          <w:noProof/>
        </w:rPr>
      </w:pPr>
      <w:r>
        <w:rPr>
          <w:noProof/>
        </w:rPr>
        <w:t>Do NOT choose the one in blue, “</w:t>
      </w:r>
      <w:r>
        <w:rPr>
          <w:noProof/>
        </w:rPr>
        <w:t xml:space="preserve">Microsoft OLE DB </w:t>
      </w:r>
      <w:r>
        <w:rPr>
          <w:noProof/>
        </w:rPr>
        <w:t>Driv</w:t>
      </w:r>
      <w:r>
        <w:rPr>
          <w:noProof/>
        </w:rPr>
        <w:t>er for SQL Server</w:t>
      </w:r>
      <w:r>
        <w:rPr>
          <w:noProof/>
        </w:rPr>
        <w:t>”.</w:t>
      </w:r>
    </w:p>
    <w:p w14:paraId="07D3EDC3" w14:textId="6FFD10F9" w:rsidR="004C7F9D" w:rsidRDefault="004C7F9D">
      <w:pPr>
        <w:rPr>
          <w:noProof/>
        </w:rPr>
      </w:pPr>
      <w:r>
        <w:rPr>
          <w:noProof/>
        </w:rPr>
        <w:drawing>
          <wp:inline distT="0" distB="0" distL="0" distR="0" wp14:anchorId="33126172" wp14:editId="633128F4">
            <wp:extent cx="4295775" cy="2505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15B8" w14:textId="3AD41490" w:rsidR="004C7F9D" w:rsidRDefault="004C7F9D">
      <w:pPr>
        <w:rPr>
          <w:noProof/>
        </w:rPr>
      </w:pPr>
      <w:r>
        <w:rPr>
          <w:noProof/>
        </w:rPr>
        <w:t>This is how the correct Provider looks in the properties.</w:t>
      </w:r>
    </w:p>
    <w:p w14:paraId="7AFB4A02" w14:textId="4A1C01EB" w:rsidR="00F02305" w:rsidRDefault="00F901D4">
      <w:r>
        <w:rPr>
          <w:noProof/>
        </w:rPr>
        <w:drawing>
          <wp:inline distT="0" distB="0" distL="0" distR="0" wp14:anchorId="1124CFFE" wp14:editId="1D0165B4">
            <wp:extent cx="5943600" cy="2293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6724" w14:textId="51956C7A" w:rsidR="00F901D4" w:rsidRDefault="00F901D4">
      <w:r>
        <w:t xml:space="preserve">This </w:t>
      </w:r>
      <w:r w:rsidR="004C7F9D">
        <w:t>is how the incorrect P</w:t>
      </w:r>
      <w:r>
        <w:t xml:space="preserve">rovider </w:t>
      </w:r>
      <w:r w:rsidR="004C7F9D">
        <w:t>looks in the properties</w:t>
      </w:r>
      <w:r>
        <w:t>.</w:t>
      </w:r>
    </w:p>
    <w:p w14:paraId="068016DB" w14:textId="0D8D6ACB" w:rsidR="00F901D4" w:rsidRDefault="00F901D4">
      <w:r>
        <w:rPr>
          <w:noProof/>
        </w:rPr>
        <w:drawing>
          <wp:inline distT="0" distB="0" distL="0" distR="0" wp14:anchorId="0E273A9F" wp14:editId="358BF05B">
            <wp:extent cx="5943600" cy="2475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1D4" w:rsidSect="00326C4F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D4"/>
    <w:rsid w:val="00326C4F"/>
    <w:rsid w:val="004C7F9D"/>
    <w:rsid w:val="005A7FA5"/>
    <w:rsid w:val="00F02305"/>
    <w:rsid w:val="00F9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D5E7"/>
  <w15:chartTrackingRefBased/>
  <w15:docId w15:val="{DD0FAA9F-8E5A-425F-BE69-6ABBF584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1</cp:revision>
  <dcterms:created xsi:type="dcterms:W3CDTF">2020-07-17T15:22:00Z</dcterms:created>
  <dcterms:modified xsi:type="dcterms:W3CDTF">2020-07-17T16:29:00Z</dcterms:modified>
</cp:coreProperties>
</file>