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6136"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65BDDCDE" w14:textId="72919001"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Our assumption is that Balance Sheet accounts will be used to create the cash flow lines.</w:t>
      </w:r>
    </w:p>
    <w:p w14:paraId="56C41BBF"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0270BB88" w14:textId="2F91538B"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 xml:space="preserve">In that case debits decrease cash and credits increase </w:t>
      </w:r>
      <w:r w:rsidR="00DB65BE" w:rsidRPr="0034799D">
        <w:rPr>
          <w:rFonts w:cstheme="minorHAnsi"/>
          <w:color w:val="000000" w:themeColor="text1"/>
          <w:sz w:val="20"/>
          <w:szCs w:val="20"/>
        </w:rPr>
        <w:t>cash,</w:t>
      </w:r>
      <w:r w:rsidRPr="0034799D">
        <w:rPr>
          <w:rFonts w:cstheme="minorHAnsi"/>
          <w:color w:val="000000" w:themeColor="text1"/>
          <w:sz w:val="20"/>
          <w:szCs w:val="20"/>
        </w:rPr>
        <w:t xml:space="preserve"> so we always multiply by -1 for Balance Sheet accounts.</w:t>
      </w:r>
    </w:p>
    <w:p w14:paraId="421EDB25"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1B406AF2" w14:textId="677C1E9F"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Our assumption is also that when a P &amp; L account is used, it is being used to "add back", in which case its sign shouldn't be reversed. (TAH thinks this assumption is a bit "iffy" because it's possible to build your cash flow lines using P &amp; L accounts.  However, we will say that our standard Cash Flow Statements assume you'll use Balance Sheet accounts except to "add back".)</w:t>
      </w:r>
    </w:p>
    <w:p w14:paraId="7A9CC38B"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4D16A3F6" w14:textId="765C9A8A" w:rsidR="0034799D" w:rsidRPr="0034799D" w:rsidRDefault="0034799D" w:rsidP="0034799D">
      <w:pPr>
        <w:autoSpaceDE w:val="0"/>
        <w:autoSpaceDN w:val="0"/>
        <w:adjustRightInd w:val="0"/>
        <w:spacing w:after="0" w:line="240" w:lineRule="auto"/>
        <w:ind w:left="720"/>
        <w:rPr>
          <w:rFonts w:cstheme="minorHAnsi"/>
          <w:color w:val="000000" w:themeColor="text1"/>
          <w:sz w:val="20"/>
          <w:szCs w:val="20"/>
        </w:rPr>
      </w:pPr>
      <w:r w:rsidRPr="0034799D">
        <w:rPr>
          <w:rFonts w:cstheme="minorHAnsi"/>
          <w:color w:val="000000" w:themeColor="text1"/>
          <w:sz w:val="20"/>
          <w:szCs w:val="20"/>
        </w:rPr>
        <w:t>Assets = Liabilities + OE</w:t>
      </w:r>
    </w:p>
    <w:p w14:paraId="789CF625" w14:textId="59A197DE" w:rsidR="0034799D" w:rsidRPr="0034799D" w:rsidRDefault="0034799D" w:rsidP="0034799D">
      <w:pPr>
        <w:autoSpaceDE w:val="0"/>
        <w:autoSpaceDN w:val="0"/>
        <w:adjustRightInd w:val="0"/>
        <w:spacing w:after="0" w:line="240" w:lineRule="auto"/>
        <w:ind w:left="720"/>
        <w:rPr>
          <w:rFonts w:cstheme="minorHAnsi"/>
          <w:color w:val="000000" w:themeColor="text1"/>
          <w:sz w:val="20"/>
          <w:szCs w:val="20"/>
        </w:rPr>
      </w:pPr>
      <w:r w:rsidRPr="0034799D">
        <w:rPr>
          <w:rFonts w:cstheme="minorHAnsi"/>
          <w:color w:val="000000" w:themeColor="text1"/>
          <w:sz w:val="20"/>
          <w:szCs w:val="20"/>
        </w:rPr>
        <w:t>Cash + Non-cash Assets = Liabilities + OE</w:t>
      </w:r>
    </w:p>
    <w:p w14:paraId="389BEB38" w14:textId="274C03AE" w:rsidR="0034799D" w:rsidRPr="0034799D" w:rsidRDefault="0034799D" w:rsidP="0034799D">
      <w:pPr>
        <w:autoSpaceDE w:val="0"/>
        <w:autoSpaceDN w:val="0"/>
        <w:adjustRightInd w:val="0"/>
        <w:spacing w:after="0" w:line="240" w:lineRule="auto"/>
        <w:ind w:left="720"/>
        <w:rPr>
          <w:rFonts w:cstheme="minorHAnsi"/>
          <w:color w:val="000000" w:themeColor="text1"/>
          <w:sz w:val="20"/>
          <w:szCs w:val="20"/>
        </w:rPr>
      </w:pPr>
      <w:r w:rsidRPr="0034799D">
        <w:rPr>
          <w:rFonts w:cstheme="minorHAnsi"/>
          <w:color w:val="000000" w:themeColor="text1"/>
          <w:sz w:val="20"/>
          <w:szCs w:val="20"/>
        </w:rPr>
        <w:t>Cash = Liabilities + OE - Non-cash Assets</w:t>
      </w:r>
    </w:p>
    <w:p w14:paraId="509B8DE6" w14:textId="5BB88D96"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7A9F8020" w14:textId="18881E68"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Therefore</w:t>
      </w:r>
    </w:p>
    <w:p w14:paraId="390339F9"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54034814" w14:textId="34245E9E" w:rsidR="0034799D" w:rsidRPr="0034799D" w:rsidRDefault="0034799D" w:rsidP="0034799D">
      <w:pPr>
        <w:autoSpaceDE w:val="0"/>
        <w:autoSpaceDN w:val="0"/>
        <w:adjustRightInd w:val="0"/>
        <w:spacing w:after="0" w:line="240" w:lineRule="auto"/>
        <w:ind w:firstLine="720"/>
        <w:rPr>
          <w:rFonts w:cstheme="minorHAnsi"/>
          <w:color w:val="000000" w:themeColor="text1"/>
          <w:sz w:val="20"/>
          <w:szCs w:val="20"/>
        </w:rPr>
      </w:pPr>
      <w:r w:rsidRPr="0034799D">
        <w:rPr>
          <w:rFonts w:cstheme="minorHAnsi"/>
          <w:color w:val="000000" w:themeColor="text1"/>
          <w:sz w:val="20"/>
          <w:szCs w:val="20"/>
        </w:rPr>
        <w:t>when a liability goes up (is credited), cash goes up</w:t>
      </w:r>
    </w:p>
    <w:p w14:paraId="1CF11C3B" w14:textId="39699BC7" w:rsidR="0034799D" w:rsidRPr="0034799D" w:rsidRDefault="0034799D" w:rsidP="0034799D">
      <w:pPr>
        <w:autoSpaceDE w:val="0"/>
        <w:autoSpaceDN w:val="0"/>
        <w:adjustRightInd w:val="0"/>
        <w:spacing w:after="0" w:line="240" w:lineRule="auto"/>
        <w:ind w:left="720"/>
        <w:rPr>
          <w:rFonts w:cstheme="minorHAnsi"/>
          <w:color w:val="000000" w:themeColor="text1"/>
          <w:sz w:val="20"/>
          <w:szCs w:val="20"/>
        </w:rPr>
      </w:pPr>
      <w:proofErr w:type="gramStart"/>
      <w:r w:rsidRPr="0034799D">
        <w:rPr>
          <w:rFonts w:cstheme="minorHAnsi"/>
          <w:color w:val="000000" w:themeColor="text1"/>
          <w:sz w:val="20"/>
          <w:szCs w:val="20"/>
        </w:rPr>
        <w:t>when</w:t>
      </w:r>
      <w:proofErr w:type="gramEnd"/>
      <w:r w:rsidRPr="0034799D">
        <w:rPr>
          <w:rFonts w:cstheme="minorHAnsi"/>
          <w:color w:val="000000" w:themeColor="text1"/>
          <w:sz w:val="20"/>
          <w:szCs w:val="20"/>
        </w:rPr>
        <w:t xml:space="preserve"> a non-cash asset goes up (is debited) cash goes down</w:t>
      </w:r>
    </w:p>
    <w:p w14:paraId="238A03D3"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270833DC"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Disposing of an asset doesn't affect cash.  Therefore, we need to add back to the asset accounts the asset dispositions.</w:t>
      </w:r>
    </w:p>
    <w:p w14:paraId="0653D4E1"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72A0CBCB" w14:textId="04DEC930"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 xml:space="preserve">Selling an asset (i.e., receiving proceeds as part of the disposition) does </w:t>
      </w:r>
      <w:r w:rsidR="00DB65BE" w:rsidRPr="0034799D">
        <w:rPr>
          <w:rFonts w:cstheme="minorHAnsi"/>
          <w:color w:val="000000" w:themeColor="text1"/>
          <w:sz w:val="20"/>
          <w:szCs w:val="20"/>
        </w:rPr>
        <w:t>affect</w:t>
      </w:r>
      <w:r w:rsidRPr="0034799D">
        <w:rPr>
          <w:rFonts w:cstheme="minorHAnsi"/>
          <w:color w:val="000000" w:themeColor="text1"/>
          <w:sz w:val="20"/>
          <w:szCs w:val="20"/>
        </w:rPr>
        <w:t xml:space="preserve"> cash.  The proceeds are to be reported under Investing Activities.</w:t>
      </w:r>
    </w:p>
    <w:p w14:paraId="1DB71FC9" w14:textId="6364E8FD"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494B24FD" w14:textId="2111BBA2"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When an asset is sold the proceeds need to debit an account, such as AR - Fixed Assets, that should be credited when the cash is posted via Bank Deposits.  To make the cash flow statement correct, we need to pick up only the credit (which will show as positive proceeds on the cash flow because we reverse the signs on balance sheet accounts) not the debit.  Therefore, we'll add back the debit created by the disposition FA document.</w:t>
      </w:r>
    </w:p>
    <w:p w14:paraId="62D6D460" w14:textId="544A9544"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63AC158B" w14:textId="2424C17F"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For example, asset 000021 which had an original cost of $600 and $10 of accumulated depreciation was sold for $450 when it had a book value of $590. The disposition posted as</w:t>
      </w:r>
    </w:p>
    <w:p w14:paraId="225725EC"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7F33AE1C" w14:textId="77777777" w:rsidR="008B3EA3" w:rsidRPr="0034799D" w:rsidRDefault="008B3EA3" w:rsidP="008B3EA3">
      <w:pPr>
        <w:autoSpaceDE w:val="0"/>
        <w:autoSpaceDN w:val="0"/>
        <w:adjustRightInd w:val="0"/>
        <w:spacing w:after="0" w:line="240" w:lineRule="auto"/>
        <w:ind w:left="720"/>
        <w:rPr>
          <w:rFonts w:cstheme="minorHAnsi"/>
          <w:color w:val="000000" w:themeColor="text1"/>
          <w:sz w:val="20"/>
          <w:szCs w:val="20"/>
        </w:rPr>
      </w:pPr>
      <w:r w:rsidRPr="0034799D">
        <w:rPr>
          <w:rFonts w:cstheme="minorHAnsi"/>
          <w:color w:val="000000" w:themeColor="text1"/>
          <w:sz w:val="20"/>
          <w:szCs w:val="20"/>
        </w:rPr>
        <w:t>Debit EF1590 Accumulated Depreciation</w:t>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t>$10</w:t>
      </w:r>
    </w:p>
    <w:p w14:paraId="7042D6D7" w14:textId="0456A102" w:rsidR="0034799D" w:rsidRPr="0034799D" w:rsidRDefault="0034799D" w:rsidP="0034799D">
      <w:pPr>
        <w:autoSpaceDE w:val="0"/>
        <w:autoSpaceDN w:val="0"/>
        <w:adjustRightInd w:val="0"/>
        <w:spacing w:after="0" w:line="240" w:lineRule="auto"/>
        <w:ind w:left="720"/>
        <w:rPr>
          <w:rFonts w:cstheme="minorHAnsi"/>
          <w:color w:val="000000" w:themeColor="text1"/>
          <w:sz w:val="20"/>
          <w:szCs w:val="20"/>
        </w:rPr>
      </w:pPr>
      <w:r w:rsidRPr="0034799D">
        <w:rPr>
          <w:rFonts w:cstheme="minorHAnsi"/>
          <w:color w:val="000000" w:themeColor="text1"/>
          <w:sz w:val="20"/>
          <w:szCs w:val="20"/>
        </w:rPr>
        <w:t>Debit EF1130 AR - Fixed Assets (proceeds pending)</w:t>
      </w:r>
      <w:r w:rsidRPr="0034799D">
        <w:rPr>
          <w:rFonts w:cstheme="minorHAnsi"/>
          <w:color w:val="000000" w:themeColor="text1"/>
          <w:sz w:val="20"/>
          <w:szCs w:val="20"/>
        </w:rPr>
        <w:tab/>
      </w:r>
      <w:r w:rsidRPr="0034799D">
        <w:rPr>
          <w:rFonts w:cstheme="minorHAnsi"/>
          <w:color w:val="000000" w:themeColor="text1"/>
          <w:sz w:val="20"/>
          <w:szCs w:val="20"/>
        </w:rPr>
        <w:tab/>
        <w:t>$450</w:t>
      </w:r>
    </w:p>
    <w:p w14:paraId="5634531E" w14:textId="2A62253C" w:rsidR="0034799D" w:rsidRPr="0034799D" w:rsidRDefault="0034799D" w:rsidP="0034799D">
      <w:pPr>
        <w:autoSpaceDE w:val="0"/>
        <w:autoSpaceDN w:val="0"/>
        <w:adjustRightInd w:val="0"/>
        <w:spacing w:after="0" w:line="240" w:lineRule="auto"/>
        <w:ind w:left="720"/>
        <w:rPr>
          <w:rFonts w:cstheme="minorHAnsi"/>
          <w:color w:val="000000" w:themeColor="text1"/>
          <w:sz w:val="20"/>
          <w:szCs w:val="20"/>
        </w:rPr>
      </w:pPr>
      <w:r w:rsidRPr="0034799D">
        <w:rPr>
          <w:rFonts w:cstheme="minorHAnsi"/>
          <w:color w:val="000000" w:themeColor="text1"/>
          <w:sz w:val="20"/>
          <w:szCs w:val="20"/>
        </w:rPr>
        <w:t>Debit 2108410 Gain/Loss on Sale</w:t>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t>$140</w:t>
      </w:r>
    </w:p>
    <w:p w14:paraId="30659A7D" w14:textId="6C2131C7" w:rsidR="0034799D" w:rsidRPr="0034799D" w:rsidRDefault="0034799D" w:rsidP="0034799D">
      <w:pPr>
        <w:autoSpaceDE w:val="0"/>
        <w:autoSpaceDN w:val="0"/>
        <w:adjustRightInd w:val="0"/>
        <w:spacing w:after="0" w:line="240" w:lineRule="auto"/>
        <w:ind w:left="1440"/>
        <w:rPr>
          <w:rFonts w:cstheme="minorHAnsi"/>
          <w:color w:val="000000" w:themeColor="text1"/>
          <w:sz w:val="20"/>
          <w:szCs w:val="20"/>
        </w:rPr>
      </w:pPr>
      <w:r w:rsidRPr="0034799D">
        <w:rPr>
          <w:rFonts w:cstheme="minorHAnsi"/>
          <w:color w:val="000000" w:themeColor="text1"/>
          <w:sz w:val="20"/>
          <w:szCs w:val="20"/>
        </w:rPr>
        <w:t>Credit EF1530 Equipment</w:t>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t>$600</w:t>
      </w:r>
    </w:p>
    <w:p w14:paraId="4A75A420"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0C090C3D" w14:textId="1E264096"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 xml:space="preserve">The bank deposit posted as </w:t>
      </w:r>
    </w:p>
    <w:p w14:paraId="52273AAE" w14:textId="7438162F"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4602F9BB" w14:textId="61A36F76" w:rsidR="0034799D" w:rsidRPr="0034799D" w:rsidRDefault="0034799D" w:rsidP="0034799D">
      <w:pPr>
        <w:autoSpaceDE w:val="0"/>
        <w:autoSpaceDN w:val="0"/>
        <w:adjustRightInd w:val="0"/>
        <w:spacing w:after="0" w:line="240" w:lineRule="auto"/>
        <w:ind w:firstLine="720"/>
        <w:rPr>
          <w:rFonts w:cstheme="minorHAnsi"/>
          <w:color w:val="000000" w:themeColor="text1"/>
          <w:sz w:val="20"/>
          <w:szCs w:val="20"/>
        </w:rPr>
      </w:pPr>
      <w:r w:rsidRPr="0034799D">
        <w:rPr>
          <w:rFonts w:cstheme="minorHAnsi"/>
          <w:color w:val="000000" w:themeColor="text1"/>
          <w:sz w:val="20"/>
          <w:szCs w:val="20"/>
        </w:rPr>
        <w:t>Debit EF1020 Cash</w:t>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t>$450</w:t>
      </w:r>
    </w:p>
    <w:p w14:paraId="7B335093" w14:textId="2E01D50F"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ab/>
      </w:r>
      <w:r w:rsidRPr="0034799D">
        <w:rPr>
          <w:rFonts w:cstheme="minorHAnsi"/>
          <w:color w:val="000000" w:themeColor="text1"/>
          <w:sz w:val="20"/>
          <w:szCs w:val="20"/>
        </w:rPr>
        <w:tab/>
        <w:t>Credit EF1130 AR - Fixed Assets (proceeds pending)</w:t>
      </w:r>
      <w:r w:rsidRPr="0034799D">
        <w:rPr>
          <w:rFonts w:cstheme="minorHAnsi"/>
          <w:color w:val="000000" w:themeColor="text1"/>
          <w:sz w:val="20"/>
          <w:szCs w:val="20"/>
        </w:rPr>
        <w:tab/>
      </w:r>
      <w:r w:rsidRPr="0034799D">
        <w:rPr>
          <w:rFonts w:cstheme="minorHAnsi"/>
          <w:color w:val="000000" w:themeColor="text1"/>
          <w:sz w:val="20"/>
          <w:szCs w:val="20"/>
        </w:rPr>
        <w:tab/>
      </w:r>
      <w:r w:rsidRPr="0034799D">
        <w:rPr>
          <w:rFonts w:cstheme="minorHAnsi"/>
          <w:color w:val="000000" w:themeColor="text1"/>
          <w:sz w:val="20"/>
          <w:szCs w:val="20"/>
        </w:rPr>
        <w:tab/>
        <w:t>$450</w:t>
      </w:r>
    </w:p>
    <w:p w14:paraId="7AA708D7" w14:textId="29BBF1F2"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750B209B" w14:textId="3E9277D9" w:rsidR="0034799D" w:rsidRP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We need to remove the $600 credit from EF1020 for Cash Flow reporting purposes.</w:t>
      </w:r>
    </w:p>
    <w:p w14:paraId="494C8DE7" w14:textId="77777777" w:rsidR="0034799D" w:rsidRPr="0034799D" w:rsidRDefault="0034799D" w:rsidP="0034799D">
      <w:pPr>
        <w:autoSpaceDE w:val="0"/>
        <w:autoSpaceDN w:val="0"/>
        <w:adjustRightInd w:val="0"/>
        <w:spacing w:after="0" w:line="240" w:lineRule="auto"/>
        <w:rPr>
          <w:rFonts w:cstheme="minorHAnsi"/>
          <w:color w:val="000000" w:themeColor="text1"/>
          <w:sz w:val="20"/>
          <w:szCs w:val="20"/>
        </w:rPr>
      </w:pPr>
    </w:p>
    <w:p w14:paraId="46EEC7EE" w14:textId="4B668E2A" w:rsidR="0034799D" w:rsidRDefault="0034799D" w:rsidP="0034799D">
      <w:pPr>
        <w:autoSpaceDE w:val="0"/>
        <w:autoSpaceDN w:val="0"/>
        <w:adjustRightInd w:val="0"/>
        <w:spacing w:after="0" w:line="240" w:lineRule="auto"/>
        <w:rPr>
          <w:rFonts w:cstheme="minorHAnsi"/>
          <w:color w:val="000000" w:themeColor="text1"/>
          <w:sz w:val="20"/>
          <w:szCs w:val="20"/>
        </w:rPr>
      </w:pPr>
      <w:r w:rsidRPr="0034799D">
        <w:rPr>
          <w:rFonts w:cstheme="minorHAnsi"/>
          <w:color w:val="000000" w:themeColor="text1"/>
          <w:sz w:val="20"/>
          <w:szCs w:val="20"/>
        </w:rPr>
        <w:t>We need to remove the $450 debit from EF1130 for Cash Flow reporting purposes.</w:t>
      </w:r>
    </w:p>
    <w:p w14:paraId="3868B567" w14:textId="77777777" w:rsidR="0034799D" w:rsidRDefault="0034799D">
      <w:pPr>
        <w:rPr>
          <w:rFonts w:cstheme="minorHAnsi"/>
          <w:color w:val="000000" w:themeColor="text1"/>
          <w:sz w:val="20"/>
          <w:szCs w:val="20"/>
        </w:rPr>
      </w:pPr>
      <w:r>
        <w:rPr>
          <w:rFonts w:cstheme="minorHAnsi"/>
          <w:color w:val="000000" w:themeColor="text1"/>
          <w:sz w:val="20"/>
          <w:szCs w:val="20"/>
        </w:rPr>
        <w:br w:type="page"/>
      </w:r>
    </w:p>
    <w:p w14:paraId="24E0493E" w14:textId="4A25983B" w:rsidR="0034799D" w:rsidRDefault="0034799D" w:rsidP="0034799D">
      <w:pPr>
        <w:autoSpaceDE w:val="0"/>
        <w:autoSpaceDN w:val="0"/>
        <w:adjustRightInd w:val="0"/>
        <w:spacing w:after="0" w:line="240" w:lineRule="auto"/>
        <w:rPr>
          <w:rFonts w:cstheme="minorHAnsi"/>
          <w:color w:val="000000" w:themeColor="text1"/>
          <w:sz w:val="20"/>
          <w:szCs w:val="20"/>
        </w:rPr>
      </w:pPr>
      <w:r>
        <w:rPr>
          <w:noProof/>
        </w:rPr>
        <w:lastRenderedPageBreak/>
        <w:drawing>
          <wp:inline distT="0" distB="0" distL="0" distR="0" wp14:anchorId="30EAD3C1" wp14:editId="0C869FF2">
            <wp:extent cx="5943600" cy="3517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17900"/>
                    </a:xfrm>
                    <a:prstGeom prst="rect">
                      <a:avLst/>
                    </a:prstGeom>
                  </pic:spPr>
                </pic:pic>
              </a:graphicData>
            </a:graphic>
          </wp:inline>
        </w:drawing>
      </w:r>
    </w:p>
    <w:p w14:paraId="1F4DED9F" w14:textId="274A0DEA" w:rsidR="006A6FDC" w:rsidRDefault="006A6FDC" w:rsidP="0034799D">
      <w:pPr>
        <w:autoSpaceDE w:val="0"/>
        <w:autoSpaceDN w:val="0"/>
        <w:adjustRightInd w:val="0"/>
        <w:spacing w:after="0" w:line="240" w:lineRule="auto"/>
        <w:rPr>
          <w:rFonts w:cstheme="minorHAnsi"/>
          <w:color w:val="000000" w:themeColor="text1"/>
          <w:sz w:val="20"/>
          <w:szCs w:val="20"/>
        </w:rPr>
      </w:pPr>
    </w:p>
    <w:p w14:paraId="5F049BC1" w14:textId="77777777" w:rsidR="006A6FDC" w:rsidRDefault="006A6FDC" w:rsidP="0034799D">
      <w:pPr>
        <w:autoSpaceDE w:val="0"/>
        <w:autoSpaceDN w:val="0"/>
        <w:adjustRightInd w:val="0"/>
        <w:spacing w:after="0" w:line="240" w:lineRule="auto"/>
        <w:rPr>
          <w:rFonts w:cstheme="minorHAnsi"/>
          <w:color w:val="000000" w:themeColor="text1"/>
          <w:sz w:val="20"/>
          <w:szCs w:val="20"/>
        </w:rPr>
      </w:pPr>
    </w:p>
    <w:p w14:paraId="5467607E" w14:textId="04CBC3CB" w:rsidR="006A6FDC" w:rsidRDefault="006A6FDC" w:rsidP="0034799D">
      <w:pPr>
        <w:autoSpaceDE w:val="0"/>
        <w:autoSpaceDN w:val="0"/>
        <w:adjustRightInd w:val="0"/>
        <w:spacing w:after="0" w:line="240" w:lineRule="auto"/>
        <w:rPr>
          <w:rFonts w:cstheme="minorHAnsi"/>
          <w:color w:val="000000" w:themeColor="text1"/>
          <w:sz w:val="20"/>
          <w:szCs w:val="20"/>
        </w:rPr>
      </w:pPr>
      <w:r>
        <w:rPr>
          <w:rFonts w:cstheme="minorHAnsi"/>
          <w:color w:val="000000" w:themeColor="text1"/>
          <w:sz w:val="20"/>
          <w:szCs w:val="20"/>
        </w:rPr>
        <w:t>Cash Flow lines for add backs.</w:t>
      </w:r>
    </w:p>
    <w:p w14:paraId="63FBB63F" w14:textId="77777777" w:rsidR="006A6FDC" w:rsidRDefault="006A6FDC" w:rsidP="0034799D">
      <w:pPr>
        <w:autoSpaceDE w:val="0"/>
        <w:autoSpaceDN w:val="0"/>
        <w:adjustRightInd w:val="0"/>
        <w:spacing w:after="0" w:line="240" w:lineRule="auto"/>
        <w:rPr>
          <w:rFonts w:cstheme="minorHAnsi"/>
          <w:color w:val="000000" w:themeColor="text1"/>
          <w:sz w:val="20"/>
          <w:szCs w:val="20"/>
        </w:rPr>
      </w:pPr>
    </w:p>
    <w:p w14:paraId="2C5EC290" w14:textId="1DC0F017" w:rsidR="006A6FDC" w:rsidRDefault="006A6FDC" w:rsidP="0034799D">
      <w:pPr>
        <w:autoSpaceDE w:val="0"/>
        <w:autoSpaceDN w:val="0"/>
        <w:adjustRightInd w:val="0"/>
        <w:spacing w:after="0" w:line="240" w:lineRule="auto"/>
        <w:rPr>
          <w:rFonts w:cstheme="minorHAnsi"/>
          <w:color w:val="000000" w:themeColor="text1"/>
          <w:sz w:val="20"/>
          <w:szCs w:val="20"/>
        </w:rPr>
      </w:pPr>
      <w:r>
        <w:rPr>
          <w:noProof/>
        </w:rPr>
        <w:drawing>
          <wp:inline distT="0" distB="0" distL="0" distR="0" wp14:anchorId="393AFF7E" wp14:editId="276849DC">
            <wp:extent cx="3629025" cy="1285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9025" cy="1285875"/>
                    </a:xfrm>
                    <a:prstGeom prst="rect">
                      <a:avLst/>
                    </a:prstGeom>
                  </pic:spPr>
                </pic:pic>
              </a:graphicData>
            </a:graphic>
          </wp:inline>
        </w:drawing>
      </w:r>
    </w:p>
    <w:p w14:paraId="0DC7680B" w14:textId="77777777" w:rsidR="006A6FDC" w:rsidRDefault="006A6FDC" w:rsidP="0034799D">
      <w:pPr>
        <w:autoSpaceDE w:val="0"/>
        <w:autoSpaceDN w:val="0"/>
        <w:adjustRightInd w:val="0"/>
        <w:spacing w:after="0" w:line="240" w:lineRule="auto"/>
        <w:rPr>
          <w:rFonts w:cstheme="minorHAnsi"/>
          <w:color w:val="000000" w:themeColor="text1"/>
          <w:sz w:val="20"/>
          <w:szCs w:val="20"/>
        </w:rPr>
      </w:pPr>
    </w:p>
    <w:p w14:paraId="1BE62E11" w14:textId="100C03A3" w:rsidR="006A6FDC" w:rsidRDefault="006A6FDC" w:rsidP="0034799D">
      <w:pPr>
        <w:autoSpaceDE w:val="0"/>
        <w:autoSpaceDN w:val="0"/>
        <w:adjustRightInd w:val="0"/>
        <w:spacing w:after="0" w:line="240" w:lineRule="auto"/>
        <w:rPr>
          <w:rFonts w:cstheme="minorHAnsi"/>
          <w:color w:val="000000" w:themeColor="text1"/>
          <w:sz w:val="20"/>
          <w:szCs w:val="20"/>
        </w:rPr>
      </w:pPr>
      <w:r>
        <w:rPr>
          <w:rFonts w:cstheme="minorHAnsi"/>
          <w:color w:val="000000" w:themeColor="text1"/>
          <w:sz w:val="20"/>
          <w:szCs w:val="20"/>
        </w:rPr>
        <w:t>Cash flow lines for Investing Activities.</w:t>
      </w:r>
    </w:p>
    <w:p w14:paraId="37F442C8" w14:textId="30B2BFD5" w:rsidR="006A6FDC" w:rsidRDefault="006A6FDC" w:rsidP="0034799D">
      <w:pPr>
        <w:autoSpaceDE w:val="0"/>
        <w:autoSpaceDN w:val="0"/>
        <w:adjustRightInd w:val="0"/>
        <w:spacing w:after="0" w:line="240" w:lineRule="auto"/>
        <w:rPr>
          <w:rFonts w:cstheme="minorHAnsi"/>
          <w:color w:val="000000" w:themeColor="text1"/>
          <w:sz w:val="20"/>
          <w:szCs w:val="20"/>
        </w:rPr>
      </w:pPr>
    </w:p>
    <w:p w14:paraId="54762BAA" w14:textId="4E22ACE1" w:rsidR="006A6FDC" w:rsidRDefault="006A6FDC" w:rsidP="0034799D">
      <w:pPr>
        <w:autoSpaceDE w:val="0"/>
        <w:autoSpaceDN w:val="0"/>
        <w:adjustRightInd w:val="0"/>
        <w:spacing w:after="0" w:line="240" w:lineRule="auto"/>
        <w:rPr>
          <w:rFonts w:cstheme="minorHAnsi"/>
          <w:color w:val="000000" w:themeColor="text1"/>
          <w:sz w:val="20"/>
          <w:szCs w:val="20"/>
        </w:rPr>
      </w:pPr>
      <w:r>
        <w:rPr>
          <w:noProof/>
        </w:rPr>
        <w:drawing>
          <wp:inline distT="0" distB="0" distL="0" distR="0" wp14:anchorId="62729A57" wp14:editId="6197F5E3">
            <wp:extent cx="392430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4300" cy="1028700"/>
                    </a:xfrm>
                    <a:prstGeom prst="rect">
                      <a:avLst/>
                    </a:prstGeom>
                  </pic:spPr>
                </pic:pic>
              </a:graphicData>
            </a:graphic>
          </wp:inline>
        </w:drawing>
      </w:r>
    </w:p>
    <w:p w14:paraId="234F16B8" w14:textId="77777777" w:rsidR="006A6FDC" w:rsidRDefault="006A6FDC">
      <w:pPr>
        <w:rPr>
          <w:rFonts w:cstheme="minorHAnsi"/>
          <w:color w:val="000000" w:themeColor="text1"/>
          <w:sz w:val="20"/>
          <w:szCs w:val="20"/>
        </w:rPr>
      </w:pPr>
      <w:r>
        <w:rPr>
          <w:rFonts w:cstheme="minorHAnsi"/>
          <w:color w:val="000000" w:themeColor="text1"/>
          <w:sz w:val="20"/>
          <w:szCs w:val="20"/>
        </w:rPr>
        <w:br w:type="page"/>
      </w:r>
    </w:p>
    <w:p w14:paraId="2FB50236" w14:textId="555FF228" w:rsidR="006A6FDC" w:rsidRDefault="006A6FDC" w:rsidP="0034799D">
      <w:pPr>
        <w:autoSpaceDE w:val="0"/>
        <w:autoSpaceDN w:val="0"/>
        <w:adjustRightInd w:val="0"/>
        <w:spacing w:after="0" w:line="240" w:lineRule="auto"/>
        <w:rPr>
          <w:rFonts w:cstheme="minorHAnsi"/>
          <w:color w:val="000000" w:themeColor="text1"/>
          <w:sz w:val="20"/>
          <w:szCs w:val="20"/>
        </w:rPr>
      </w:pPr>
      <w:r>
        <w:rPr>
          <w:rFonts w:cstheme="minorHAnsi"/>
          <w:color w:val="000000" w:themeColor="text1"/>
          <w:sz w:val="20"/>
          <w:szCs w:val="20"/>
        </w:rPr>
        <w:lastRenderedPageBreak/>
        <w:t>Disposition JE</w:t>
      </w:r>
    </w:p>
    <w:p w14:paraId="5CD9D327" w14:textId="2B866B37" w:rsidR="006A6FDC" w:rsidRDefault="006A6FDC" w:rsidP="0034799D">
      <w:pPr>
        <w:autoSpaceDE w:val="0"/>
        <w:autoSpaceDN w:val="0"/>
        <w:adjustRightInd w:val="0"/>
        <w:spacing w:after="0" w:line="240" w:lineRule="auto"/>
        <w:rPr>
          <w:rFonts w:cstheme="minorHAnsi"/>
          <w:color w:val="000000" w:themeColor="text1"/>
          <w:sz w:val="20"/>
          <w:szCs w:val="20"/>
        </w:rPr>
      </w:pPr>
    </w:p>
    <w:p w14:paraId="5ECBF3F8" w14:textId="515B6CE0" w:rsidR="006A6FDC" w:rsidRDefault="006A6FDC" w:rsidP="0034799D">
      <w:pPr>
        <w:autoSpaceDE w:val="0"/>
        <w:autoSpaceDN w:val="0"/>
        <w:adjustRightInd w:val="0"/>
        <w:spacing w:after="0" w:line="240" w:lineRule="auto"/>
        <w:rPr>
          <w:rFonts w:cstheme="minorHAnsi"/>
          <w:color w:val="000000" w:themeColor="text1"/>
          <w:sz w:val="20"/>
          <w:szCs w:val="20"/>
        </w:rPr>
      </w:pPr>
      <w:r>
        <w:rPr>
          <w:noProof/>
        </w:rPr>
        <w:drawing>
          <wp:inline distT="0" distB="0" distL="0" distR="0" wp14:anchorId="3B6CA9E9" wp14:editId="52BF35FF">
            <wp:extent cx="5400675" cy="1914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675" cy="1914525"/>
                    </a:xfrm>
                    <a:prstGeom prst="rect">
                      <a:avLst/>
                    </a:prstGeom>
                  </pic:spPr>
                </pic:pic>
              </a:graphicData>
            </a:graphic>
          </wp:inline>
        </w:drawing>
      </w:r>
    </w:p>
    <w:sectPr w:rsidR="006A6FDC" w:rsidSect="008E0B75">
      <w:headerReference w:type="default" r:id="rId1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4300F" w14:textId="77777777" w:rsidR="000A15A9" w:rsidRDefault="000A15A9" w:rsidP="004361CD">
      <w:pPr>
        <w:spacing w:after="0" w:line="240" w:lineRule="auto"/>
      </w:pPr>
      <w:r>
        <w:separator/>
      </w:r>
    </w:p>
  </w:endnote>
  <w:endnote w:type="continuationSeparator" w:id="0">
    <w:p w14:paraId="0B5625DB" w14:textId="77777777" w:rsidR="000A15A9" w:rsidRDefault="000A15A9" w:rsidP="00436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7858D" w14:textId="77777777" w:rsidR="000A15A9" w:rsidRDefault="000A15A9" w:rsidP="004361CD">
      <w:pPr>
        <w:spacing w:after="0" w:line="240" w:lineRule="auto"/>
      </w:pPr>
      <w:r>
        <w:separator/>
      </w:r>
    </w:p>
  </w:footnote>
  <w:footnote w:type="continuationSeparator" w:id="0">
    <w:p w14:paraId="79DDDFE5" w14:textId="77777777" w:rsidR="000A15A9" w:rsidRDefault="000A15A9" w:rsidP="00436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D486" w14:textId="77777777" w:rsidR="004361CD" w:rsidRPr="0034799D" w:rsidRDefault="004361CD" w:rsidP="004361CD">
    <w:pPr>
      <w:autoSpaceDE w:val="0"/>
      <w:autoSpaceDN w:val="0"/>
      <w:adjustRightInd w:val="0"/>
      <w:spacing w:after="0" w:line="240" w:lineRule="auto"/>
      <w:jc w:val="center"/>
      <w:rPr>
        <w:rFonts w:cstheme="minorHAnsi"/>
        <w:b/>
        <w:bCs/>
        <w:color w:val="000000" w:themeColor="text1"/>
        <w:sz w:val="24"/>
        <w:szCs w:val="24"/>
      </w:rPr>
    </w:pPr>
    <w:r w:rsidRPr="0034799D">
      <w:rPr>
        <w:rFonts w:cstheme="minorHAnsi"/>
        <w:b/>
        <w:bCs/>
        <w:color w:val="000000" w:themeColor="text1"/>
        <w:sz w:val="24"/>
        <w:szCs w:val="24"/>
      </w:rPr>
      <w:t>Cash Flow</w:t>
    </w:r>
  </w:p>
  <w:p w14:paraId="532968C6" w14:textId="77777777" w:rsidR="004361CD" w:rsidRDefault="004361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99D"/>
    <w:rsid w:val="00076B3C"/>
    <w:rsid w:val="000A15A9"/>
    <w:rsid w:val="0034799D"/>
    <w:rsid w:val="004361CD"/>
    <w:rsid w:val="004D7881"/>
    <w:rsid w:val="005A7FA5"/>
    <w:rsid w:val="006A6FDC"/>
    <w:rsid w:val="006D0E8B"/>
    <w:rsid w:val="00740954"/>
    <w:rsid w:val="008B3EA3"/>
    <w:rsid w:val="00DB65BE"/>
    <w:rsid w:val="00F0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4AD71"/>
  <w15:chartTrackingRefBased/>
  <w15:docId w15:val="{769FDF04-BED8-471F-A57E-2E3F7EE2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61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1CD"/>
  </w:style>
  <w:style w:type="paragraph" w:styleId="Footer">
    <w:name w:val="footer"/>
    <w:basedOn w:val="Normal"/>
    <w:link w:val="FooterChar"/>
    <w:uiPriority w:val="99"/>
    <w:unhideWhenUsed/>
    <w:rsid w:val="004361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Hutter</dc:creator>
  <cp:keywords/>
  <dc:description/>
  <cp:lastModifiedBy>Robert Murray</cp:lastModifiedBy>
  <cp:revision>5</cp:revision>
  <dcterms:created xsi:type="dcterms:W3CDTF">2020-05-29T15:15:00Z</dcterms:created>
  <dcterms:modified xsi:type="dcterms:W3CDTF">2026-09-28T22:05:00Z</dcterms:modified>
</cp:coreProperties>
</file>