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sz w:val="30"/>
          <w:szCs w:val="30"/>
        </w:rPr>
        <w:t xml:space="preserve">Journal recommendation for publication – IRI-AKI in silico meta-analysis manuscript</w:t>
      </w:r>
    </w:p>
    <w:p>
      <w:pPr>
        <w:spacing w:after="160"/>
        <w:jc w:val="both"/>
      </w:pPr>
      <w:r>
        <w:rPr>
          <w:i/>
          <w:iCs/>
          <w:color w:val="505050"/>
          <w:sz w:val="22"/>
          <w:szCs w:val="22"/>
        </w:rPr>
        <w:t xml:space="preserve">Goal: publish as fast as possible, with the highest realistic probability of acceptance, WITHOUT paying any Article Processing Charge (APC). The paper is an in silico transcriptomic meta-analysis with a 3-dataset discovery set, a 1-dataset independent validation, and no wet-lab experiments. This scope profile is the single most important driver of the journal choice below.</w:t>
      </w:r>
    </w:p>
    <w:p>
      <w:pPr>
        <w:spacing w:after="200"/>
        <w:jc w:val="both"/>
      </w:pPr>
      <w:r>
        <w:rPr>
          <w:b/>
          <w:bCs/>
          <w:color w:val="8B0000"/>
          <w:sz w:val="22"/>
          <w:szCs w:val="22"/>
        </w:rPr>
        <w:t xml:space="preserve">⚠ Important: no peer-reviewed journal has a 100 % acceptance rate — that is not how peer review works. Any figure given below is a realistic probability estimate, not a guarantee. A journal with a higher estimated probability is not necessarily "better": it is just a journal in which the paper has a sensible chance of being accepted within one round of revisions.</w:t>
      </w:r>
    </w:p>
    <w:p>
      <w:pPr>
        <w:pStyle w:val="Heading1"/>
        <w:spacing w:after="160" w:before="280"/>
      </w:pPr>
      <w:r>
        <w:rPr>
          <w:b/>
          <w:bCs/>
          <w:sz w:val="30"/>
          <w:szCs w:val="30"/>
        </w:rPr>
        <w:t xml:space="preserve">Bottom-line recommendation</w:t>
      </w:r>
    </w:p>
    <w:p>
      <w:pPr>
        <w:spacing w:after="120" w:line="300"/>
        <w:jc w:val="both"/>
      </w:pPr>
      <w:r>
        <w:rPr>
          <w:sz w:val="22"/>
          <w:szCs w:val="22"/>
        </w:rPr>
        <w:t xml:space="preserve">Submit first to </w:t>
      </w:r>
      <w:r>
        <w:rPr>
          <w:b/>
          <w:bCs/>
          <w:sz w:val="22"/>
          <w:szCs w:val="22"/>
        </w:rPr>
        <w:t xml:space="preserve">Transplant Immunology</w:t>
      </w:r>
      <w:r>
        <w:rPr>
          <w:sz w:val="22"/>
          <w:szCs w:val="22"/>
        </w:rPr>
        <w:t xml:space="preserve"> (Elsevier, subscription, no APC). If desk-rejected, move to </w:t>
      </w:r>
      <w:r>
        <w:rPr>
          <w:b/>
          <w:bCs/>
          <w:sz w:val="22"/>
          <w:szCs w:val="22"/>
        </w:rPr>
        <w:t xml:space="preserve">Nefrología</w:t>
      </w:r>
      <w:r>
        <w:rPr>
          <w:sz w:val="22"/>
          <w:szCs w:val="22"/>
        </w:rPr>
        <w:t xml:space="preserve"> (Spanish Society of Nephrology, diamond open access, free for both authors AND readers). Final fallback: </w:t>
      </w:r>
      <w:r>
        <w:rPr>
          <w:b/>
          <w:bCs/>
          <w:sz w:val="22"/>
          <w:szCs w:val="22"/>
        </w:rPr>
        <w:t xml:space="preserve">Transplantation Proceedings</w:t>
      </w:r>
      <w:r>
        <w:rPr>
          <w:sz w:val="22"/>
          <w:szCs w:val="22"/>
        </w:rPr>
        <w:t xml:space="preserve"> (Elsevier, subscription, no APC, fastest and most permissive). Do NOT submit to MDPI, Frontiers, BMC, PLOS, AJT, KI, NDT — for the reasons explained in Table 2.</w:t>
      </w:r>
    </w:p>
    <w:p>
      <w:pPr>
        <w:pStyle w:val="Heading1"/>
        <w:spacing w:after="160" w:before="280"/>
      </w:pPr>
      <w:r>
        <w:rPr>
          <w:b/>
          <w:bCs/>
          <w:sz w:val="30"/>
          <w:szCs w:val="30"/>
        </w:rPr>
        <w:t xml:space="preserve">Table 1 – Journals recommended for submission (no APC)</w:t>
      </w:r>
    </w:p>
    <w:p>
      <w:pPr>
        <w:spacing w:after="120" w:before="100" w:line="260"/>
        <w:jc w:val="both"/>
      </w:pPr>
      <w:r>
        <w:rPr>
          <w:b/>
          <w:bCs/>
          <w:sz w:val="20"/>
          <w:szCs w:val="20"/>
        </w:rPr>
        <w:t xml:space="preserve">Rationale. </w:t>
      </w:r>
      <w:r>
        <w:rPr>
          <w:sz w:val="20"/>
          <w:szCs w:val="20"/>
        </w:rPr>
        <w:t xml:space="preserve">All journals in this table publish the paper FREE OF CHARGE for the author, either because they are fully subscription-based (reader pays, author free — also called "hybrid, traditional route") or because they are diamond open access (society-funded, neither side pays). Journals are ranked by joint optimization of acceptance probability, scope fit, speed, and impact factor. IF values are Journal Citation Reports 2024 (released June 2025).</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1250"/>
        <w:gridCol w:w="1250"/>
        <w:gridCol w:w="1800"/>
        <w:gridCol w:w="1400"/>
        <w:gridCol w:w="1060"/>
        <w:gridCol w:w="2200"/>
      </w:tblGrid>
      <w:tr>
        <w:trPr>
          <w:tblHeader/>
        </w:trPr>
        <w:tc>
          <w:tcPr>
            <w:tcW w:type="dxa" w:w="110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Priority</w:t>
            </w:r>
          </w:p>
        </w:tc>
        <w:tc>
          <w:tcPr>
            <w:tcW w:type="dxa" w:w="150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Journal</w:t>
            </w:r>
          </w:p>
        </w:tc>
        <w:tc>
          <w:tcPr>
            <w:tcW w:type="dxa" w:w="140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Publisher / Society</w:t>
            </w:r>
          </w:p>
        </w:tc>
        <w:tc>
          <w:tcPr>
            <w:tcW w:type="dxa" w:w="125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IF 2024 (quartile)</w:t>
            </w:r>
          </w:p>
        </w:tc>
        <w:tc>
          <w:tcPr>
            <w:tcW w:type="dxa" w:w="125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APC for author</w:t>
            </w:r>
          </w:p>
        </w:tc>
        <w:tc>
          <w:tcPr>
            <w:tcW w:type="dxa" w:w="180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Scope fit</w:t>
            </w:r>
          </w:p>
        </w:tc>
        <w:tc>
          <w:tcPr>
            <w:tcW w:type="dxa" w:w="140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Realistic acceptance</w:t>
            </w:r>
          </w:p>
        </w:tc>
        <w:tc>
          <w:tcPr>
            <w:tcW w:type="dxa" w:w="106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Speed</w:t>
            </w:r>
          </w:p>
        </w:tc>
        <w:tc>
          <w:tcPr>
            <w:tcW w:type="dxa" w:w="220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Why this journal</w:t>
            </w:r>
          </w:p>
        </w:tc>
      </w:tr>
      <w:tr>
        <w:tc>
          <w:tcPr>
            <w:tcW w:type="dxa" w:w="11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1st choice</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Transplant Immunology</w:t>
            </w:r>
          </w:p>
        </w:tc>
        <w:tc>
          <w:tcPr>
            <w:tcW w:type="dxa" w:w="1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Elsevier</w:t>
            </w:r>
          </w:p>
        </w:tc>
        <w:tc>
          <w:tcPr>
            <w:tcW w:type="dxa" w:w="125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1.5 (Q3 Transplantation)</w:t>
            </w:r>
          </w:p>
        </w:tc>
        <w:tc>
          <w:tcPr>
            <w:tcW w:type="dxa" w:w="125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None (subscription route)</w:t>
            </w:r>
          </w:p>
        </w:tc>
        <w:tc>
          <w:tcPr>
            <w:tcW w:type="dxa" w:w="18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Excellent — IRI is explicitly listed in the journal's aims &amp; scope</w:t>
            </w:r>
          </w:p>
        </w:tc>
        <w:tc>
          <w:tcPr>
            <w:tcW w:type="dxa" w:w="1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Medium-high (≈ 50–60 % after one revision round)</w:t>
            </w:r>
          </w:p>
        </w:tc>
        <w:tc>
          <w:tcPr>
            <w:tcW w:type="dxa" w:w="10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Fast — journal advertises "rapidly peer-reviewed"</w:t>
            </w:r>
          </w:p>
        </w:tc>
        <w:tc>
          <w:tcPr>
            <w:tcW w:type="dxa" w:w="22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Best single combination of perfect scope match, reasonable IF, rapid review, zero APC. Historical home for many kidney IRI transcriptomics papers.</w:t>
            </w:r>
          </w:p>
        </w:tc>
      </w:tr>
      <w:tr>
        <w:tc>
          <w:tcPr>
            <w:tcW w:type="dxa" w:w="11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2nd choice</w:t>
            </w:r>
          </w:p>
        </w:tc>
        <w:tc>
          <w:tcPr>
            <w:tcW w:type="dxa" w:w="15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Nefrología (English Edition)</w:t>
            </w:r>
          </w:p>
        </w:tc>
        <w:tc>
          <w:tcPr>
            <w:tcW w:type="dxa" w:w="1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Elsevier for the Spanish Society of Nephrology</w:t>
            </w:r>
          </w:p>
        </w:tc>
        <w:tc>
          <w:tcPr>
            <w:tcW w:type="dxa" w:w="125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1.5–2.0 (Q3 Nephrology)</w:t>
            </w:r>
          </w:p>
        </w:tc>
        <w:tc>
          <w:tcPr>
            <w:tcW w:type="dxa" w:w="125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None — DIAMOND open access (society funded)</w:t>
            </w:r>
          </w:p>
        </w:tc>
        <w:tc>
          <w:tcPr>
            <w:tcW w:type="dxa" w:w="18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Good — covers kidney transplantation and basic/clinical nephrology</w:t>
            </w:r>
          </w:p>
        </w:tc>
        <w:tc>
          <w:tcPr>
            <w:tcW w:type="dxa" w:w="1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Medium (≈ 40–50 %)</w:t>
            </w:r>
          </w:p>
        </w:tc>
        <w:tc>
          <w:tcPr>
            <w:tcW w:type="dxa" w:w="10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Medium (2–4 months)</w:t>
            </w:r>
          </w:p>
        </w:tc>
        <w:tc>
          <w:tcPr>
            <w:tcW w:type="dxa" w:w="22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Rare free-for-author + free-for-reader combination. Your paper becomes immediately accessible worldwide with zero payment. Accepts English submissions.</w:t>
            </w:r>
          </w:p>
        </w:tc>
      </w:tr>
      <w:tr>
        <w:tc>
          <w:tcPr>
            <w:tcW w:type="dxa" w:w="11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3rd choice</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Transplantation Proceedings</w:t>
            </w:r>
          </w:p>
        </w:tc>
        <w:tc>
          <w:tcPr>
            <w:tcW w:type="dxa" w:w="1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Elsevier</w:t>
            </w:r>
          </w:p>
        </w:tc>
        <w:tc>
          <w:tcPr>
            <w:tcW w:type="dxa" w:w="125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0.9 (Q3 Surgery / Transplantation)</w:t>
            </w:r>
          </w:p>
        </w:tc>
        <w:tc>
          <w:tcPr>
            <w:tcW w:type="dxa" w:w="125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None (subscription route)</w:t>
            </w:r>
          </w:p>
        </w:tc>
        <w:tc>
          <w:tcPr>
            <w:tcW w:type="dxa" w:w="18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Good — very broad transplantation scope; bioinformatics/translational studies routinely published</w:t>
            </w:r>
          </w:p>
        </w:tc>
        <w:tc>
          <w:tcPr>
            <w:tcW w:type="dxa" w:w="1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High (≈ 60–70 %)</w:t>
            </w:r>
          </w:p>
        </w:tc>
        <w:tc>
          <w:tcPr>
            <w:tcW w:type="dxa" w:w="10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Very fast (1–2 months typical)</w:t>
            </w:r>
          </w:p>
        </w:tc>
        <w:tc>
          <w:tcPr>
            <w:tcW w:type="dxa" w:w="22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Safest fallback for one-shot publication. Downside: low IF and citation visibility. Use it only if speed matters more than impact.</w:t>
            </w:r>
          </w:p>
        </w:tc>
      </w:tr>
      <w:tr>
        <w:tc>
          <w:tcPr>
            <w:tcW w:type="dxa" w:w="11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4th choice</w:t>
            </w:r>
          </w:p>
        </w:tc>
        <w:tc>
          <w:tcPr>
            <w:tcW w:type="dxa" w:w="15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Gene</w:t>
            </w:r>
          </w:p>
        </w:tc>
        <w:tc>
          <w:tcPr>
            <w:tcW w:type="dxa" w:w="1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Elsevier</w:t>
            </w:r>
          </w:p>
        </w:tc>
        <w:tc>
          <w:tcPr>
            <w:tcW w:type="dxa" w:w="125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2.4 (Q2 Genetics / Molecular Biology)</w:t>
            </w:r>
          </w:p>
        </w:tc>
        <w:tc>
          <w:tcPr>
            <w:tcW w:type="dxa" w:w="125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None (subscription route)</w:t>
            </w:r>
          </w:p>
        </w:tc>
        <w:tc>
          <w:tcPr>
            <w:tcW w:type="dxa" w:w="18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Good on methods side (gene expression, bioinformatics) — weaker on clinical framing</w:t>
            </w:r>
          </w:p>
        </w:tc>
        <w:tc>
          <w:tcPr>
            <w:tcW w:type="dxa" w:w="1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Medium (≈ 35–45 %)</w:t>
            </w:r>
          </w:p>
        </w:tc>
        <w:tc>
          <w:tcPr>
            <w:tcW w:type="dxa" w:w="10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Medium (2–3 months)</w:t>
            </w:r>
          </w:p>
        </w:tc>
        <w:tc>
          <w:tcPr>
            <w:tcW w:type="dxa" w:w="22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Highest IF among no-APC options on the list. Reviewers will focus on bioinformatic rigor, not on clinical novelty. Consider if you want to emphasize the methodological angle.</w:t>
            </w:r>
          </w:p>
        </w:tc>
      </w:tr>
      <w:tr>
        <w:tc>
          <w:tcPr>
            <w:tcW w:type="dxa" w:w="11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5th choice (ambitious)</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Journal of Nephrology</w:t>
            </w:r>
          </w:p>
        </w:tc>
        <w:tc>
          <w:tcPr>
            <w:tcW w:type="dxa" w:w="1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Springer, Italian Society of Nephrology (SIN)</w:t>
            </w:r>
          </w:p>
        </w:tc>
        <w:tc>
          <w:tcPr>
            <w:tcW w:type="dxa" w:w="125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2.5–3.0 (Q2 Nephrology)</w:t>
            </w:r>
          </w:p>
        </w:tc>
        <w:tc>
          <w:tcPr>
            <w:tcW w:type="dxa" w:w="125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None (subscription route); Italian authors may also qualify for free OA via national Transformative Agreements</w:t>
            </w:r>
          </w:p>
        </w:tc>
        <w:tc>
          <w:tcPr>
            <w:tcW w:type="dxa" w:w="18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Good — clinical and laboratory nephrology including transplantation</w:t>
            </w:r>
          </w:p>
        </w:tc>
        <w:tc>
          <w:tcPr>
            <w:tcW w:type="dxa" w:w="1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Medium-low (≈ 30–40 %)</w:t>
            </w:r>
          </w:p>
        </w:tc>
        <w:tc>
          <w:tcPr>
            <w:tcW w:type="dxa" w:w="10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Medium (2–4 months)</w:t>
            </w:r>
          </w:p>
        </w:tc>
        <w:tc>
          <w:tcPr>
            <w:tcW w:type="dxa" w:w="22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Highest IF on this list, SIN journal (relevant if authors are Italian). More selective; reviewers may ask for wet-lab validation, which you do not have.</w:t>
            </w:r>
          </w:p>
        </w:tc>
      </w:tr>
      <w:tr>
        <w:tc>
          <w:tcPr>
            <w:tcW w:type="dxa" w:w="11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Borderline</w:t>
            </w:r>
          </w:p>
        </w:tc>
        <w:tc>
          <w:tcPr>
            <w:tcW w:type="dxa" w:w="15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Clinical Transplantation</w:t>
            </w:r>
          </w:p>
        </w:tc>
        <w:tc>
          <w:tcPr>
            <w:tcW w:type="dxa" w:w="1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Wiley</w:t>
            </w:r>
          </w:p>
        </w:tc>
        <w:tc>
          <w:tcPr>
            <w:tcW w:type="dxa" w:w="125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1.9–2.0 (Q3 Transplantation)</w:t>
            </w:r>
          </w:p>
        </w:tc>
        <w:tc>
          <w:tcPr>
            <w:tcW w:type="dxa" w:w="125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None (subscription route)</w:t>
            </w:r>
          </w:p>
        </w:tc>
        <w:tc>
          <w:tcPr>
            <w:tcW w:type="dxa" w:w="18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Acceptable — strong clinical tilt; pure in silico papers are a minority</w:t>
            </w:r>
          </w:p>
        </w:tc>
        <w:tc>
          <w:tcPr>
            <w:tcW w:type="dxa" w:w="1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Low-medium (≈ 25–35 %)</w:t>
            </w:r>
          </w:p>
        </w:tc>
        <w:tc>
          <w:tcPr>
            <w:tcW w:type="dxa" w:w="10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Medium (3–4 months)</w:t>
            </w:r>
          </w:p>
        </w:tc>
        <w:tc>
          <w:tcPr>
            <w:tcW w:type="dxa" w:w="22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Only if the clinical framing of the discussion is reinforced. Otherwise, scope-mismatch desk reject is likely.</w:t>
            </w:r>
          </w:p>
        </w:tc>
      </w:tr>
    </w:tbl>
    <w:p>
      <w:pPr>
        <w:pStyle w:val="Heading1"/>
        <w:spacing w:after="160" w:before="280"/>
      </w:pPr>
      <w:r>
        <w:rPr>
          <w:b/>
          <w:bCs/>
          <w:sz w:val="30"/>
          <w:szCs w:val="30"/>
        </w:rPr>
        <w:t xml:space="preserve">Table 2 – Journals to AVOID (and why)</w:t>
      </w:r>
    </w:p>
    <w:p>
      <w:pPr>
        <w:spacing w:after="120" w:before="100" w:line="260"/>
        <w:jc w:val="both"/>
      </w:pPr>
      <w:r>
        <w:rPr>
          <w:b/>
          <w:bCs/>
          <w:sz w:val="20"/>
          <w:szCs w:val="20"/>
        </w:rPr>
        <w:t xml:space="preserve">Rationale. </w:t>
      </w:r>
      <w:r>
        <w:rPr>
          <w:sz w:val="20"/>
          <w:szCs w:val="20"/>
        </w:rPr>
        <w:t xml:space="preserve">These journals are either incompatible with the "no APC" constraint, or too selective for the paper's current scope (no wet-lab validation, only 3 discovery datasets), or both. Submitting there wastes time without a realistic chance of acceptance.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4760"/>
      </w:tblGrid>
      <w:tr>
        <w:trPr>
          <w:tblHeader/>
        </w:trPr>
        <w:tc>
          <w:tcPr>
            <w:tcW w:type="dxa" w:w="340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Journal (publisher)</w:t>
            </w:r>
          </w:p>
        </w:tc>
        <w:tc>
          <w:tcPr>
            <w:tcW w:type="dxa" w:w="480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Reason — in one line</w:t>
            </w:r>
          </w:p>
        </w:tc>
        <w:tc>
          <w:tcPr>
            <w:tcW w:type="dxa" w:w="476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What would be required to make it viable</w:t>
            </w:r>
          </w:p>
        </w:tc>
      </w:tr>
      <w:tr>
        <w:tc>
          <w:tcPr>
            <w:tcW w:type="dxa" w:w="3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Kidney International (Elsevier / ISN)</w:t>
            </w:r>
          </w:p>
        </w:tc>
        <w:tc>
          <w:tcPr>
            <w:tcW w:type="dxa" w:w="48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IF ~19. Expects mechanistic novelty + wet-lab validation. Desk reject near-certain.</w:t>
            </w:r>
          </w:p>
        </w:tc>
        <w:tc>
          <w:tcPr>
            <w:tcW w:type="dxa" w:w="47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Full wet-lab program (qPCR, knockdown, animal model) on the 4 priority targets. Not feasible in short term.</w:t>
            </w:r>
          </w:p>
        </w:tc>
      </w:tr>
      <w:tr>
        <w:tc>
          <w:tcPr>
            <w:tcW w:type="dxa" w:w="3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American Journal of Transplantation (Elsevier / AST)</w:t>
            </w:r>
          </w:p>
        </w:tc>
        <w:tc>
          <w:tcPr>
            <w:tcW w:type="dxa" w:w="48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IF ~8. Mechanistic + clinical translational standard. Desk reject likely on "insufficient novelty / no validation".</w:t>
            </w:r>
          </w:p>
        </w:tc>
        <w:tc>
          <w:tcPr>
            <w:tcW w:type="dxa" w:w="47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At minimum qPCR validation on an independent biopsy cohort and expansion to 5+ discovery datasets.</w:t>
            </w:r>
          </w:p>
        </w:tc>
      </w:tr>
      <w:tr>
        <w:tc>
          <w:tcPr>
            <w:tcW w:type="dxa" w:w="3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Nephrology Dialysis Transplantation (Oxford / ERA-EDTA)</w:t>
            </w:r>
          </w:p>
        </w:tc>
        <w:tc>
          <w:tcPr>
            <w:tcW w:type="dxa" w:w="48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IF ~5–6. Clinical–translational, requires either wet-lab or large clinical cohort.</w:t>
            </w:r>
          </w:p>
        </w:tc>
        <w:tc>
          <w:tcPr>
            <w:tcW w:type="dxa" w:w="47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Independent wet-lab validation OR a sizeable clinical cohort with outcomes.</w:t>
            </w:r>
          </w:p>
        </w:tc>
      </w:tr>
      <w:tr>
        <w:tc>
          <w:tcPr>
            <w:tcW w:type="dxa" w:w="3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Kidney International Reports (Elsevier / ISN)</w:t>
            </w:r>
          </w:p>
        </w:tc>
        <w:tc>
          <w:tcPr>
            <w:tcW w:type="dxa" w:w="48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Gold open access — APC ~USD 2,500. Violates the no-APC constraint.</w:t>
            </w:r>
          </w:p>
        </w:tc>
        <w:tc>
          <w:tcPr>
            <w:tcW w:type="dxa" w:w="47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Not applicable under the no-APC rule.</w:t>
            </w:r>
          </w:p>
        </w:tc>
      </w:tr>
      <w:tr>
        <w:tc>
          <w:tcPr>
            <w:tcW w:type="dxa" w:w="3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Clinical Kidney Journal (OUP / ERA-EDTA)</w:t>
            </w:r>
          </w:p>
        </w:tc>
        <w:tc>
          <w:tcPr>
            <w:tcW w:type="dxa" w:w="48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Now gold open access — APC ~GBP 2,000+. Violates the no-APC constraint.</w:t>
            </w:r>
          </w:p>
        </w:tc>
        <w:tc>
          <w:tcPr>
            <w:tcW w:type="dxa" w:w="47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Not applicable under the no-APC rule.</w:t>
            </w:r>
          </w:p>
        </w:tc>
      </w:tr>
      <w:tr>
        <w:tc>
          <w:tcPr>
            <w:tcW w:type="dxa" w:w="3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International Journal of Molecular Sciences — IJMS (MDPI)</w:t>
            </w:r>
          </w:p>
        </w:tc>
        <w:tc>
          <w:tcPr>
            <w:tcW w:type="dxa" w:w="48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Gold OA — APC ~CHF 2,900. Also, reviewer scrutiny on in silico papers has tightened markedly.</w:t>
            </w:r>
          </w:p>
        </w:tc>
        <w:tc>
          <w:tcPr>
            <w:tcW w:type="dxa" w:w="47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Not applicable under the no-APC rule.</w:t>
            </w:r>
          </w:p>
        </w:tc>
      </w:tr>
      <w:tr>
        <w:tc>
          <w:tcPr>
            <w:tcW w:type="dxa" w:w="3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Biomedicines, Cells, Genes, Current Issues in Molecular Biology (MDPI)</w:t>
            </w:r>
          </w:p>
        </w:tc>
        <w:tc>
          <w:tcPr>
            <w:tcW w:type="dxa" w:w="48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All gold OA, all charge APCs (CHF 1,800–2,700). No subscription route.</w:t>
            </w:r>
          </w:p>
        </w:tc>
        <w:tc>
          <w:tcPr>
            <w:tcW w:type="dxa" w:w="47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Not applicable under the no-APC rule.</w:t>
            </w:r>
          </w:p>
        </w:tc>
      </w:tr>
      <w:tr>
        <w:tc>
          <w:tcPr>
            <w:tcW w:type="dxa" w:w="3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Frontiers in Medicine, Frontiers in Nephrology, Frontiers in Immunology</w:t>
            </w:r>
          </w:p>
        </w:tc>
        <w:tc>
          <w:tcPr>
            <w:tcW w:type="dxa" w:w="48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All gold OA — APC USD 1,900–3,400. No subscription route.</w:t>
            </w:r>
          </w:p>
        </w:tc>
        <w:tc>
          <w:tcPr>
            <w:tcW w:type="dxa" w:w="47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Not applicable under the no-APC rule.</w:t>
            </w:r>
          </w:p>
        </w:tc>
      </w:tr>
      <w:tr>
        <w:tc>
          <w:tcPr>
            <w:tcW w:type="dxa" w:w="3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BMC Nephrology, BMC Medical Genomics, BMC Bioinformatics</w:t>
            </w:r>
          </w:p>
        </w:tc>
        <w:tc>
          <w:tcPr>
            <w:tcW w:type="dxa" w:w="48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All gold OA — APC USD 2,500–2,900. No subscription route.</w:t>
            </w:r>
          </w:p>
        </w:tc>
        <w:tc>
          <w:tcPr>
            <w:tcW w:type="dxa" w:w="47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Not applicable under the no-APC rule.</w:t>
            </w:r>
          </w:p>
        </w:tc>
      </w:tr>
      <w:tr>
        <w:tc>
          <w:tcPr>
            <w:tcW w:type="dxa" w:w="3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PLOS ONE</w:t>
            </w:r>
          </w:p>
        </w:tc>
        <w:tc>
          <w:tcPr>
            <w:tcW w:type="dxa" w:w="48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Gold OA — APC USD 1,805. No subscription route.</w:t>
            </w:r>
          </w:p>
        </w:tc>
        <w:tc>
          <w:tcPr>
            <w:tcW w:type="dxa" w:w="47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Not applicable under the no-APC rule.</w:t>
            </w:r>
          </w:p>
        </w:tc>
      </w:tr>
      <w:tr>
        <w:tc>
          <w:tcPr>
            <w:tcW w:type="dxa" w:w="34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Transplantation Reports (Elsevier)</w:t>
            </w:r>
          </w:p>
        </w:tc>
        <w:tc>
          <w:tcPr>
            <w:tcW w:type="dxa" w:w="48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Fully gold OA companion of Transplantation Proceedings — APC applies.</w:t>
            </w:r>
          </w:p>
        </w:tc>
        <w:tc>
          <w:tcPr>
            <w:tcW w:type="dxa" w:w="47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Not applicable under the no-APC rule. Use the subscription parent journal (Transplantation Proceedings) instead.</w:t>
            </w:r>
          </w:p>
        </w:tc>
      </w:tr>
      <w:tr>
        <w:tc>
          <w:tcPr>
            <w:tcW w:type="dxa" w:w="34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"Call for papers" e-mails and unknown journals indexed only in predatory lists</w:t>
            </w:r>
          </w:p>
        </w:tc>
        <w:tc>
          <w:tcPr>
            <w:tcW w:type="dxa" w:w="48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Predatory publishers prey on urgency. Publication there damages CV and is often not PubMed-indexed.</w:t>
            </w:r>
          </w:p>
        </w:tc>
        <w:tc>
          <w:tcPr>
            <w:tcW w:type="dxa" w:w="47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Ignore entirely.</w:t>
            </w:r>
          </w:p>
        </w:tc>
      </w:tr>
    </w:tbl>
    <w:p>
      <w:pPr>
        <w:pStyle w:val="Heading1"/>
        <w:spacing w:after="160" w:before="280"/>
      </w:pPr>
      <w:r>
        <w:rPr>
          <w:b/>
          <w:bCs/>
          <w:sz w:val="30"/>
          <w:szCs w:val="30"/>
        </w:rPr>
        <w:t xml:space="preserve">Table 3 – Pre-emptive reviewer criticisms and how to handle them in the cover letter</w:t>
      </w:r>
    </w:p>
    <w:p>
      <w:pPr>
        <w:spacing w:after="120" w:before="100" w:line="260"/>
        <w:jc w:val="both"/>
      </w:pPr>
      <w:r>
        <w:rPr>
          <w:b/>
          <w:bCs/>
          <w:sz w:val="20"/>
          <w:szCs w:val="20"/>
        </w:rPr>
        <w:t xml:space="preserve">Rationale. </w:t>
      </w:r>
      <w:r>
        <w:rPr>
          <w:sz w:val="20"/>
          <w:szCs w:val="20"/>
        </w:rPr>
        <w:t xml:space="preserve">Anticipating and explicitly addressing the most likely reviewer concerns in the cover letter and in the Limitations section of the manuscript measurably increases the probability of a positive first decision on journals in Table 1.</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000"/>
        <w:gridCol w:w="8960"/>
      </w:tblGrid>
      <w:tr>
        <w:trPr>
          <w:tblHeader/>
        </w:trPr>
        <w:tc>
          <w:tcPr>
            <w:tcW w:type="dxa" w:w="400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Expected criticism</w:t>
            </w:r>
          </w:p>
        </w:tc>
        <w:tc>
          <w:tcPr>
            <w:tcW w:type="dxa" w:w="8960"/>
            <w:tcBorders>
              <w:top w:val="single" w:color="BFBFBF" w:sz="6"/>
              <w:left w:val="single" w:color="BFBFBF" w:sz="6"/>
              <w:bottom w:val="single" w:color="BFBFBF" w:sz="6"/>
              <w:right w:val="single" w:color="BFBFBF" w:sz="6"/>
            </w:tcBorders>
            <w:shd w:fill="2E75B6" w:color="auto" w:val="clear"/>
            <w:tcMar>
              <w:top w:type="dxa" w:w="80"/>
              <w:left w:type="dxa" w:w="100"/>
              <w:bottom w:type="dxa" w:w="80"/>
              <w:right w:type="dxa" w:w="100"/>
            </w:tcMar>
          </w:tcPr>
          <w:p>
            <w:pPr>
              <w:jc w:val="left"/>
            </w:pPr>
            <w:r>
              <w:rPr>
                <w:b/>
                <w:bCs/>
                <w:color w:val="FFFFFF"/>
                <w:sz w:val="18"/>
                <w:szCs w:val="18"/>
              </w:rPr>
              <w:t xml:space="preserve">Pre-emptive response to include</w:t>
            </w:r>
          </w:p>
        </w:tc>
      </w:tr>
      <w:tr>
        <w:tc>
          <w:tcPr>
            <w:tcW w:type="dxa" w:w="40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"Only 3 datasets in the discovery meta-analysis."</w:t>
            </w:r>
          </w:p>
        </w:tc>
        <w:tc>
          <w:tcPr>
            <w:tcW w:type="dxa" w:w="89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State openly in Limitations. Emphasize that the three datasets cover two platforms (microarray + RNA-seq) and both deceased- and living-donor biopsies, and that cross-platform reproducibility of the IL-4/IL-13 signal is the primary internal robustness check.</w:t>
            </w:r>
          </w:p>
        </w:tc>
      </w:tr>
      <w:tr>
        <w:tc>
          <w:tcPr>
            <w:tcW w:type="dxa" w:w="40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"Single Cat-B validation dataset (n = 54)."</w:t>
            </w:r>
          </w:p>
        </w:tc>
        <w:tc>
          <w:tcPr>
            <w:tcW w:type="dxa" w:w="89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Acknowledge explicitly. Frame the validation as "hypothesis-consistent enrichment on a proxy phenotype (DGF vs non-DGF)" rather than definitive confirmation. State that expansion of the validation set is a priority for future work.</w:t>
            </w:r>
          </w:p>
        </w:tc>
      </w:tr>
      <w:tr>
        <w:tc>
          <w:tcPr>
            <w:tcW w:type="dxa" w:w="40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"No wet-lab experimental validation."</w:t>
            </w:r>
          </w:p>
        </w:tc>
        <w:tc>
          <w:tcPr>
            <w:tcW w:type="dxa" w:w="89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Acknowledge. Stress that all four priority targets (IRF1, NFKBIA, CEBPB, AGT) are independently supported by published experimental evidence in renal IRI, which is cited in the paper. Frame the output as "prioritized priors for future validation", never as "identified therapeutic targets".</w:t>
            </w:r>
          </w:p>
        </w:tc>
      </w:tr>
      <w:tr>
        <w:tc>
          <w:tcPr>
            <w:tcW w:type="dxa" w:w="40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"The priority targets are already known."</w:t>
            </w:r>
          </w:p>
        </w:tc>
        <w:tc>
          <w:tcPr>
            <w:tcW w:type="dxa" w:w="89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Agree. Claim novelty at the methodological level (convergence of co-expression and PPI hubs with HC-seed status), not at the biological level. Do not over-sell.</w:t>
            </w:r>
          </w:p>
        </w:tc>
      </w:tr>
      <w:tr>
        <w:tc>
          <w:tcPr>
            <w:tcW w:type="dxa" w:w="400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"Why not limma for microarray?"</w:t>
            </w:r>
          </w:p>
        </w:tc>
        <w:tc>
          <w:tcPr>
            <w:tcW w:type="dxa" w:w="8960"/>
            <w:tcBorders>
              <w:top w:val="single" w:color="BFBFBF" w:sz="6"/>
              <w:left w:val="single" w:color="BFBFBF" w:sz="6"/>
              <w:bottom w:val="single" w:color="BFBFBF" w:sz="6"/>
              <w:right w:val="single" w:color="BFBFBF" w:sz="6"/>
            </w:tcBorders>
            <w:shd w:fill="F2F2F2" w:color="auto" w:val="clear"/>
            <w:tcMar>
              <w:top w:type="dxa" w:w="80"/>
              <w:left w:type="dxa" w:w="100"/>
              <w:bottom w:type="dxa" w:w="80"/>
              <w:right w:type="dxa" w:w="100"/>
            </w:tcMar>
          </w:tcPr>
          <w:p>
            <w:pPr>
              <w:jc w:val="left"/>
            </w:pPr>
            <w:r>
              <w:rPr>
                <w:sz w:val="18"/>
                <w:szCs w:val="18"/>
              </w:rPr>
              <w:t xml:space="preserve">Brief justification: Welch's t-test with BH is standard and robust at these sample sizes; limma would be a reasonable alternative but is not expected to change the meta-analytical ranking materially. Offer to add a supplementary sensitivity analysis if requested.</w:t>
            </w:r>
          </w:p>
        </w:tc>
      </w:tr>
      <w:tr>
        <w:tc>
          <w:tcPr>
            <w:tcW w:type="dxa" w:w="400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"Top-50 ∩ Top-50 threshold is arbitrary."</w:t>
            </w:r>
          </w:p>
        </w:tc>
        <w:tc>
          <w:tcPr>
            <w:tcW w:type="dxa" w:w="8960"/>
            <w:tcBorders>
              <w:top w:val="single" w:color="BFBFBF" w:sz="6"/>
              <w:left w:val="single" w:color="BFBFBF" w:sz="6"/>
              <w:bottom w:val="single" w:color="BFBFBF" w:sz="6"/>
              <w:right w:val="single" w:color="BFBFBF" w:sz="6"/>
            </w:tcBorders>
            <w:shd w:fill="FFFFFF" w:color="auto" w:val="clear"/>
            <w:tcMar>
              <w:top w:type="dxa" w:w="80"/>
              <w:left w:type="dxa" w:w="100"/>
              <w:bottom w:type="dxa" w:w="80"/>
              <w:right w:type="dxa" w:w="100"/>
            </w:tcMar>
          </w:tcPr>
          <w:p>
            <w:pPr>
              <w:jc w:val="left"/>
            </w:pPr>
            <w:r>
              <w:rPr>
                <w:sz w:val="18"/>
                <w:szCs w:val="18"/>
              </w:rPr>
              <w:t xml:space="preserve">Acknowledge the threshold is a pragmatic choice. Offer sensitivity analyses (top-30, top-100) in a supplementary table. State that the four convergent genes are robust across reasonable threshold variations.</w:t>
            </w:r>
          </w:p>
        </w:tc>
      </w:tr>
    </w:tbl>
    <w:p>
      <w:pPr>
        <w:pStyle w:val="Heading1"/>
        <w:spacing w:after="160" w:before="280"/>
      </w:pPr>
      <w:r>
        <w:rPr>
          <w:b/>
          <w:bCs/>
          <w:sz w:val="30"/>
          <w:szCs w:val="30"/>
        </w:rPr>
        <w:t xml:space="preserve">Final honest advice</w:t>
      </w:r>
    </w:p>
    <w:p>
      <w:pPr>
        <w:spacing w:after="120" w:line="300"/>
        <w:jc w:val="both"/>
      </w:pPr>
      <w:r>
        <w:t xml:space="preserve">Three points that many first-time authors underestimate and that should be internalized before submission:</w:t>
      </w:r>
    </w:p>
    <w:p>
      <w:pPr>
        <w:spacing w:after="120" w:line="300"/>
        <w:jc w:val="both"/>
      </w:pPr>
      <w:r>
        <w:rPr>
          <w:b/>
          <w:bCs/>
        </w:rPr>
        <w:t xml:space="preserve">1. Aiming too high wastes months. </w:t>
      </w:r>
      <w:r>
        <w:t xml:space="preserve">A desk reject from a top-tier journal takes 1–4 weeks; a full rejection after peer review can take 3–6 months. Two sequential rejections can cost most of a year. Start in the realistic range (Table 1), not above it. Laddering "downward" from AJT → Transplant Immunology is a common and expensive mistake.</w:t>
      </w:r>
    </w:p>
    <w:p>
      <w:pPr>
        <w:spacing w:after="120" w:line="300"/>
        <w:jc w:val="both"/>
      </w:pPr>
      <w:r>
        <w:rPr>
          <w:b/>
          <w:bCs/>
        </w:rPr>
        <w:t xml:space="preserve">2. Pre-submission inquiry is your best tool. </w:t>
      </w:r>
      <w:r>
        <w:t xml:space="preserve">Before formal submission to any journal in Table 1, send a short e-mail to the Editor-in-Chief with title, 200-word abstract, and a one-paragraph summary of the key finding (the IL-4/IL-13 convergence + 4 priority targets). Ask whether the paper fits scope. A positive reply removes desk-reject risk; a negative reply saves you weeks.</w:t>
      </w:r>
    </w:p>
    <w:p>
      <w:pPr>
        <w:spacing w:after="120" w:line="300"/>
        <w:jc w:val="both"/>
      </w:pPr>
      <w:r>
        <w:rPr>
          <w:b/>
          <w:bCs/>
        </w:rPr>
        <w:t xml:space="preserve">3. Writing style matters as much as methodology at this IF range. </w:t>
      </w:r>
      <w:r>
        <w:t xml:space="preserve">At IF 1–3 the discriminator between accept and reject is often clarity and honesty, not novelty. A short, humble, well-figured paper that openly states its three limitations is very likely to pass; the same content delivered with overclaims will be rejected. Your manuscript draft is already in this humble register — keep it that way through all revisions.</w:t>
      </w:r>
    </w:p>
    <w:p>
      <w:pPr>
        <w:spacing w:after="120" w:line="300"/>
        <w:jc w:val="both"/>
      </w:pPr>
      <w:r>
        <w:t xml:space="preserve"/>
      </w:r>
    </w:p>
    <w:p>
      <w:pPr>
        <w:spacing w:after="120"/>
        <w:jc w:val="both"/>
      </w:pPr>
      <w:r>
        <w:rPr>
          <w:i/>
          <w:iCs/>
          <w:color w:val="404040"/>
          <w:sz w:val="22"/>
          <w:szCs w:val="22"/>
        </w:rPr>
        <w:t xml:space="preserve">If none of Transplant Immunology, Nefrología, or Transplantation Proceedings accepts the paper after one round each, the rational conclusion is not to keep submitting — it is to add one of the strengthening steps (expand to 5 discovery datasets, or add a qPCR experiment on a small biopsy series) before resubmitting. At that point the paper realistically moves up one IF tier.</w:t>
      </w:r>
    </w:p>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recommendation — IRI-AKI</dc:title>
  <dc:creator>Author</dc:creator>
  <cp:lastModifiedBy>Un-named</cp:lastModifiedBy>
  <cp:revision>1</cp:revision>
  <dcterms:created xsi:type="dcterms:W3CDTF">2026-04-16T11:04:13.153Z</dcterms:created>
  <dcterms:modified xsi:type="dcterms:W3CDTF">2026-04-16T11:04:13.154Z</dcterms:modified>
</cp:coreProperties>
</file>

<file path=docProps/custom.xml><?xml version="1.0" encoding="utf-8"?>
<Properties xmlns="http://schemas.openxmlformats.org/officeDocument/2006/custom-properties" xmlns:vt="http://schemas.openxmlformats.org/officeDocument/2006/docPropsVTypes"/>
</file>