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2B579A"/>
          <w:sz w:val="36"/>
          <w:szCs w:val="36"/>
        </w:rPr>
        <w:t xml:space="preserve">MAGIC SOLUTION</w:t>
      </w:r>
    </w:p>
    <w:p>
      <w:pPr>
        <w:spacing w:after="100"/>
        <w:jc w:val="center"/>
      </w:pPr>
      <w:r>
        <w:rPr>
          <w:rFonts w:ascii="Arial" w:cs="Arial" w:eastAsia="Arial" w:hAnsi="Arial"/>
          <w:color w:val="404040"/>
          <w:sz w:val="28"/>
          <w:szCs w:val="28"/>
        </w:rPr>
        <w:t xml:space="preserve">Pipeline Computazionale (Fase 1 + Fase 2)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Pipeline In Silico per l’Identificazione di Target Molecolari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nel Danno Renale da Ischemia-Riperfusione (IR-AKI)</w:t>
      </w: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Documento di riferimento — Logica, strategia e strumenti</w:t>
      </w:r>
    </w:p>
    <w:p>
      <w:pPr>
        <w:pBdr>
          <w:bottom w:val="single" w:color="2B579A" w:sz="6"/>
        </w:pBdr>
        <w:spacing w:after="200"/>
      </w:pPr>
    </w:p>
    <w:p>
      <w:pPr>
        <w:pStyle w:val="Heading1"/>
      </w:pPr>
      <w:r>
        <w:t xml:space="preserve">1. Panoramica del Progetto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 progetto mira a identificare i geni e i pathway consistentemente alterati nel danno renale da ischemia-riperfusione (IR-AKI) nel trapianto renale, e a caratterizzarne il ruolo funzionale attraverso analisi di rete. La pipeline si articola in due fasi: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1 Python — Preprocessing e analisi differenziale per-dataset: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ogni dataset viene processato indipendentemente fino alla produzione del CSV di DE gene-level. Python si occupa esclusivamente del lavoro per-dataset.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Fase 1+2 R — Tutto ciò che combina o interpreta più dataset: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meta-analisi cross-dataset, seed genes, pathway enrichment, validazione Cat. B, reti di co-espressione (MUUMI), reti PPI (STRINGdb/OmnipathR), convergenza.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La linea di confine è netta: </w:t>
      </w:r>
      <w:r>
        <w:rPr>
          <w:rFonts w:ascii="Arial" w:cs="Arial" w:eastAsia="Arial" w:hAnsi="Arial"/>
          <w:b/>
          <w:bCs/>
          <w:i w:val="false"/>
          <w:iCs w:val="false"/>
          <w:sz w:val="22"/>
          <w:szCs w:val="22"/>
        </w:rPr>
        <w:t xml:space="preserve">Python = produzione dati per-dataset, R = qualsiasi cosa che combina o interpreta più dataset.</w:t>
      </w:r>
      <w:r>
        <w:rPr>
          <w:rFonts w:ascii="Arial" w:cs="Arial" w:eastAsia="Arial" w:hAnsi="Arial"/>
          <w:b w:val="false"/>
          <w:bCs w:val="false"/>
          <w:i w:val="false"/>
          <w:iCs w:val="false"/>
          <w:sz w:val="22"/>
          <w:szCs w:val="22"/>
        </w:rPr>
        <w:t xml:space="preserve"> Il passaggio avviene tramite file CSV standard, importati in R una sola volta.</w:t>
      </w:r>
    </w:p>
    <w:p>
      <w:pPr>
        <w:pStyle w:val="Heading1"/>
      </w:pPr>
      <w:r>
        <w:t xml:space="preserve">2. Dataset</w:t>
      </w:r>
    </w:p>
    <w:p>
      <w:pPr>
        <w:pStyle w:val="Heading2"/>
      </w:pPr>
      <w:r>
        <w:t xml:space="preserve">Categoria A — Confronto diretto IRI vs Controllo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800"/>
        <w:gridCol w:w="600"/>
        <w:gridCol w:w="2560"/>
        <w:gridCol w:w="25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Confronto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GSE43974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Microarray Illumina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Deceased_T3 vs Living_T1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COMPLETATO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GSE142077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RNA-seq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Reperfusion vs Pre-ischemia (paired)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 paired puro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GSE53769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Microarray Affymetrix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Post-Tx AKI vs zero-hour biopsy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AKI confermato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GSE90861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RNA-seq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46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Post-perfusion vs pre-perfusion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DGF annotato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GSE126805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RNA-seq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163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baseline_post vs baseline_pre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Grande n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Categoria B — Validazione severità (DGF vs IGF)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1800"/>
        <w:gridCol w:w="600"/>
        <w:gridCol w:w="2560"/>
        <w:gridCol w:w="25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Confronto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GSE54888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Microarray Affymetrix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54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DGF vs non-DGF (pre-impianto)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Suscettibilità pre-IRI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GSE37838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Microarray Affymetrix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78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Bad vs good function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Outcome-based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GSE293480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RNA-seq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PDGF vs IGF (NMP)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Piccolo ma rilevante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Ordine di esecuzione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Python: completare DE per dataset 2→3→4→5 (Cat. A) e 6→7→8 (Cat. B), producendo un CSV per ciascuno. R: importare tutti i CSV una volta sola, poi meta-analisi → seed genes → pathway → validazione → reti → convergenza.</w:t>
      </w:r>
    </w:p>
    <w:p>
      <w:r>
        <w:br w:type="page"/>
      </w:r>
    </w:p>
    <w:p>
      <w:pPr>
        <w:pStyle w:val="Heading1"/>
      </w:pPr>
      <w:r>
        <w:t xml:space="preserve">3. Fase 1 Python — Preprocessing e DE per-dataset</w:t>
      </w:r>
    </w:p>
    <w:p>
      <w:pPr>
        <w:pStyle w:val="Heading2"/>
      </w:pPr>
      <w:r>
        <w:t xml:space="preserve">3.1 Scopo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Python si occupa esclusivamente di portare ogni singolo dataset dal dato grezzo al CSV di analisi differenziale gene-level. Nessuna combinazione tra dataset, nessuna interpretazione biologica.</w:t>
      </w:r>
    </w:p>
    <w:p>
      <w:pPr>
        <w:pStyle w:val="Heading2"/>
      </w:pPr>
      <w:r>
        <w:t xml:space="preserve">3.2 Pipeline per dataset microarray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(GSE43974, GSE53769, GSE54888, GSE37838)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Caricamento dati da GEOparse o da file supplementare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Verifica della scala: se valori ~4-14 sono già log2, se &gt;100 sono raw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raw: log2 transform (con floor a 1) + quantile normalization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 già processati: verifica log2, eventualmente solo quantile normalization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Probe-to-gene mapping dalla GPL annotation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Definizione gruppi caso/controllo dai metadati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Analisi differenziale con Welch t-test + FDR Benjamini-Hochberg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Aggregazione probe→gene (best probe per gene per p-value)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Salvataggio CSV</w:t>
      </w:r>
    </w:p>
    <w:p>
      <w:pPr>
        <w:pStyle w:val="Heading2"/>
      </w:pPr>
      <w:r>
        <w:t xml:space="preserve">3.3 Pipeline per dataset RNA-seq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(GSE142077, GSE90861, GSE126805, GSE293480)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Caricamento matrice counts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Allineamento colonne counts con GSM IDs tramite metadati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Definizione gruppi caso/controllo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Analisi differenziale con pyDESeq2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Il risultato è già gene-level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Salvataggio CSV</w:t>
      </w:r>
    </w:p>
    <w:p>
      <w:pPr>
        <w:pStyle w:val="Heading2"/>
      </w:pPr>
      <w:r>
        <w:t xml:space="preserve">3.4 Formato output standard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 file CSV per dataset con: gene (indice), log2FoldChange, pvalue, padj, comparison, dataset.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Naming: de_GSEXXXXX_IRI_vs_Control.csv (Cat. A), de_GSEXXXXX_DGF_vs_IGF.csv (Cat. B).</w:t>
      </w:r>
    </w:p>
    <w:p>
      <w:pPr>
        <w:pStyle w:val="Heading2"/>
      </w:pPr>
      <w:r>
        <w:t xml:space="preserve">3.5 File aggiuntivi per R/MUUMI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expr_rnaseq.csv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Matrice espressione normalizzata RNA-seq Cat. 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expr_microarray.csv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Matrice espressione normalizzata microarray Cat. 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batch_labels.csv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di origine per ogni campione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sample_labels.csv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Condizione (IRI/Controllo) per ogni campione</w:t>
            </w:r>
          </w:p>
        </w:tc>
      </w:tr>
    </w:tbl>
    <w:p>
      <w:pPr>
        <w:pStyle w:val="Heading2"/>
      </w:pPr>
      <w:r>
        <w:t xml:space="preserve">3.6 Librerie Python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GEOparse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Download e parsing dataset GEO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pyDESeq2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Analisi differenziale RNA-seq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numpy, scipy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wrangling, Welch t-test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statsmodels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Correzione FDR (multipletests)</w:t>
            </w:r>
          </w:p>
        </w:tc>
      </w:tr>
    </w:tbl>
    <w:p>
      <w:pPr>
        <w:pStyle w:val="Heading2"/>
      </w:pPr>
      <w:r>
        <w:t xml:space="preserve">3.7 Note tecniche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Soglie DE: |log2FC| &gt; 0.379 (FC ≥ 1.3), FDR &lt; 0.05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Dati GEO in data/geo/GSEXXXXX/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Output CSV in output/fase1/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Python 3.10+</w:t>
      </w:r>
    </w:p>
    <w:p>
      <w:r>
        <w:br w:type="page"/>
      </w:r>
    </w:p>
    <w:p>
      <w:pPr>
        <w:pStyle w:val="Heading1"/>
      </w:pPr>
      <w:r>
        <w:t xml:space="preserve">4. Fase 1+2 R — Meta-analisi, Interpretazione e Reti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Tutti i CSV prodotti da Python vengono importati in R una sola volta. Da qui in poi tutto avviene in R.</w:t>
      </w:r>
    </w:p>
    <w:p>
      <w:pPr>
        <w:pStyle w:val="Heading2"/>
      </w:pPr>
      <w:r>
        <w:t xml:space="preserve">4.1 Meta-analisi cross-dataset (Cat. A)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Importare i CSV de_GSEXXXXX_IRI_vs_Control.csv da tutti i dataset Cat. A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 ogni gene in ≥2 dataset, combinare p-value con Fisher (metap::sumlog())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Calcolare log2FC pesato (peso = −log10(p) di ciascun dataset)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Calcolare direction_consistency (frazione dataset con segno concorde)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Correzione FDR (BH) con p.adjust()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Seed genes finali: FDR &lt; 0.05, |log2FC| &gt; 0.379, consistency &gt; 0.5</w:t>
      </w:r>
    </w:p>
    <w:p>
      <w:pPr>
        <w:pStyle w:val="Heading2"/>
      </w:pPr>
      <w:r>
        <w:t xml:space="preserve">4.2 Pathway enrichment sui seed genes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Con clusterProfiler (annotazioni aggiornate, background personalizzabili, visualizzazioni publication-ready):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GSEA pre-ranked sul ranking completo (Reactome, KEGG, GO_BP, MSigDB Hallmark)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ORA sui seed genes up/down separatamente, background = tutti i geni della meta-analisi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Visualizzazione: dotplot, enrichment map, barplot, cnetplot</w:t>
      </w:r>
    </w:p>
    <w:p>
      <w:pPr>
        <w:pStyle w:val="Heading2"/>
      </w:pPr>
      <w:r>
        <w:t xml:space="preserve">4.3 Validazione con Cat. B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Importare i CSV de_GSEXXXXX_DGF_vs_IGF.csv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GSEA pre-ranked dei seed genes sul ranking DGF vs IGF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Fisher exact test sull’overlap seed genes ∩ geni significativi DGF vs IGF</w:t>
      </w:r>
    </w:p>
    <w:p>
      <w:pPr>
        <w:pStyle w:val="Heading2"/>
      </w:pPr>
      <w:r>
        <w:t xml:space="preserve">4.4 Reti di co-espressione con MUUMI</w:t>
      </w:r>
    </w:p>
    <w:p>
      <w:pPr>
        <w:pStyle w:val="Heading3"/>
      </w:pPr>
      <w:r>
        <w:t xml:space="preserve">4.4.1 Preparazione dati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Importare matrici espressione + etichette batch e condizione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Batch correction per piattaforma con multi_studies_adjust()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Selezionare geni dal ranking meta-analisi</w:t>
      </w:r>
    </w:p>
    <w:p>
      <w:pPr>
        <w:pStyle w:val="Heading3"/>
      </w:pPr>
      <w:r>
        <w:t xml:space="preserve">4.4.2 Inferenza reti (separatamente per IRI e Controllo)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get_ranked_consensus_matrix(): correlazione Pearson + CLR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parse_edge_rank_matrix(): ranking edge e costruzione rete binaria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get_iGraph(): conversione in oggetto igraph</w:t>
      </w:r>
    </w:p>
    <w:p>
      <w:pPr>
        <w:pStyle w:val="Heading3"/>
      </w:pPr>
      <w:r>
        <w:t xml:space="preserve">4.4.3 Community detection e annotazione funzionale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get_modules(): moduli con walktrap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get_reactome_from_modules(): annotazione Reactome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get_bubble_plot_from_pathways(): bubble plot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comparative_heatmap_for_modules(): confronto IRI vs Controllo</w:t>
      </w:r>
    </w:p>
    <w:p>
      <w:pPr>
        <w:pStyle w:val="Heading3"/>
      </w:pPr>
      <w:r>
        <w:t xml:space="preserve">4.4.4 Integrazione cross-piattaforma (RNA-seq + microarray)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aggregate_communities(): aggregazione moduli tramite NMF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compute_view_contributions(): contributo di ciascuna piattaforma</w:t>
      </w:r>
    </w:p>
    <w:p>
      <w:pPr>
        <w:pStyle w:val="Heading3"/>
      </w:pPr>
      <w:r>
        <w:t xml:space="preserve">4.4.5 ESEA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compute_esea(): annotazione funzionale degli edge delle reti, analisi unica di MUUMI.</w:t>
      </w:r>
    </w:p>
    <w:p>
      <w:pPr>
        <w:pStyle w:val="Heading2"/>
      </w:pPr>
      <w:r>
        <w:t xml:space="preserve">4.5 Reti PPI con STRINGdb / OmnipathR</w:t>
      </w:r>
    </w:p>
    <w:p>
      <w:pPr>
        <w:pStyle w:val="Heading3"/>
      </w:pPr>
      <w:r>
        <w:t xml:space="preserve">4.5.1 Costruzione della rete PPI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Interrogare STRINGdb con i seed genes (score &gt; 700)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alternativa o in aggiunta, usare OmnipathR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Costruire il grafo con igraph</w:t>
      </w:r>
    </w:p>
    <w:p>
      <w:pPr>
        <w:pStyle w:val="Heading3"/>
      </w:pPr>
      <w:r>
        <w:t xml:space="preserve">4.5.2 Analisi topologica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Community detection (Louvain o Leiden)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Calcolo centralità: degree, betweenness, closeness, PageRank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Identificazione hub genes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Network propagation (Random Walk with Restart)</w:t>
      </w:r>
    </w:p>
    <w:p>
      <w:pPr>
        <w:pStyle w:val="Heading3"/>
      </w:pPr>
      <w:r>
        <w:t xml:space="preserve">4.5.3 Annotazione funzionale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ORA sui moduli PPI con clusterProfiler (Reactome, KEGG)</w:t>
      </w:r>
    </w:p>
    <w:p>
      <w:pPr>
        <w:pStyle w:val="ListParagraph"/>
        <w:numPr>
          <w:ilvl w:val="0"/>
          <w:numId w:val="15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Confronto dei moduli PPI con i moduli MUUMI</w:t>
      </w:r>
    </w:p>
    <w:p>
      <w:pPr>
        <w:pStyle w:val="Heading2"/>
      </w:pPr>
      <w:r>
        <w:t xml:space="preserve">4.6 Convergenza dei due approcci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Moduli di co-espressione che si sovrappongono a cluster PPI hanno alta confidenza. Hub genes identificati da entrambi gli approcci sono candidati prioritari. Convergenza documentata con Fisher exact test e Jaccard index.</w:t>
      </w:r>
    </w:p>
    <w:p>
      <w:pPr>
        <w:pStyle w:val="Heading2"/>
      </w:pPr>
      <w:r>
        <w:t xml:space="preserve">4.7 Pacchetti 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Pacchetto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Fisher’s method per combinare p-value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dplyr / tidyverse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Manipolazione dati, log2FC pesato, direction_consistency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clusterProfiler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GSEA, ORA, pathway enrichment (Reactome, KEGG, GO)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ReactomePA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Enrichment specifico Reactome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org.Hs.eg.db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Annotazione geni umani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MUUMI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correction, reti co-espressione, community detection, ESEA, NMF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STRINGdb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Interrogazione STRING per PPI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OmnipathR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Interrogazione OmniPath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igraph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Grafi, community detection, centralità, network propagation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ggplot2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Visualizzazione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RCy3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Interfaccia Cytoscape (opzionale)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Flusso dati completo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Python (per-dataset)                  R (multi-dataset)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────────────────────                  ──────────────────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Per ogni dataset Cat. A:              4.1 Meta-analisi Fisher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preprocessing → DE                    ← de_GSEXXXXX_IRI_vs_Control.csv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→ de_GSEXXXXX_IRI_vs_Control.csv      → seed_genes, meta_ranking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Per ogni dataset Cat. B:              4.2 Pathway enrichment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preprocessing → DE                    ← seed_genes + meta_ranking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→ de_GSEXXXXX_DGF_vs_IGF.csv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4.3 Validazione Cat. B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Matrici espressione                      ← de_GSEXXXXX_DGF_vs_IGF.csv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→ expr_rnaseq.csv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→ expr_microarray.csv               4.4 Reti MUUMI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→ batch_labels.csv                     ← expr_*.csv + labels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→ sample_labels.csv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4.5 Reti PPI ← seed_genes</w:t>
      </w:r>
    </w:p>
    <w:p>
      <w:pPr>
        <w:shd w:fill="F5F5F5" w:val="clear"/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      4.6 Convergenza</w:t>
      </w:r>
    </w:p>
    <w:p>
      <w:pPr>
        <w:pStyle w:val="Heading1"/>
      </w:pPr>
      <w:r>
        <w:t xml:space="preserve">6. Narrativa per la pubblicazione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Meta-analisi robusta su dataset indipendenti identifica geni consistentemente alterati nell’IR-AKI, validati su dataset indipendenti di severità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Pathway enrichment con clusterProfiler rivela i processi biologici chiave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Reti di co-espressione data-driven rivelano moduli funzionali specifici del contesto IR-AKI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Reti PPI knowledge-based contestualizzano i risultati nella biologia nota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 convergenza dei due approcci conferma la robustezza biologica</w:t>
      </w:r>
    </w:p>
    <w:p>
      <w:pPr>
        <w:pStyle w:val="Heading1"/>
      </w:pPr>
      <w:r>
        <w:t xml:space="preserve">7. Timeline stimata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3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Periodo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Attività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M1-M3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Python: DE per tutti i dataset + export matrici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CSV di DE + matrici espressione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M3-M4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R: meta-analisi + pathway + validazione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Seed genes, pathway, validazione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M4-M6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R: reti co-espressione MUUMI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Moduli IRI vs Controllo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M6-M7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R: reti PPI + convergenza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 genes, lista finale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File da esportare dalla Fase 1 per la Fase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Contenuto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Usato per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de_GSEXXXXX_IRI.csv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gene-level Cat. 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Meta-analisi Fisher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de_GSEXXXXX_DGF.csv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 gene-level Cat. B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Validazione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expr_rnaseq.csv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Espressione norm. RNA-seq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MUUMI co-espressione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expr_microarray.csv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Espressione norm. microarray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MUUMI co-espressione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batch_labels.csv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 di origine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MUUMI batch correction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sample_labels.csv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Condizione IRI/Ctrl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MUUMI reti separate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Appendice A — Configurazione minima dei dataset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 il tempo è limitato, non è necessario processare tutti gli 8 dataset.</w:t>
      </w:r>
    </w:p>
    <w:p>
      <w:pPr>
        <w:pStyle w:val="Heading2"/>
      </w:pPr>
      <w:r>
        <w:t xml:space="preserve">Meta-analisi (Cat. A): minimo 3 dataset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GSE43974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(già fatto) — grande n, discovery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GSE126805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— grande n (163 campioni), file counts pronto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GSE90861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— paired design, n intermedio, DGF annotato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GSE142077 (n=5) e GSE53769 (n=36) possono essere omessi se il tempo stringe.</w:t>
      </w:r>
    </w:p>
    <w:p>
      <w:pPr>
        <w:pStyle w:val="Heading2"/>
      </w:pPr>
      <w:r>
        <w:t xml:space="preserve">Validazione Cat. B: minimo 1 dataset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GSE37838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(priorità) — 78 campioni, outcome-based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GSE54888 </w:t>
      </w: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(se possibile) — 54 campioni, angolatura diversa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GSE293480 (n=7) è troppo piccolo e può essere omesso.</w:t>
      </w:r>
    </w:p>
    <w:p>
      <w:pPr>
        <w:pStyle w:val="Heading2"/>
      </w:pPr>
      <w:r>
        <w:t xml:space="preserve">Configurazione minima assoluta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860"/>
        <w:gridCol w:w="1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Meta-analisi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GSE43974 + GSE126805 + GSE90861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Validazione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GSE37838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Totale minimo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 dataset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Se hai tempo solo per le reti PPI (senza MUUMI)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La Fase 2 con sole reti PPI è comunque pubblicabile. Perdi la componente data-driven ma hai meta-analisi + validazione + network medicine PPI. In quel caso non servono le matrici di espressione per R, solo i CSV di DE.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0"/>
    <w:lvlOverride w:ilvl="0">
      <w:startOverride w:val="1"/>
    </w:lvlOverride>
  </w:num>
  <w:num w:numId="4">
    <w:abstractNumId w:val="11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12"/>
    <w:lvlOverride w:ilvl="0">
      <w:startOverride w:val="1"/>
    </w:lvlOverride>
  </w:num>
  <w:num w:numId="7">
    <w:abstractNumId w:val="13"/>
    <w:lvlOverride w:ilvl="0">
      <w:startOverride w:val="1"/>
    </w:lvlOverride>
  </w:num>
  <w:num w:numId="8">
    <w:abstractNumId w:val="14"/>
    <w:lvlOverride w:ilvl="0">
      <w:startOverride w:val="1"/>
    </w:lvlOverride>
  </w:num>
  <w:num w:numId="9">
    <w:abstractNumId w:val="4"/>
    <w:lvlOverride w:ilvl="0">
      <w:startOverride w:val="1"/>
    </w:lvlOverride>
  </w:num>
  <w:num w:numId="10">
    <w:abstractNumId w:val="15"/>
    <w:lvlOverride w:ilvl="0">
      <w:startOverride w:val="1"/>
    </w:lvlOverride>
  </w:num>
  <w:num w:numId="11">
    <w:abstractNumId w:val="5"/>
    <w:lvlOverride w:ilvl="0">
      <w:startOverride w:val="1"/>
    </w:lvlOverride>
  </w:num>
  <w:num w:numId="12">
    <w:abstractNumId w:val="6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8"/>
    <w:lvlOverride w:ilvl="0">
      <w:startOverride w:val="1"/>
    </w:lvlOverride>
  </w:num>
  <w:num w:numId="15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B579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B579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2026-04-10T13:38:07.073Z</dcterms:created>
  <dcterms:modified xsi:type="dcterms:W3CDTF">2026-04-10T13:38:07.074Z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