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86AB" w14:textId="4AE2811E" w:rsidR="00465282" w:rsidRDefault="00000000">
      <w:pPr>
        <w:jc w:val="center"/>
      </w:pPr>
      <w:r>
        <w:rPr>
          <w:rFonts w:ascii="Arial" w:hAnsi="Arial" w:cs="Arial"/>
          <w:b/>
          <w:color w:val="323232"/>
          <w:sz w:val="27"/>
        </w:rPr>
        <w:t>The Cost of the Prompt: Automatic DINOv3-Derived Prompts for SAM 2.1 Water Segmentation in Sentinel-2 Imagery</w:t>
      </w:r>
    </w:p>
    <w:p w14:paraId="52AA118E" w14:textId="77777777" w:rsidR="00465282" w:rsidRDefault="00000000">
      <w:pPr>
        <w:jc w:val="center"/>
      </w:pPr>
      <w:r>
        <w:rPr>
          <w:rFonts w:ascii="Arial" w:hAnsi="Arial" w:cs="Arial"/>
          <w:b/>
          <w:sz w:val="20"/>
          <w:highlight w:val="yellow"/>
        </w:rPr>
        <w:t>[Author 1 full name]¹</w:t>
      </w:r>
      <w:r>
        <w:rPr>
          <w:rFonts w:ascii="Arial" w:hAnsi="Arial" w:cs="Arial"/>
          <w:b/>
          <w:sz w:val="20"/>
        </w:rPr>
        <w:t xml:space="preserve">, </w:t>
      </w:r>
      <w:r>
        <w:rPr>
          <w:rFonts w:ascii="Arial" w:hAnsi="Arial" w:cs="Arial"/>
          <w:b/>
          <w:sz w:val="20"/>
          <w:highlight w:val="yellow"/>
        </w:rPr>
        <w:t>[Author 2 full name]¹</w:t>
      </w:r>
      <w:r>
        <w:rPr>
          <w:rFonts w:ascii="Arial" w:hAnsi="Arial" w:cs="Arial"/>
          <w:b/>
          <w:sz w:val="20"/>
        </w:rPr>
        <w:t xml:space="preserve">, </w:t>
      </w:r>
      <w:r>
        <w:rPr>
          <w:rFonts w:ascii="Arial" w:hAnsi="Arial" w:cs="Arial"/>
          <w:b/>
          <w:sz w:val="20"/>
          <w:highlight w:val="yellow"/>
        </w:rPr>
        <w:t>[Author 3 full name]¹</w:t>
      </w:r>
    </w:p>
    <w:p w14:paraId="617060B5" w14:textId="77777777" w:rsidR="00465282" w:rsidRDefault="00000000">
      <w:pPr>
        <w:jc w:val="center"/>
      </w:pPr>
      <w:r>
        <w:rPr>
          <w:rFonts w:ascii="Arial" w:hAnsi="Arial" w:cs="Arial"/>
          <w:color w:val="5A5A5A"/>
          <w:sz w:val="17"/>
          <w:highlight w:val="yellow"/>
        </w:rPr>
        <w:t>¹[Department / group – confirm], Pontificia Universidad Católica del Perú, Lima, Peru</w:t>
      </w:r>
      <w:r>
        <w:rPr>
          <w:rFonts w:ascii="Arial" w:hAnsi="Arial" w:cs="Arial"/>
          <w:color w:val="5A5A5A"/>
          <w:sz w:val="17"/>
        </w:rPr>
        <w:br/>
        <w:t xml:space="preserve">Corresponding author: </w:t>
      </w:r>
      <w:r>
        <w:rPr>
          <w:rFonts w:ascii="Arial" w:hAnsi="Arial" w:cs="Arial"/>
          <w:color w:val="5A5A5A"/>
          <w:sz w:val="17"/>
          <w:highlight w:val="yellow"/>
        </w:rPr>
        <w:t>[corresponding author e-mail]</w:t>
      </w:r>
    </w:p>
    <w:p>
      <w:pPr>
        <w:spacing w:before="60" w:after="20" w:line="240" w:lineRule="auto"/>
        <w:jc w:val="center"/>
      </w:pPr>
      <w:r>
        <w:rPr>
          <w:rFonts w:ascii="Arial" w:hAnsi="Arial" w:cs="Arial"/>
          <w:i/>
          <w:color w:val="5A5A5A"/>
          <w:sz w:val="17"/>
        </w:rPr>
        <w:t>Status: research design for a project that has just started. No experiments have been run and no results are reported.</w:t>
      </w:r>
    </w:p>
    <w:p>
      <w:pPr>
        <w:keepNext/>
        <w:spacing w:before="100" w:after="40" w:line="240" w:lineRule="auto"/>
        <w:jc w:val="left"/>
      </w:pPr>
      <w:r>
        <w:rPr>
          <w:rFonts w:ascii="Arial" w:hAnsi="Arial" w:cs="Arial"/>
          <w:b/>
          <w:sz w:val="20"/>
        </w:rPr>
        <w:t>1. INTRODUCTION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sz w:val="18"/>
        </w:rPr>
        <w:t>Mapping surface water from satellites supports water monitoring (Pekel et al., 2016) and flood assessment, including the growing share of the population exposed to floods (Tellman et al., 2021). Sentinel-2 provides optical imagery for this purpose (Drusch et al., 2012), and Sen1Floods11 offers hand-labeled 512×512-pixel chips at 10 m resolution paired with Sentinel-1 and Sentinel-2 data (Bonafilia et al., 2020). Promptable models such as SAM (Kirillov et al., 2023) and SAM 2 (Ravi et al., 2025) return a mask conditioned on a prompt; SAM 2 accepts positive or negative clicks, boxes and masks, so a person normally supplies the prompt. In remote sensing, zero-shot SAM performed poorly on permafrost landforms; ground-truth box prompts worked well but cannot be automated, whereas fine-tuning the mask decoder improved accuracy (Li et al., 2024). SAM's automatic mask generator combined with a CLIP variant has been applied to water bodies in Landsat 8 and aerial images, with failures reported for low water levels and shadows (Ozdemir et al., 2024). Prompt generation from self-supervised feature matching already exists for natural-image benchmarks (Liu et al., 2024; Zhang et al., 2024).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sz w:val="18"/>
        </w:rPr>
        <w:t>Transfer to Sentinel-2 is difficult: SAM 2 is trained on general-domain images and video (Ravi et al., 2025), whereas the satellite DINOv3 checkpoint we plan to use was pretrained on 0.6 m RGB imagery (official model card), more than an order of magnitude finer than the 10 m chips.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Research question. </w:t>
      </w:r>
      <w:r>
        <w:rPr>
          <w:rFonts w:ascii="Arial" w:hAnsi="Arial" w:cs="Arial"/>
          <w:sz w:val="18"/>
        </w:rPr>
        <w:t xml:space="preserve">How much water-segmentation quality, measured as water IoU, is lost when the simulated human prompts that define a reference-assisted baseline for SAM 2.1 are replaced by prompts generated automatically from DINOv3 features, and how does that loss change on a geographic event never used for training or calibration? </w:t>
      </w:r>
      <w:r>
        <w:rPr>
          <w:rFonts w:ascii="Arial" w:hAnsi="Arial" w:cs="Arial"/>
          <w:b/>
          <w:sz w:val="18"/>
        </w:rPr>
        <w:t xml:space="preserve">Scope. </w:t>
      </w:r>
      <w:r>
        <w:rPr>
          <w:rFonts w:ascii="Arial" w:hAnsi="Arial" w:cs="Arial"/>
          <w:sz w:val="18"/>
        </w:rPr>
        <w:t>We do not claim a new prompting method; the contribution is a controlled measurement of the cost of the prompt for Sentinel-2 water under event-level shift. Sen1Floods11 labels mark surface water, including permanent water, so the task is surface-water segmentation, not flood-only detection.</w:t>
      </w:r>
    </w:p>
    <w:p>
      <w:pPr>
        <w:keepNext/>
        <w:spacing w:before="100" w:after="40" w:line="240" w:lineRule="auto"/>
        <w:jc w:val="left"/>
      </w:pPr>
      <w:r>
        <w:rPr>
          <w:rFonts w:ascii="Arial" w:hAnsi="Arial" w:cs="Arial"/>
          <w:b/>
          <w:sz w:val="20"/>
        </w:rPr>
        <w:t>2. METHODOLOGY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workflow_a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Data and splits (fact). </w:t>
      </w:r>
      <w:r>
        <w:rPr>
          <w:rFonts w:ascii="Arial" w:hAnsi="Arial" w:cs="Arial"/>
          <w:sz w:val="18"/>
        </w:rPr>
        <w:t xml:space="preserve">We use the 446 hand-labeled chips (Sentinel-2 L1C, 13 bands, top-of-atmosphere reflectance ×10,000; labels 1 = water, 0 = not water, −1 = invalid). The official files assign 252/89/90 chips to train/validation/test from ten events and keep 15 Bolivia chips apart; Paraguay contributes 39/14/14 chips to the three splits (counts read from the official split files). </w:t>
      </w:r>
      <w:r>
        <w:rPr>
          <w:rFonts w:ascii="Arial" w:hAnsi="Arial" w:cs="Arial"/>
          <w:b/>
          <w:sz w:val="18"/>
        </w:rPr>
        <w:t xml:space="preserve">Decision. </w:t>
      </w:r>
      <w:r>
        <w:rPr>
          <w:rFonts w:ascii="Arial" w:hAnsi="Arial" w:cs="Arial"/>
          <w:sz w:val="18"/>
        </w:rPr>
        <w:t>Thresholds and hyperparameters are chosen on validation chips only; test and Bolivia are evaluated once at the end. Because chip-level splits may place neighboring chips of one event in both train and test, in-distribution scores are treated as optimistic; event-level evidence comes from Bolivia and from a leave-Paraguay-out run that excludes all 67 Paraguay chips from training, calibration and model selection.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Preprocessing (decision). </w:t>
      </w:r>
      <w:r>
        <w:rPr>
          <w:rFonts w:ascii="Arial" w:hAnsi="Arial" w:cs="Arial"/>
          <w:sz w:val="18"/>
        </w:rPr>
        <w:t>RGB = B4, B3, B2 reflectance divided by 10,000, clipped at a fixed upper value chosen once on training chips, rescaled to [0, 1], then normalized with each model's own statistics (satellite statistics for DINOv3 from its model card; ImageNet statistics for SAM 2.1, as in its official code) and resized to the model input (1024 px for SAM 2.1). Invalid pixels are excluded from losses and metrics.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Baseline (decision). </w:t>
      </w:r>
      <w:r>
        <w:rPr>
          <w:rFonts w:ascii="Arial" w:hAnsi="Arial" w:cs="Arial"/>
          <w:sz w:val="18"/>
        </w:rPr>
        <w:t>Frozen SAM 2.1 (Apache-2.0 checkpoints; tiny variant, 38.9 M parameters, as first choice) prompted with points sampled from each chip's ground-truth mask (positive inside water, negative outside). Because labels create these prompts, this is a reference-assisted upper reference, not a deployable system.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Automatic prompts (decision). </w:t>
      </w:r>
      <w:r>
        <w:rPr>
          <w:rFonts w:ascii="Arial" w:hAnsi="Arial" w:cs="Arial"/>
          <w:sz w:val="18"/>
        </w:rPr>
        <w:t>A frozen DINOv3 ViT-L/16 satellite model (gated weights) extracts patch features. A logistic-regression probe predicts per-patch water probability; targets come from training-split labels only (water if ≥50% of valid pixels are water, not water if ≤5%, other patches ignored; thresholds tuned on validation). A label-free variant replaces them with NDWI (green/NIR) pseudo-labels. Probability peaks above a threshold become positive points (at most k+ per connected component, minimum spacing d) and low-probability locations become k− negative points. SAM 2.1 is called once per component with multimask output, the mask with the highest predicted IoU is kept, and the union over components is the binary prediction.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Automatic mask grid, no prompt (decision). </w:t>
      </w:r>
      <w:r>
        <w:rPr>
          <w:rFonts w:ascii="Arial" w:hAnsi="Arial" w:cs="Arial"/>
          <w:sz w:val="18"/>
        </w:rPr>
        <w:t>Grid prompting (SAM 2's automatic mask generator, 32×32 points per side by default) yields class-agnostic masks, so it cannot output “water” by itself. We keep masks passing the predicted-IoU and stability filters, accept a mask as water if its mean DINOv3 probability exceeds a validation-tuned threshold, and take the union.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Core intervention. </w:t>
      </w:r>
      <w:r>
        <w:rPr>
          <w:rFonts w:ascii="Arial" w:hAnsi="Arial" w:cs="Arial"/>
          <w:sz w:val="18"/>
        </w:rPr>
        <w:t>Beyond changing inputs, we unfreeze only the SAM 2.1 mask decoder (image and prompt encoders frozen) and fine-tune it on training chips with automatic prompts, using binary cross-entropy plus Dice loss.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b/>
          <w:sz w:val="18"/>
        </w:rPr>
        <w:t xml:space="preserve">Ablations. </w:t>
      </w:r>
      <w:r>
        <w:rPr>
          <w:rFonts w:ascii="Arial" w:hAnsi="Arial" w:cs="Arial"/>
          <w:sz w:val="18"/>
        </w:rPr>
        <w:t xml:space="preserve">Each has a hypothesis stated beforehand, one change, and all else fixed (chips, seed, checkpoint, thresholds). </w:t>
      </w:r>
      <w:r>
        <w:rPr>
          <w:rFonts w:ascii="Arial" w:hAnsi="Arial" w:cs="Arial"/>
          <w:b/>
          <w:sz w:val="18"/>
        </w:rPr>
        <w:t>A1 prompt source</w:t>
      </w:r>
      <w:r>
        <w:rPr>
          <w:rFonts w:ascii="Arial" w:hAnsi="Arial" w:cs="Arial"/>
          <w:sz w:val="18"/>
        </w:rPr>
        <w:t xml:space="preserve"> (ground-truth-simulated, DINOv3 points, whole-chip box, grid + scoring). </w:t>
      </w:r>
      <w:r>
        <w:rPr>
          <w:rFonts w:ascii="Arial" w:hAnsi="Arial" w:cs="Arial"/>
          <w:i/>
          <w:sz w:val="18"/>
        </w:rPr>
        <w:t xml:space="preserve">H1: DINOv3 points fall below the reference-assisted baseline and above the grid, because they carry spatial information but inherit probe errors. </w:t>
      </w:r>
      <w:r>
        <w:rPr>
          <w:rFonts w:ascii="Arial" w:hAnsi="Arial" w:cs="Arial"/>
          <w:b/>
          <w:sz w:val="18"/>
        </w:rPr>
        <w:t>A2 number of points k</w:t>
      </w:r>
      <w:r>
        <w:rPr>
          <w:rFonts w:ascii="Arial" w:hAnsi="Arial" w:cs="Arial"/>
          <w:sz w:val="18"/>
        </w:rPr>
        <w:t xml:space="preserve"> per component. </w:t>
      </w:r>
      <w:r>
        <w:rPr>
          <w:rFonts w:ascii="Arial" w:hAnsi="Arial" w:cs="Arial"/>
          <w:i/>
          <w:sz w:val="18"/>
        </w:rPr>
        <w:t xml:space="preserve">H2: IoU rises then saturates; extra negatives reduce false positives on wet vegetation and shadows. </w:t>
      </w:r>
      <w:r>
        <w:rPr>
          <w:rFonts w:ascii="Arial" w:hAnsi="Arial" w:cs="Arial"/>
          <w:b/>
          <w:sz w:val="18"/>
        </w:rPr>
        <w:t xml:space="preserve">A3 mask decoder frozen vs fine-tuned. </w:t>
      </w:r>
      <w:r>
        <w:rPr>
          <w:rFonts w:ascii="Arial" w:hAnsi="Arial" w:cs="Arial"/>
          <w:i/>
          <w:sz w:val="18"/>
        </w:rPr>
        <w:t>H3: fine-tuning helps events seen in training more than Bolivia.</w:t>
      </w:r>
    </w:p>
    <w:p>
      <w:pPr>
        <w:keepNext/>
        <w:spacing w:before="100" w:after="40" w:line="240" w:lineRule="auto"/>
        <w:jc w:val="left"/>
      </w:pPr>
      <w:r>
        <w:rPr>
          <w:rFonts w:ascii="Arial" w:hAnsi="Arial" w:cs="Arial"/>
          <w:b/>
          <w:sz w:val="20"/>
        </w:rPr>
        <w:t>3. PLANNED EVALUATION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sz w:val="18"/>
        </w:rPr>
        <w:t xml:space="preserve">Two shifts are kept separate: natural→satellite shift is the gap between frozen and decoder-fine-tuned models on test chips; geographic shift is the gap between test chips (events seen in training) and Bolivia or leave-Paraguay-out chips. </w:t>
      </w:r>
      <w:r>
        <w:rPr>
          <w:rFonts w:ascii="Arial" w:hAnsi="Arial" w:cs="Arial"/>
          <w:b/>
          <w:sz w:val="18"/>
        </w:rPr>
        <w:t xml:space="preserve">Metrics. </w:t>
      </w:r>
      <w:r>
        <w:rPr>
          <w:rFonts w:ascii="Arial" w:hAnsi="Arial" w:cs="Arial"/>
          <w:sz w:val="18"/>
        </w:rPr>
        <w:t xml:space="preserve">Primary: water IoU, pooled over valid pixels per set and averaged over events, plus per-chip median and interquartile range. Complementary: precision, recall and Dice/F1 for water (to separate over- from under-segmentation) and two-class mIoU for comparison with the literature. Chips without water have undefined IoU: they are excluded from per-chip IoU, kept in pooled scores and summarized by false-positive area. </w:t>
      </w:r>
      <w:r>
        <w:rPr>
          <w:rFonts w:ascii="Arial" w:hAnsi="Arial" w:cs="Arial"/>
          <w:b/>
          <w:sz w:val="18"/>
        </w:rPr>
        <w:t xml:space="preserve">Teardown (Phase A). </w:t>
      </w:r>
      <w:r>
        <w:rPr>
          <w:rFonts w:ascii="Arial" w:hAnsi="Arial" w:cs="Arial"/>
          <w:sz w:val="18"/>
        </w:rPr>
        <w:t xml:space="preserve">Parameters and FLOPs per block (image encoder, prompt encoder, mask decoder, DINOv3) with PyTorch's FLOP counter at fixed input size; median latency over repeated runs after warm-up (batch size 1, synchronized GPU, fixed precision and hardware reported); peak GPU memory; intermediate-feature and receptive-field visualizations. </w:t>
      </w:r>
      <w:r>
        <w:rPr>
          <w:rFonts w:ascii="Arial" w:hAnsi="Arial" w:cs="Arial"/>
          <w:b/>
          <w:sz w:val="18"/>
        </w:rPr>
        <w:t xml:space="preserve">Risks. </w:t>
      </w:r>
      <w:r>
        <w:rPr>
          <w:rFonts w:ascii="Arial" w:hAnsi="Arial" w:cs="Arial"/>
          <w:sz w:val="18"/>
        </w:rPr>
        <w:t>Gated weights (early access requests), cloud and shadow contamination (L1C has no quality mask; failure analysis by category), permanent water in the labels, the resolution gap, and a 15-chip Bolivia set (per-chip reporting, no significance claims with one seed). A single consumer-grade GPU is expected to suffice; this is an assumption to verify.</w:t>
      </w:r>
    </w:p>
    <w:p>
      <w:pPr>
        <w:keepNext/>
        <w:spacing w:before="100" w:after="40" w:line="240" w:lineRule="auto"/>
        <w:jc w:val="left"/>
      </w:pPr>
      <w:r>
        <w:rPr>
          <w:rFonts w:ascii="Arial" w:hAnsi="Arial" w:cs="Arial"/>
          <w:b/>
          <w:sz w:val="20"/>
        </w:rPr>
        <w:t>4. CONCLUSIONS</w:t>
      </w:r>
    </w:p>
    <w:p>
      <w:pPr>
        <w:spacing w:before="0" w:after="40" w:line="240" w:lineRule="auto"/>
        <w:jc w:val="both"/>
      </w:pPr>
      <w:r>
        <w:rPr>
          <w:rFonts w:ascii="Arial" w:hAnsi="Arial" w:cs="Arial"/>
          <w:sz w:val="18"/>
        </w:rPr>
        <w:t xml:space="preserve">Expected contributions, without promising gains: (i) a reproducible protocol with an assisted upper reference and fully automatic variants; (ii) a teardown of SAM 2.1 and DINOv3 on Sentinel-2 RGB; (iii) an honest failure analysis under event-level shift. Limitations: no results yet; surface water rather than flood-only water; an RGB composite discards NIR/SWIR; small held-out sets; one seed. </w:t>
      </w:r>
      <w:r>
        <w:rPr>
          <w:rFonts w:ascii="Arial" w:hAnsi="Arial" w:cs="Arial"/>
          <w:b/>
          <w:sz w:val="18"/>
        </w:rPr>
        <w:t xml:space="preserve">For discussion: </w:t>
      </w:r>
      <w:r>
        <w:rPr>
          <w:rFonts w:ascii="Arial" w:hAnsi="Arial" w:cs="Arial"/>
          <w:sz w:val="18"/>
        </w:rPr>
        <w:t>is a label-free prompt generator (NDWI) enough, and which water surfaces break prompting?</w:t>
      </w:r>
    </w:p>
    <w:p>
      <w:pPr>
        <w:keepNext/>
        <w:spacing w:before="100" w:after="40" w:line="240" w:lineRule="auto"/>
        <w:jc w:val="left"/>
      </w:pPr>
      <w:r>
        <w:rPr>
          <w:rFonts w:ascii="Arial" w:hAnsi="Arial" w:cs="Arial"/>
          <w:b/>
          <w:sz w:val="20"/>
        </w:rPr>
        <w:t>REFERENCES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Bonafilia, D., Tellman, B., Anderson, T., &amp; Issenberg, E. (2020). Sen1Floods11: A georeferenced dataset to train and test deep learning flood algorithms for Sentinel-1. In </w:t>
      </w:r>
      <w:r>
        <w:rPr>
          <w:rFonts w:ascii="Arial" w:hAnsi="Arial" w:cs="Arial"/>
          <w:i/>
          <w:sz w:val="16"/>
        </w:rPr>
        <w:t>2020 IEEE/CVF Conference on Computer Vision and Pattern Recognition Workshops (CVPRW)</w:t>
      </w:r>
      <w:r>
        <w:rPr>
          <w:rFonts w:ascii="Arial" w:hAnsi="Arial" w:cs="Arial"/>
          <w:sz w:val="16"/>
        </w:rPr>
        <w:t xml:space="preserve"> (pp. 835–845). IEEE. https://doi.org/10.1109/CVPRW50498.2020.00113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Drusch, M., Del Bello, U., Carlier, S., Colin, O., Fernandez, V., Gascon, F., Hoersch, B., Isola, C., Laberinti, P., Martimort, P., Meygret, A., Spoto, F., Sy, O., Marchese, F., &amp; Bargellini, P. (2012). Sentinel-2: ESA’s optical high-resolution mission for GMES operational services. </w:t>
      </w:r>
      <w:r>
        <w:rPr>
          <w:rFonts w:ascii="Arial" w:hAnsi="Arial" w:cs="Arial"/>
          <w:i/>
          <w:sz w:val="16"/>
        </w:rPr>
        <w:t>Remote Sensing of Environment, 120</w:t>
      </w:r>
      <w:r>
        <w:rPr>
          <w:rFonts w:ascii="Arial" w:hAnsi="Arial" w:cs="Arial"/>
          <w:sz w:val="16"/>
        </w:rPr>
        <w:t>, 25–36. https://doi.org/10.1016/j.rse.2011.11.026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Kirillov, A., Mintun, E., Ravi, N., Mao, H., Rolland, C., Gustafson, L., Xiao, T., Whitehead, S., Berg, A. C., Lo, W.-Y., Dollár, P., &amp; Girshick, R. (2023). Segment anything. In </w:t>
      </w:r>
      <w:r>
        <w:rPr>
          <w:rFonts w:ascii="Arial" w:hAnsi="Arial" w:cs="Arial"/>
          <w:i/>
          <w:sz w:val="16"/>
        </w:rPr>
        <w:t>2023 IEEE/CVF International Conference on Computer Vision (ICCV)</w:t>
      </w:r>
      <w:r>
        <w:rPr>
          <w:rFonts w:ascii="Arial" w:hAnsi="Arial" w:cs="Arial"/>
          <w:sz w:val="16"/>
        </w:rPr>
        <w:t xml:space="preserve"> (pp. 3992–4003). IEEE. https://doi.org/10.1109/ICCV51070.2023.00371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Li, W., Hsu, C.-Y., Wang, S., Yang, Y., Lee, H., Liljedahl, A., Witharana, C., Yang, Y., Rogers, B. M., Arundel, S. T., Jones, M. B., McHenry, K., &amp; Solis, P. (2024). Segment anything model can not segment anything: Assessing AI foundation model’s generalizability in permafrost mapping. </w:t>
      </w:r>
      <w:r>
        <w:rPr>
          <w:rFonts w:ascii="Arial" w:hAnsi="Arial" w:cs="Arial"/>
          <w:i/>
          <w:sz w:val="16"/>
        </w:rPr>
        <w:t>Remote Sensing, 16</w:t>
      </w:r>
      <w:r>
        <w:rPr>
          <w:rFonts w:ascii="Arial" w:hAnsi="Arial" w:cs="Arial"/>
          <w:sz w:val="16"/>
        </w:rPr>
        <w:t>(5), Article 797. https://doi.org/10.3390/rs16050797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Liu, Y., Zhu, M., Li, H., Chen, H., Wang, X., &amp; Shen, C. (2024). Matcher: Segment anything with one shot using all-purpose feature matching. In </w:t>
      </w:r>
      <w:r>
        <w:rPr>
          <w:rFonts w:ascii="Arial" w:hAnsi="Arial" w:cs="Arial"/>
          <w:i/>
          <w:sz w:val="16"/>
        </w:rPr>
        <w:t>International Conference on Learning Representations (ICLR 2024)</w:t>
      </w:r>
      <w:r>
        <w:rPr>
          <w:rFonts w:ascii="Arial" w:hAnsi="Arial" w:cs="Arial"/>
          <w:sz w:val="16"/>
        </w:rPr>
        <w:t>. https://proceedings.iclr.cc/paper_files/paper/2024/hash/4df9a5e6bad9e64ebcea453e031142bb-Abstract-Conference.html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Ozdemir, S., Akbulut, Z., Karsli, F., &amp; Kavzoglu, T. (2024). Extraction of water bodies from high-resolution aerial and satellite images using visual foundation models. </w:t>
      </w:r>
      <w:r>
        <w:rPr>
          <w:rFonts w:ascii="Arial" w:hAnsi="Arial" w:cs="Arial"/>
          <w:i/>
          <w:sz w:val="16"/>
        </w:rPr>
        <w:t>Sustainability, 16</w:t>
      </w:r>
      <w:r>
        <w:rPr>
          <w:rFonts w:ascii="Arial" w:hAnsi="Arial" w:cs="Arial"/>
          <w:sz w:val="16"/>
        </w:rPr>
        <w:t>(7), Article 2995. https://doi.org/10.3390/su16072995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Pekel, J.-F., Cottam, A., Gorelick, N., &amp; Belward, A. S. (2016). High-resolution mapping of global surface water and its long-term changes. </w:t>
      </w:r>
      <w:r>
        <w:rPr>
          <w:rFonts w:ascii="Arial" w:hAnsi="Arial" w:cs="Arial"/>
          <w:i/>
          <w:sz w:val="16"/>
        </w:rPr>
        <w:t>Nature, 540</w:t>
      </w:r>
      <w:r>
        <w:rPr>
          <w:rFonts w:ascii="Arial" w:hAnsi="Arial" w:cs="Arial"/>
          <w:sz w:val="16"/>
        </w:rPr>
        <w:t>(7633), 418–422. https://doi.org/10.1038/nature20584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Ravi, N., Gabeur, V., Hu, Y.-T., Hu, R., Ryali, C., Ma, T., Khedr, H., Rädle, R., Rolland, C., Gustafson, L., Mintun, E., Pan, J., Alwala, K. V., Carion, N., Wu, C.-Y., Girshick, R., Dollár, P., &amp; Feichtenhofer, C. (2025). SAM 2: Segment anything in images and videos. In </w:t>
      </w:r>
      <w:r>
        <w:rPr>
          <w:rFonts w:ascii="Arial" w:hAnsi="Arial" w:cs="Arial"/>
          <w:i/>
          <w:sz w:val="16"/>
        </w:rPr>
        <w:t>International Conference on Learning Representations (ICLR 2025)</w:t>
      </w:r>
      <w:r>
        <w:rPr>
          <w:rFonts w:ascii="Arial" w:hAnsi="Arial" w:cs="Arial"/>
          <w:sz w:val="16"/>
        </w:rPr>
        <w:t>. https://proceedings.iclr.cc/paper_files/paper/2025/hash/45c1f6a8cbf2da59ebf2c802b4f742cd-Abstract-Conference.html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Tellman, B., Sullivan, J. A., Kuhn, C., Kettner, A. J., Doyle, C. S., Brakenridge, G. R., Erickson, T. A., &amp; Slayback, D. A. (2021). Satellite imaging reveals increased proportion of population exposed to floods. </w:t>
      </w:r>
      <w:r>
        <w:rPr>
          <w:rFonts w:ascii="Arial" w:hAnsi="Arial" w:cs="Arial"/>
          <w:i/>
          <w:sz w:val="16"/>
        </w:rPr>
        <w:t>Nature, 596</w:t>
      </w:r>
      <w:r>
        <w:rPr>
          <w:rFonts w:ascii="Arial" w:hAnsi="Arial" w:cs="Arial"/>
          <w:sz w:val="16"/>
        </w:rPr>
        <w:t>(7870), 80–86. https://doi.org/10.1038/s41586-021-03695-w</w:t>
      </w:r>
    </w:p>
    <w:p>
      <w:pPr>
        <w:spacing w:before="0" w:after="20" w:line="240" w:lineRule="auto"/>
        <w:ind w:left="283" w:hanging="283"/>
        <w:jc w:val="left"/>
      </w:pPr>
      <w:r>
        <w:rPr>
          <w:rFonts w:ascii="Arial" w:hAnsi="Arial" w:cs="Arial"/>
          <w:sz w:val="16"/>
        </w:rPr>
        <w:t xml:space="preserve">Zhang, R., Jiang, Z., Guo, Z., Yan, S., Pan, J., Dong, H., Qiao, Y., Gao, P., &amp; Li, H. (2024). Personalize segment anything model with one shot. In </w:t>
      </w:r>
      <w:r>
        <w:rPr>
          <w:rFonts w:ascii="Arial" w:hAnsi="Arial" w:cs="Arial"/>
          <w:i/>
          <w:sz w:val="16"/>
        </w:rPr>
        <w:t>International Conference on Learning Representations (ICLR 2024)</w:t>
      </w:r>
      <w:r>
        <w:rPr>
          <w:rFonts w:ascii="Arial" w:hAnsi="Arial" w:cs="Arial"/>
          <w:sz w:val="16"/>
        </w:rPr>
        <w:t>. https://proceedings.iclr.cc/paper_files/paper/2024/hash/4f44e5c82dc7b0ba4472083e5dedb08e-Abstract-Conference.html</w:t>
      </w:r>
    </w:p>
    <w:sectPr w:rsidR="00465282" w:rsidRPr="009C10AA" w:rsidSect="00A32712">
      <w:headerReference w:type="default" r:id="rId8"/>
      <w:footerReference w:type="default" r:id="rId9"/>
      <w:pgSz w:w="11906" w:h="16838" w:code="9"/>
      <w:pgMar w:top="1134" w:right="1418" w:bottom="1134" w:left="1418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B2641" w14:textId="77777777" w:rsidR="001B2E6D" w:rsidRDefault="001B2E6D">
      <w:pPr>
        <w:spacing w:after="0"/>
      </w:pPr>
      <w:r>
        <w:separator/>
      </w:r>
    </w:p>
  </w:endnote>
  <w:endnote w:type="continuationSeparator" w:id="0">
    <w:p w14:paraId="2CDCB210" w14:textId="77777777" w:rsidR="001B2E6D" w:rsidRDefault="001B2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38C5" w14:textId="77777777" w:rsidR="00465282" w:rsidRDefault="00000000">
    <w:pPr>
      <w:pStyle w:val="Piedepgina"/>
      <w:jc w:val="center"/>
    </w:pPr>
    <w:proofErr w:type="spellStart"/>
    <w:r>
      <w:rPr>
        <w:color w:val="6E6E6E"/>
        <w:sz w:val="15"/>
      </w:rPr>
      <w:t>WAIMLAp</w:t>
    </w:r>
    <w:proofErr w:type="spellEnd"/>
    <w:r>
      <w:rPr>
        <w:color w:val="6E6E6E"/>
        <w:sz w:val="15"/>
      </w:rPr>
      <w:t xml:space="preserve">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November 18–20, </w:t>
    </w:r>
    <w:proofErr w:type="gramStart"/>
    <w:r>
      <w:rPr>
        <w:color w:val="6E6E6E"/>
        <w:sz w:val="15"/>
      </w:rPr>
      <w:t>2026  |</w:t>
    </w:r>
    <w:proofErr w:type="gramEnd"/>
    <w:r>
      <w:rPr>
        <w:color w:val="6E6E6E"/>
        <w:sz w:val="15"/>
      </w:rPr>
      <w:t xml:space="preserve">  Lima, </w:t>
    </w:r>
    <w:proofErr w:type="gramStart"/>
    <w:r>
      <w:rPr>
        <w:color w:val="6E6E6E"/>
        <w:sz w:val="15"/>
      </w:rPr>
      <w:t>Peru  |</w:t>
    </w:r>
    <w:proofErr w:type="gramEnd"/>
    <w:r>
      <w:rPr>
        <w:color w:val="6E6E6E"/>
        <w:sz w:val="15"/>
      </w:rPr>
      <w:t xml:space="preserve">  waimlap.org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45383" w14:textId="77777777" w:rsidR="001B2E6D" w:rsidRDefault="001B2E6D">
      <w:pPr>
        <w:spacing w:after="0"/>
      </w:pPr>
      <w:r>
        <w:separator/>
      </w:r>
    </w:p>
  </w:footnote>
  <w:footnote w:type="continuationSeparator" w:id="0">
    <w:p w14:paraId="6A67B167" w14:textId="77777777" w:rsidR="001B2E6D" w:rsidRDefault="001B2E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C231C" w14:textId="39A99E01" w:rsidR="009C10AA" w:rsidRDefault="009C10AA" w:rsidP="00A32712">
    <w:pPr>
      <w:pStyle w:val="Encabezado"/>
      <w:ind w:left="3119" w:right="2692"/>
      <w:jc w:val="cent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E12A8F9" wp14:editId="25B08E49">
          <wp:simplePos x="0" y="0"/>
          <wp:positionH relativeFrom="column">
            <wp:posOffset>4855049</wp:posOffset>
          </wp:positionH>
          <wp:positionV relativeFrom="paragraph">
            <wp:posOffset>29210</wp:posOffset>
          </wp:positionV>
          <wp:extent cx="1104265" cy="323850"/>
          <wp:effectExtent l="0" t="0" r="635" b="0"/>
          <wp:wrapSquare wrapText="bothSides"/>
          <wp:docPr id="28856375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265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45900FE7" wp14:editId="0BB38482">
          <wp:simplePos x="0" y="0"/>
          <wp:positionH relativeFrom="column">
            <wp:posOffset>3175</wp:posOffset>
          </wp:positionH>
          <wp:positionV relativeFrom="paragraph">
            <wp:posOffset>1905</wp:posOffset>
          </wp:positionV>
          <wp:extent cx="1798955" cy="310515"/>
          <wp:effectExtent l="0" t="0" r="0" b="0"/>
          <wp:wrapSquare wrapText="bothSides"/>
          <wp:docPr id="192319248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0573"/>
                  <a:stretch>
                    <a:fillRect/>
                  </a:stretch>
                </pic:blipFill>
                <pic:spPr bwMode="auto">
                  <a:xfrm>
                    <a:off x="0" y="0"/>
                    <a:ext cx="1798955" cy="3105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b/>
        <w:color w:val="482678"/>
        <w:sz w:val="17"/>
      </w:rPr>
      <w:t>Workshop on Artificial Intelligence</w:t>
    </w:r>
    <w:r w:rsidR="00A32712">
      <w:rPr>
        <w:b/>
        <w:color w:val="482678"/>
        <w:sz w:val="17"/>
      </w:rPr>
      <w:t xml:space="preserve"> </w:t>
    </w:r>
    <w:r>
      <w:rPr>
        <w:b/>
        <w:color w:val="482678"/>
        <w:sz w:val="17"/>
      </w:rPr>
      <w:t>and Machine Learning Applications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827041">
    <w:abstractNumId w:val="8"/>
  </w:num>
  <w:num w:numId="2" w16cid:durableId="1899170088">
    <w:abstractNumId w:val="6"/>
  </w:num>
  <w:num w:numId="3" w16cid:durableId="1270309378">
    <w:abstractNumId w:val="5"/>
  </w:num>
  <w:num w:numId="4" w16cid:durableId="1639147181">
    <w:abstractNumId w:val="4"/>
  </w:num>
  <w:num w:numId="5" w16cid:durableId="1569733001">
    <w:abstractNumId w:val="7"/>
  </w:num>
  <w:num w:numId="6" w16cid:durableId="1434085613">
    <w:abstractNumId w:val="3"/>
  </w:num>
  <w:num w:numId="7" w16cid:durableId="418450632">
    <w:abstractNumId w:val="2"/>
  </w:num>
  <w:num w:numId="8" w16cid:durableId="217860902">
    <w:abstractNumId w:val="1"/>
  </w:num>
  <w:num w:numId="9" w16cid:durableId="1006903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E6D"/>
    <w:rsid w:val="0029639D"/>
    <w:rsid w:val="00326F90"/>
    <w:rsid w:val="00465282"/>
    <w:rsid w:val="009C10AA"/>
    <w:rsid w:val="00A32712"/>
    <w:rsid w:val="00AA14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4949236C"/>
  <w14:defaultImageDpi w14:val="300"/>
  <w15:docId w15:val="{1796AA12-5C5F-4596-A302-646CD49E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320</Words>
  <Characters>1761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Cost of the Prompt: Automatic DINOv3-Derived Prompts for SAM 2.1 Water Segmentation in Sentinel-2 Imagery</dc:title>
  <dc:subject>WAIMLAp 2026 extended abstract</dc:subject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2026-09-24T03:58:00Z</dcterms:modified>
  <cp:category/>
</cp:coreProperties>
</file>