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sectPr>
          <w:type w:val="nextPage"/>
          <w:pgSz w:w="11906" w:h="16838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(170054)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3077845"/>
                <wp:effectExtent l="0" t="0" r="0" b="0"/>
                <wp:docPr id="1" name="Imagem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97480" cy="307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" stroked="f" o:allowincell="f" style="position:absolute;margin-left:0pt;margin-top:-242.4pt;width:424.95pt;height:242.3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 xml:space="preserve">a$ 1 </w:t>
      </w:r>
    </w:p>
    <w:p>
      <w:pPr>
        <w:pStyle w:val="Normal"/>
        <w:ind w:hanging="360" w:left="720"/>
        <w:jc w:val="both"/>
        <w:rPr/>
      </w:pPr>
      <w:r>
        <w:rPr/>
        <w:t xml:space="preserve">b$ 2 </w:t>
      </w:r>
    </w:p>
    <w:p>
      <w:pPr>
        <w:pStyle w:val="Normal"/>
        <w:ind w:hanging="360" w:left="720"/>
        <w:jc w:val="both"/>
        <w:rPr/>
      </w:pPr>
      <w:r>
        <w:rPr/>
        <w:t xml:space="preserve">c$ 3 </w:t>
      </w:r>
    </w:p>
    <w:p>
      <w:pPr>
        <w:pStyle w:val="Normal"/>
        <w:ind w:hanging="360" w:left="720"/>
        <w:jc w:val="both"/>
        <w:rPr/>
      </w:pPr>
      <w:r>
        <w:rPr/>
        <w:t xml:space="preserve">d$ 4 </w:t>
      </w:r>
    </w:p>
    <w:p>
      <w:pPr>
        <w:pStyle w:val="Normal"/>
        <w:ind w:hanging="360" w:left="720"/>
        <w:jc w:val="both"/>
        <w:rPr/>
      </w:pPr>
      <w:r>
        <w:rPr/>
        <w:t>e$ 5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 xml:space="preserve">w$ </w:t>
      </w:r>
      <w:r>
        <w:rPr/>
      </w:r>
      <w:r>
        <w:rPr/>
        <w:t>C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Montagem e Resolução de Equações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(170056)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408295" cy="321183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08280" cy="3211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52.95pt;width:425.8pt;height:252.8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A é eleito com 66 pontos.</w:t>
      </w:r>
    </w:p>
    <w:p>
      <w:pPr>
        <w:pStyle w:val="Normal"/>
        <w:ind w:hanging="360" w:left="720"/>
        <w:jc w:val="both"/>
        <w:rPr/>
      </w:pPr>
      <w:r>
        <w:rPr/>
        <w:t>b$ A é eleito com 68 pontos.</w:t>
      </w:r>
    </w:p>
    <w:p>
      <w:pPr>
        <w:pStyle w:val="Normal"/>
        <w:ind w:hanging="360" w:left="720"/>
        <w:jc w:val="both"/>
        <w:rPr/>
      </w:pPr>
      <w:r>
        <w:rPr/>
        <w:t>c$ B é eleito com 68 pontos.</w:t>
      </w:r>
    </w:p>
    <w:p>
      <w:pPr>
        <w:pStyle w:val="Normal"/>
        <w:ind w:hanging="360" w:left="720"/>
        <w:jc w:val="both"/>
        <w:rPr/>
      </w:pPr>
      <w:r>
        <w:rPr/>
        <w:t>d$ B é eleito com 70 pontos.</w:t>
      </w:r>
    </w:p>
    <w:p>
      <w:pPr>
        <w:pStyle w:val="Normal"/>
        <w:ind w:hanging="360" w:left="720"/>
        <w:jc w:val="both"/>
        <w:rPr/>
      </w:pPr>
      <w:r>
        <w:rPr/>
        <w:t>e$ C é eleito com 68 pontos.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C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Troncos / Cilindro, Pirâmide, Cone e Sólidos de Revolução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(170057)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402590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397480" cy="402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317.05pt;width:424.95pt;height:316.95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a$ 1A, 2B, 3C, 4D, 5E.</w:t>
      </w:r>
    </w:p>
    <w:p>
      <w:pPr>
        <w:pStyle w:val="Normal"/>
        <w:ind w:hanging="360" w:left="720"/>
        <w:jc w:val="both"/>
        <w:rPr/>
      </w:pPr>
      <w:r>
        <w:rPr/>
        <w:t>b$ 1B, 2C, 3D, 4E, 5A.</w:t>
      </w:r>
    </w:p>
    <w:p>
      <w:pPr>
        <w:pStyle w:val="Normal"/>
        <w:ind w:hanging="360" w:left="720"/>
        <w:jc w:val="both"/>
        <w:rPr/>
      </w:pPr>
      <w:r>
        <w:rPr/>
        <w:t>c$ 1B, 2D, 3E, 4A, 5C.</w:t>
      </w:r>
    </w:p>
    <w:p>
      <w:pPr>
        <w:pStyle w:val="Normal"/>
        <w:ind w:hanging="360" w:left="720"/>
        <w:jc w:val="both"/>
        <w:rPr/>
      </w:pPr>
      <w:r>
        <w:rPr/>
        <w:t>d$ 1D, 2E, 3A, 4B, 5C.</w:t>
      </w:r>
    </w:p>
    <w:p>
      <w:pPr>
        <w:pStyle w:val="Normal"/>
        <w:ind w:hanging="360" w:left="720"/>
        <w:jc w:val="both"/>
        <w:rPr/>
      </w:pPr>
      <w:r>
        <w:rPr/>
        <w:t>e$ 1D, 2E, 3B, 4C, 5A.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(170058)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267652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397480" cy="267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10.8pt;width:424.95pt;height:210.7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Tucuruí.</w:t>
      </w:r>
    </w:p>
    <w:p>
      <w:pPr>
        <w:pStyle w:val="Normal"/>
        <w:ind w:hanging="360" w:left="720"/>
        <w:jc w:val="both"/>
        <w:rPr/>
      </w:pPr>
      <w:r>
        <w:rPr/>
        <w:t>b$ Furnas.</w:t>
      </w:r>
    </w:p>
    <w:p>
      <w:pPr>
        <w:pStyle w:val="Normal"/>
        <w:ind w:hanging="360" w:left="720"/>
        <w:jc w:val="both"/>
        <w:rPr/>
      </w:pPr>
      <w:r>
        <w:rPr/>
        <w:t>c$ Itaipu.</w:t>
      </w:r>
    </w:p>
    <w:p>
      <w:pPr>
        <w:pStyle w:val="Normal"/>
        <w:ind w:hanging="360" w:left="720"/>
        <w:jc w:val="both"/>
        <w:rPr/>
      </w:pPr>
      <w:r>
        <w:rPr/>
        <w:t>d$ Ilha Solteira.</w:t>
      </w:r>
    </w:p>
    <w:p>
      <w:pPr>
        <w:pStyle w:val="Normal"/>
        <w:ind w:hanging="360" w:left="720"/>
        <w:jc w:val="both"/>
        <w:rPr/>
      </w:pPr>
      <w:r>
        <w:rPr/>
        <w:t>e$ Sobradinho.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E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Questão-07 (170060)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266509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397480" cy="2665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09.9pt;width:424.95pt;height:209.8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a$ 1960</w:t>
      </w:r>
    </w:p>
    <w:p>
      <w:pPr>
        <w:pStyle w:val="Normal"/>
        <w:ind w:hanging="360" w:left="720"/>
        <w:jc w:val="both"/>
        <w:rPr/>
      </w:pPr>
      <w:r>
        <w:rPr/>
        <w:t>b$ 1963</w:t>
      </w:r>
    </w:p>
    <w:p>
      <w:pPr>
        <w:pStyle w:val="Normal"/>
        <w:ind w:hanging="360" w:left="720"/>
        <w:jc w:val="both"/>
        <w:rPr/>
      </w:pPr>
      <w:r>
        <w:rPr/>
        <w:t>c$ 1967</w:t>
      </w:r>
    </w:p>
    <w:p>
      <w:pPr>
        <w:pStyle w:val="Normal"/>
        <w:ind w:hanging="360" w:left="720"/>
        <w:jc w:val="both"/>
        <w:rPr/>
      </w:pPr>
      <w:r>
        <w:rPr/>
        <w:t>d$ 1970</w:t>
      </w:r>
    </w:p>
    <w:p>
      <w:pPr>
        <w:pStyle w:val="Normal"/>
        <w:ind w:hanging="360" w:left="720"/>
        <w:jc w:val="both"/>
        <w:rPr/>
      </w:pPr>
      <w:r>
        <w:rPr/>
        <w:t>e$ 1980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r>
        <w:t>Estatística / Medidas de Tendência Central e Dispersão, Gráficos e Tabelas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Questão-09 (170062)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243078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397480" cy="2430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91.45pt;width:424.95pt;height:191.35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a$ 35 km/h</w:t>
      </w:r>
    </w:p>
    <w:p>
      <w:pPr>
        <w:pStyle w:val="Normal"/>
        <w:ind w:hanging="360" w:left="720"/>
        <w:jc w:val="both"/>
        <w:rPr/>
      </w:pPr>
      <w:r>
        <w:rPr/>
        <w:t>b$ 44 km/h</w:t>
      </w:r>
    </w:p>
    <w:p>
      <w:pPr>
        <w:pStyle w:val="Normal"/>
        <w:ind w:hanging="360" w:left="720"/>
        <w:jc w:val="both"/>
        <w:rPr/>
      </w:pPr>
      <w:r>
        <w:rPr/>
        <w:t>c$ 55 km/h</w:t>
      </w:r>
    </w:p>
    <w:p>
      <w:pPr>
        <w:pStyle w:val="Normal"/>
        <w:ind w:hanging="360" w:left="720"/>
        <w:jc w:val="both"/>
        <w:rPr/>
      </w:pPr>
      <w:r>
        <w:rPr/>
        <w:t>d$ 76 km/h</w:t>
      </w:r>
    </w:p>
    <w:p>
      <w:pPr>
        <w:pStyle w:val="Normal"/>
        <w:ind w:hanging="360" w:left="720"/>
        <w:jc w:val="both"/>
        <w:rPr/>
      </w:pPr>
      <w:r>
        <w:rPr/>
        <w:t>e$ 85 km/h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Questão-10 (170063)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211899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397480" cy="2118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66.9pt;width:424.95pt;height:166.8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 xml:space="preserve">a$ 100 anos. </w:t>
      </w:r>
    </w:p>
    <w:p>
      <w:pPr>
        <w:pStyle w:val="Normal"/>
        <w:ind w:hanging="360" w:left="720"/>
        <w:jc w:val="both"/>
        <w:rPr/>
      </w:pPr>
      <w:r>
        <w:rPr/>
        <w:t xml:space="preserve">b$ 150 anos. </w:t>
      </w:r>
    </w:p>
    <w:p>
      <w:pPr>
        <w:pStyle w:val="Normal"/>
        <w:ind w:hanging="360" w:left="720"/>
        <w:jc w:val="both"/>
        <w:rPr/>
      </w:pPr>
      <w:r>
        <w:rPr/>
        <w:t>c$ 1 000 anos.</w:t>
      </w:r>
    </w:p>
    <w:p>
      <w:pPr>
        <w:pStyle w:val="Normal"/>
        <w:ind w:hanging="360" w:left="720"/>
        <w:jc w:val="both"/>
        <w:rPr/>
      </w:pPr>
      <w:r>
        <w:rPr/>
        <w:t>d$ 1 500 anos.</w:t>
      </w:r>
    </w:p>
    <w:p>
      <w:pPr>
        <w:pStyle w:val="Normal"/>
        <w:ind w:hanging="360" w:left="720"/>
        <w:jc w:val="both"/>
        <w:rPr/>
      </w:pPr>
      <w:r>
        <w:rPr/>
        <w:t>e$ 2 000 anos.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B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r>
        <w:t>Matemática Financeira / Grandezas Proporcionais e Regras de Três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Questão-11 (170064)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72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1762125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397480" cy="1762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38.8pt;width:424.95pt;height:138.7pt;mso-wrap-style:none;v-text-anchor:middle;mso-position-vertical:top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a$ 365 anos.</w:t>
      </w:r>
    </w:p>
    <w:p>
      <w:pPr>
        <w:pStyle w:val="Normal"/>
        <w:ind w:hanging="360" w:left="720"/>
        <w:jc w:val="both"/>
        <w:rPr/>
      </w:pPr>
      <w:r>
        <w:rPr/>
        <w:t xml:space="preserve">b$ 460 anos. </w:t>
      </w:r>
    </w:p>
    <w:p>
      <w:pPr>
        <w:pStyle w:val="Normal"/>
        <w:ind w:hanging="360" w:left="720"/>
        <w:jc w:val="both"/>
        <w:rPr/>
      </w:pPr>
      <w:r>
        <w:rPr/>
        <w:t>c$ 900 anos.</w:t>
      </w:r>
    </w:p>
    <w:p>
      <w:pPr>
        <w:pStyle w:val="Normal"/>
        <w:ind w:hanging="360" w:left="720"/>
        <w:jc w:val="both"/>
        <w:rPr/>
      </w:pPr>
      <w:r>
        <w:rPr/>
        <w:t>d$ 10 000 anos.</w:t>
      </w:r>
    </w:p>
    <w:p>
      <w:pPr>
        <w:pStyle w:val="Normal"/>
        <w:ind w:hanging="360" w:left="720"/>
        <w:jc w:val="both"/>
        <w:rPr/>
      </w:pPr>
      <w:r>
        <w:rPr/>
        <w:t>e$ 460 000 anos.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>
          <w:b/>
          <w:bCs/>
          <w:sz w:val="18"/>
          <w:szCs w:val="1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Áreas de Superfícies Planas / Polígonos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Questão-14 (170067) - (ENEM MEC/1999)  </w:t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397500" cy="627824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5397480" cy="627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494.4pt;width:424.95pt;height:494.3pt;mso-wrap-style:none;v-text-anchor:middle;mso-position-vertical:top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a$ 0%</w:t>
      </w:r>
    </w:p>
    <w:p>
      <w:pPr>
        <w:pStyle w:val="Normal"/>
        <w:ind w:hanging="360" w:left="720"/>
        <w:jc w:val="both"/>
        <w:rPr/>
      </w:pPr>
      <w:r>
        <w:rPr/>
        <w:t>b$ 25%</w:t>
      </w:r>
    </w:p>
    <w:p>
      <w:pPr>
        <w:pStyle w:val="Normal"/>
        <w:ind w:hanging="360" w:left="720"/>
        <w:jc w:val="both"/>
        <w:rPr/>
      </w:pPr>
      <w:r>
        <w:rPr/>
        <w:t>c$ 50%</w:t>
      </w:r>
    </w:p>
    <w:p>
      <w:pPr>
        <w:pStyle w:val="Normal"/>
        <w:ind w:hanging="360" w:left="720"/>
        <w:jc w:val="both"/>
        <w:rPr/>
      </w:pPr>
      <w:r>
        <w:rPr/>
        <w:t>d$ 75%</w:t>
      </w:r>
    </w:p>
    <w:p>
      <w:pPr>
        <w:pStyle w:val="Normal"/>
        <w:ind w:hanging="360" w:left="720"/>
        <w:jc w:val="both"/>
        <w:rPr/>
      </w:pPr>
      <w:r>
        <w:rPr/>
        <w:t>e$ 100%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  <w:bookmarkStart w:id="0" w:name="_GoBack"/>
      <w:bookmarkEnd w:id="0"/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Questão-16 (170069) - (ENEM MEC/1999)  </w:t>
      </w:r>
    </w:p>
    <w:p>
      <w:pPr>
        <w:pStyle w:val="Normal"/>
        <w:rPr>
          <w:b/>
        </w:rPr>
      </w:pPr>
      <w:r>
        <w:rPr>
          <w:b/>
        </w:rPr>
        <w:t xml:space="preserve">  </w:t>
      </w:r>
    </w:p>
    <w:p>
      <w:pPr>
        <w:pStyle w:val="Normal"/>
        <w:ind w:hanging="360" w:left="360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761865" cy="86995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4761720" cy="870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68.55pt;width:374.9pt;height:68.45pt;mso-wrap-style:none;v-text-anchor:middle;mso-position-vertical:top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ind w:hanging="360" w:left="720"/>
        <w:jc w:val="both"/>
        <w:rPr/>
      </w:pPr>
      <w:r>
        <w:rPr/>
        <w:t>a$ a estação está em funcionamento há no máximo 10 anos.</w:t>
      </w:r>
    </w:p>
    <w:p>
      <w:pPr>
        <w:pStyle w:val="Normal"/>
        <w:ind w:hanging="360" w:left="720"/>
        <w:jc w:val="both"/>
        <w:rPr/>
      </w:pPr>
      <w:r>
        <w:rPr/>
        <w:t>b$ daqui a 10 anos deverá cair outro raio na mesma estação.</w:t>
      </w:r>
    </w:p>
    <w:p>
      <w:pPr>
        <w:pStyle w:val="Normal"/>
        <w:ind w:hanging="360" w:left="720"/>
        <w:jc w:val="both"/>
        <w:rPr/>
      </w:pPr>
      <w:r>
        <w:rPr/>
        <w:t>c$ se a estação já existe há mais de 10 anos, brevemente deverá cair outro raio na mesma.</w:t>
      </w:r>
    </w:p>
    <w:p>
      <w:pPr>
        <w:pStyle w:val="Normal"/>
        <w:ind w:hanging="360" w:left="720"/>
        <w:jc w:val="both"/>
        <w:rPr/>
      </w:pPr>
      <w:r>
        <w:rPr/>
        <w:t>d$ a probabilidade de ocorrência de um raio na estação independe do seu tempo de existência.</w:t>
      </w:r>
    </w:p>
    <w:p>
      <w:pPr>
        <w:pStyle w:val="Normal"/>
        <w:ind w:hanging="360" w:left="720"/>
        <w:jc w:val="both"/>
        <w:rPr/>
      </w:pPr>
      <w:r>
        <w:rPr/>
        <w:t>e$ é impossível a estação existir há mais de 30 anos sem que um raio já a tenha atingido anteriormente.</w:t>
      </w:r>
    </w:p>
    <w:p>
      <w:pPr>
        <w:pStyle w:val="Normal"/>
        <w:rPr/>
      </w:pPr>
      <w:r>
        <w:rPr/>
      </w:r>
    </w:p>
    <w:p>
      <w:pPr>
        <w:pStyle w:val="Normal"/>
        <w:ind w:hanging="360" w:left="360"/>
        <w:jc w:val="both"/>
        <w:rPr/>
      </w:pPr>
      <w:r>
        <w:rPr>
          <w:b/>
        </w:rPr>
        <w:t>w$ D</w:t>
      </w: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0" w:top="1417" w:footer="0" w:bottom="1417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link w:val="TitlePHPDOCX"/>
    <w:uiPriority w:val="10"/>
    <w:qFormat/>
    <w:rsid w:val="00df064e"/>
    <w:rPr>
      <w:rFonts w:ascii="Calibri Light" w:hAnsi="Calibri Light" w:eastAsia="Times New Roman" w:cs="Times New Roman"/>
      <w:color w:val="323E4F"/>
      <w:spacing w:val="5"/>
      <w:kern w:val="2"/>
      <w:sz w:val="52"/>
      <w:szCs w:val="52"/>
    </w:rPr>
  </w:style>
  <w:style w:type="character" w:styleId="SubtitleCarPHPDOCX" w:customStyle="1">
    <w:name w:val="Subtitle Car PHPDOCX"/>
    <w:link w:val="SubtitlePHPDOCX"/>
    <w:uiPriority w:val="11"/>
    <w:qFormat/>
    <w:rsid w:val="00df064e"/>
    <w:rPr>
      <w:rFonts w:ascii="Calibri Light" w:hAnsi="Calibri Light" w:eastAsia="Times New Roman" w:cs="Times New Roman"/>
      <w:i/>
      <w:iCs/>
      <w:color w:val="4472C4"/>
      <w:spacing w:val="15"/>
      <w:sz w:val="24"/>
      <w:szCs w:val="24"/>
    </w:rPr>
  </w:style>
  <w:style w:type="character" w:styleId="AnnotationreferencePHPDOCX" w:customStyle="1">
    <w:name w:val="annotation reference 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 w:customStyle="1">
    <w:name w:val="footnote Reference 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 w:customStyle="1">
    <w:name w:val="endnote Reference PHPDOCX"/>
    <w:uiPriority w:val="99"/>
    <w:semiHidden/>
    <w:unhideWhenUsed/>
    <w:qFormat/>
    <w:rsid w:val="006e0fda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PHPDOCX" w:customStyle="1">
    <w:name w:val="List Paragraph PHPDOCX"/>
    <w:basedOn w:val="Normal"/>
    <w:uiPriority w:val="34"/>
    <w:qFormat/>
    <w:rsid w:val="00df064e"/>
    <w:pPr>
      <w:spacing w:before="0" w:after="0"/>
      <w:ind w:left="72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/>
      <w:color w:val="323E4F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/>
    <w:rPr>
      <w:rFonts w:ascii="Calibri Light" w:hAnsi="Calibri Light"/>
      <w:i/>
      <w:iCs/>
      <w:color w:val="4472C4"/>
      <w:spacing w:val="15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qFormat/>
    <w:rsid w:val="00e139ea"/>
    <w:pPr/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qFormat/>
    <w:rsid w:val="00e139ea"/>
    <w:pPr/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qFormat/>
    <w:rsid w:val="006e0fda"/>
    <w:pPr/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qFormat/>
    <w:rsid w:val="006e0fda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LibreOffice/7.6.2.1$Windows_X86_64 LibreOffice_project/56f7684011345957bbf33a7ee678afaf4d2ba333</Application>
  <AppVersion>15.0000</AppVersion>
  <Pages>9</Pages>
  <Words>360</Words>
  <Characters>1506</Characters>
  <CharactersWithSpaces>1829</CharactersWithSpaces>
  <Paragraphs>95</Paragraphs>
  <Company>GPS PROFESSOR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2017-06-28T20:28:00Z</dcterms:created>
  <dc:creator>Administrador</dc:creator>
  <dc:description/>
  <dc:language>pt-BR</dc:language>
  <cp:lastModifiedBy/>
  <dcterms:modified xsi:type="dcterms:W3CDTF">2023-12-14T14:38:04Z</dcterms:modified>
  <cp:revision>5</cp:revision>
  <dc:subject/>
  <dc:title>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