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es dependiente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diferentes rangos altitudinales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sobre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abióticos y la tasa de recambio de especies (diversidad beta), que a escalas más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riqueza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 acuerdo a los patrones de densidad de especies en los gradientes altitudinales</w:t>
      </w:r>
      <w:r>
        <w:t xml:space="preserve"> </w:t>
      </w:r>
      <w:r>
        <w:t xml:space="preserve">(Lomolino 2001)</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abioticas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este efecto dependiente de la altitud, y permitiendo encontrar una asociación más fuerte en rangos altitudinales altos</w:t>
      </w:r>
      <w:r>
        <w:t xml:space="preserve"> </w:t>
      </w:r>
      <w:r>
        <w:t xml:space="preserve">(Keil &amp; Chase 2019)</w:t>
      </w:r>
      <w:r>
        <w:t xml:space="preserve">. Por lo tanto, la altitud tendrá un efecto pivotante sobre la dependencia espacial de los procesos y patrones de diversidad de plantas de sotobosque.</w:t>
      </w:r>
    </w:p>
    <w:bookmarkEnd w:id="20"/>
    <w:bookmarkStart w:id="25" w:name="metodología"/>
    <w:p>
      <w:pPr>
        <w:pStyle w:val="Heading1"/>
      </w:pPr>
      <w:r>
        <w:t xml:space="preserve">Metodología</w:t>
      </w:r>
    </w:p>
    <w:bookmarkStart w:id="21"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w:t>
      </w:r>
    </w:p>
    <w:p>
      <w:pPr>
        <w:pStyle w:val="BodyText"/>
      </w:pPr>
      <w:r>
        <w:t xml:space="preserve">Los bosques de tierras bajas se caracterizan por tener una temperatura y precipitación promedio de 11324, 1324, respecticamente, con un dosel que alcanza los 30m de altura, y un subdosel de 12 m, dominando en el subdosel las familias Piperaceae, etc.</w:t>
      </w:r>
    </w:p>
    <w:p>
      <w:pPr>
        <w:pStyle w:val="BodyText"/>
      </w:pPr>
      <w:r>
        <w:t xml:space="preserve">Los bosques piemontanos</w:t>
      </w:r>
    </w:p>
    <w:p>
      <w:pPr>
        <w:pStyle w:val="BodyText"/>
      </w:pPr>
      <w:r>
        <w:t xml:space="preserve">Montanos bajos</w:t>
      </w:r>
    </w:p>
    <w:p>
      <w:pPr>
        <w:pStyle w:val="BodyText"/>
      </w:pPr>
      <w:r>
        <w:t xml:space="preserve">Montanos</w:t>
      </w:r>
    </w:p>
    <w:p>
      <w:pPr>
        <w:pStyle w:val="BodyText"/>
      </w:pPr>
      <w:r>
        <w:t xml:space="preserve">Montanos altos</w:t>
      </w:r>
    </w:p>
    <w:p>
      <w:pPr>
        <w:pStyle w:val="BodyText"/>
      </w:pPr>
      <w:r>
        <w:t xml:space="preserve">Páramo</w:t>
      </w:r>
    </w:p>
    <w:p>
      <w:pPr>
        <w:pStyle w:val="BodyText"/>
      </w:pPr>
      <w:r>
        <w:t xml:space="preserve">La mayoría de parcelas están concentradas en la reserva biológica Yanayacu (0°35’S, 77°53’W; 1600 m), donde los estudios de interacciones biológicas continúan actualmente.</w:t>
      </w:r>
    </w:p>
    <w:bookmarkEnd w:id="21"/>
    <w:bookmarkStart w:id="22"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End w:id="22"/>
    <w:bookmarkStart w:id="23"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BIO11 (Mean Temperature of Coldest Quarter) como variables subrogadas a la precipitación y temperatura, respectivamente, al ser las variables con mayor correlación con la diversidad alfa, beta y con otras variables ambientales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3"/>
    <w:bookmarkStart w:id="24"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los supuestos de normalidad y homocedasticidad, debido a su manifiesta limitación para detectar desviaciones importantes de una distribución normal y homogeneidad de varianzas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 por lo que las pruebas detectan diferencias mínimas en tamaños muestrales grandes</w:t>
      </w:r>
      <w:r>
        <w:t xml:space="preserve"> </w:t>
      </w:r>
      <w:r>
        <w:t xml:space="preserve">(Gómez-de-Mariscal</w:t>
      </w:r>
      <w:r>
        <w:t xml:space="preserve"> </w:t>
      </w:r>
      <w:r>
        <w:rPr>
          <w:iCs/>
          <w:i/>
        </w:rPr>
        <w:t xml:space="preserve">et al.</w:t>
      </w:r>
      <w:r>
        <w:t xml:space="preserve"> </w:t>
      </w:r>
      <w:r>
        <w:t xml:space="preserve">2021)</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y base</w:t>
      </w:r>
      <w:r>
        <w:t xml:space="preserve"> </w:t>
      </w:r>
      <w:r>
        <w:t xml:space="preserve">(R Core Team 2023)</w:t>
      </w:r>
      <w:r>
        <w:t xml:space="preserve">.</w:t>
      </w:r>
    </w:p>
    <w:bookmarkEnd w:id="24"/>
    <w:bookmarkEnd w:id="25"/>
    <w:bookmarkStart w:id="29" w:name="resultados"/>
    <w:p>
      <w:pPr>
        <w:pStyle w:val="Heading1"/>
      </w:pPr>
      <w:r>
        <w:t xml:space="preserve">Resultados</w:t>
      </w:r>
    </w:p>
    <w:bookmarkStart w:id="26"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La diversidad beta mostró un patrón similar pero más discreto, en particular dentro del rango de los 400 y 1600 msnm,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Aun así, se reportó la mayor diversidad beta en los bosques montanos altos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9"/>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c7b04e25-7d20-4e08-bf66-80cbca543ac3"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b04e25-7d20-4e08-bf66-80cbca543ac3"/>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77% de la variación de la diversidad alfa (F(11, 1788)=545.4,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=0.71, p&lt;0.05, y</w:t>
      </w:r>
      <w:r>
        <w:t xml:space="preserve"> </w:t>
      </w:r>
      <m:oMath>
        <m:r>
          <m:t>β</m:t>
        </m:r>
      </m:oMath>
      <w:r>
        <w:t xml:space="preserve">=0.9, p&lt;0.05, respectivamente). No obstante, a los 1600 msnm se reportó la tercera asociación más alta (</w:t>
      </w:r>
      <m:oMath>
        <m:r>
          <m:t>β</m:t>
        </m:r>
      </m:oMath>
      <w:r>
        <w:t xml:space="preserve">=0.65,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917e84a9-ef02-4afe-babe-1a61fece37bb"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917e84a9-ef02-4afe-babe-1a61fece37bb"/>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[4.738, 5.427]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[0.158, 0.269]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[-0.004,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0.270 [0.191, 0.348]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[-0.017, -0.012]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0.468 [0.389, 0.546]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-0.009 [-0.011, -0.006]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0.350 [0.272, 0.428]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[-0.008, -0.003]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[0.429, 0.586]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-0.012]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[0.613, 0.770]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1744</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0.409</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0.406</w:t>
            </w:r>
          </w:p>
        </w:tc>
      </w:tr>
    </w:tbl>
    <w:p>
      <w:pPr>
        <w:pStyle w:val="BodyText"/>
      </w:pPr>
      <w:r>
        <w:t xml:space="preserve">En cuanto a la diversidad beta, la asociación con la escala de análisis fue negativa y más discreta en comparación a la diversidad alfa, explicando el modelo un 40% de la variación (F(11, 1732)=109.1,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=-0.015, p&lt;0.05). A los 2900 msnm la asociación entre la diversidad beta y escala de análisis alcanza su pico máximo (</w:t>
      </w:r>
      <m:oMath>
        <m:r>
          <m:t>β</m:t>
        </m:r>
      </m:oMath>
      <w:r>
        <w:t xml:space="preserve">=-0.029, p&lt;0.05), y a los 400 mnsnm su valor más bajo, siendo despreciable su efecto (</w:t>
      </w:r>
      <m:oMath>
        <m:r>
          <m:t>β</m:t>
        </m:r>
      </m:oMath>
      <w:r>
        <w:t xml:space="preserve">=-0.001, p&gt;0.05). No obstante, las diferencias en la magnitud de asociación entre los 2900 y 1000 msnm fueron mínimas.</w:t>
      </w:r>
    </w:p>
    <w:bookmarkEnd w:id="26"/>
    <w:bookmarkStart w:id="27"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77% de la varianza (F(10, 1789)=612.1,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se asoció negativamente a la diversidad alfa (</w:t>
      </w:r>
      <m:oMath>
        <m:r>
          <m:t>β</m:t>
        </m:r>
      </m:oMath>
      <w:r>
        <w:t xml:space="preserve">= -0.96,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la precipitación positivamente (</w:t>
      </w:r>
      <m:oMath>
        <m:r>
          <m:t>β</m:t>
        </m:r>
      </m:oMath>
      <w:r>
        <w:t xml:space="preserve">=0.05,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B). Además, el efecto de ambas variables fluctúo de acuerdo a la escala de análisis empleada. Al aumentar la escala de análisis, el efecto de la temperatura sobre la diversidad alfa aumentó (</w:t>
      </w:r>
      <m:oMath>
        <m:r>
          <m:t>β</m:t>
        </m:r>
      </m:oMath>
      <w:r>
        <w:t xml:space="preserve">= -0.0007, p&lt;0.05), mientras que la asociación de la diversidad alfa con la precipitación se debilitó a mayores escalas (</w:t>
      </w:r>
      <m:oMath>
        <m:r>
          <m:t>β</m:t>
        </m:r>
      </m:oMath>
      <w:r>
        <w:t xml:space="preserve">= -0.00002, p&lt;0.05).</w:t>
      </w:r>
    </w:p>
    <w:p>
      <w:pPr>
        <w:pStyle w:val="BodyText"/>
      </w:pPr>
      <w:r>
        <w:t xml:space="preserve">Similarmente, el modelo de dependencia espacial de la diversidad beta asociada a la temperatura/precipitación explicó hasta un 37% de la varianza (F(10, 1733)=104.4,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0.04,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mientras que la precipitación no tuvo ninguna asociación significativa con la diversidad beta (</w:t>
      </w:r>
      <m:oMath>
        <m:r>
          <m:t>β</m:t>
        </m:r>
      </m:oMath>
      <w:r>
        <w:t xml:space="preserve">= -0.0005,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disminuyó gradualmente (</w:t>
      </w:r>
      <m:oMath>
        <m:r>
          <m:t>β</m:t>
        </m:r>
      </m:oMath>
      <w:r>
        <w:t xml:space="preserve">= -0.0003, p&lt;0.05), al igual que el efecto de la precipitación (</w:t>
      </w:r>
      <m:oMath>
        <m:r>
          <m:t>β</m:t>
        </m:r>
      </m:oMath>
      <w:r>
        <w:t xml:space="preserve">= 0.00001, p&lt;0.05).</w:t>
      </w:r>
    </w:p>
    <w:p xmlns:w14="http://schemas.microsoft.com/office/word/2010/wordml">
      <w:pPr>
        <w:pStyle w:val="TableCaption"/>
        <w:jc w:val="center"/>
        <w:keepNext/>
      </w:pPr>
      <w:r>
        <w:rPr>
          <w:rFonts/>
          <w:b w:val="true"/>
        </w:rPr>
        <w:t xml:space="preserve">Tabla  </w:t>
      </w:r>
      <w:bookmarkStart w:id="3c392e7e-07fd-4cb6-a1f9-70b5cb9e2d08"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3c392e7e-07fd-4cb6-a1f9-70b5cb9e2d08"/>
      <w:r>
        <w:rPr>
          <w:rFonts/>
          <w:b w:val="true"/>
        </w:rPr>
        <w:t xml:space="preserve">.  </w:t>
      </w:r>
      <w:r>
        <w:t xml:space="preserve">Coeficientes de los modelos lineales ajustados a la diversidad alfa y beta de plantas de sotobosque, utilizando como variables predictoras la altitud,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958"/>
        <w:gridCol w:w="3658"/>
        <w:gridCol w:w="3492"/>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-1.4e+01 [-2.0e+01,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6.8e+00 [5.4e+00, 8.3e+00]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-1.8e-02 [-2.6e-02, -1.0e-02] ***</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1.6e+01 [1.2e+01, 2.0e+01]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[-5.7e-04, 1.6e-02] +</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1.8e+01 [1.4e+01, 2.2e+01]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-5.2e-03 [-1.4e-02, 3.9e-03]</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1.4e+01 [9.7e+00, 1.8e+01]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-3.1e-02 [-4.1e-02, -2.1e-02] ***</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1.4e+01 [9.2e+00, 1.8e+01]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3.2e-02 [2.4e-02, 4.0e-02] ***</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4.3e-02 [4.1e-02, 4.5e-02]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-9.6e-01 [-1.2e+00, -6.9e-01]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3.9e-02 [2.7e-02, 5.2e-02] ***</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5.1e-02 [3.8e-02, 6.4e-02]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-5.3e-04 [-1.1e-03, 5.9e-05] +</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[-1.1e-03, -3.8e-04]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[-4.5e-04, -2.3e-04] ***</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-1.9e-05 [-3.0e-05, -8.0e-06]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1.0e-05 [5.0e-06, 1.6e-05] ***</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1744</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0.376</w:t>
            </w:r>
          </w:p>
        </w:tc>
      </w:tr>
      <w:tr>
        <w:trPr>
          <w:trHeight w:val="615"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0.372</w:t>
            </w:r>
          </w:p>
        </w:tc>
      </w:tr>
    </w:tbl>
    <w:bookmarkEnd w:id="27"/>
    <w:bookmarkStart w:id="28"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1000 mnsm (</w:t>
      </w:r>
      <m:oMath>
        <m:r>
          <m:t>β</m:t>
        </m:r>
      </m:oMath>
      <w:r>
        <w:t xml:space="preserve">=20, p&lt;0.05), y su efecto dependió de la escala de análisis utilizada, por lo que a mayor escala la magnitud del efecto de la temperatura aumentó (</w:t>
      </w:r>
      <m:oMath>
        <m:r>
          <m:t>β</m:t>
        </m:r>
      </m:oMath>
      <w:r>
        <w:t xml:space="preserve">=0.161,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apreciable únicamente a los 400 (</w:t>
      </w:r>
      <m:oMath>
        <m:r>
          <m:t>β</m:t>
        </m:r>
      </m:oMath>
      <w:r>
        <w:t xml:space="preserve">= -0.560, p&lt;0.05) y 1000 msnm (</w:t>
      </w:r>
      <m:oMath>
        <m:r>
          <m:t>β</m:t>
        </m:r>
      </m:oMath>
      <w:r>
        <w:t xml:space="preserve">= -0.511, p&lt;0.05), sin depender en ninguno de los casos de la escala de análisis (</w:t>
      </w:r>
      <m:oMath>
        <m:r>
          <m:t>β</m:t>
        </m:r>
      </m:oMath>
      <w:r>
        <w:t xml:space="preserve">=-0.004, p&gt;0.05).</w:t>
      </w:r>
    </w:p>
    <w:p xmlns:w14="http://schemas.microsoft.com/office/word/2010/wordml">
      <w:pPr>
        <w:pStyle w:val="TableCaption"/>
        <w:jc w:val="center"/>
        <w:keepNext/>
      </w:pPr>
      <w:r>
        <w:rPr>
          <w:rFonts/>
          <w:b w:val="true"/>
        </w:rPr>
        <w:t xml:space="preserve">Tabla  </w:t>
      </w:r>
      <w:bookmarkStart w:id="e7ac0ee0-145d-444a-af1e-50f1378b860b"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e7ac0ee0-145d-444a-af1e-50f1378b860b"/>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315.135 [120.720, 509.551]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-83.776 [-186.843, 19.290]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4.220 [-3.353, 11.793]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-2.833 [-15.161, 9.494]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12.466 [-4.274, 29.206]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-7.124 [-29.649, 15.400]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0.205 [-1.790, 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-0.908 [-1.879, 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0.075 [-0.021,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[-0.140, 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-0.236 [-0.458, -0.015]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0.101 [-0.071, 0.272]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5.903 [-2.924, 14.730]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20.970 [4.149, 37.791]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-1.064 [-2.422, 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1.781 [-0.987, 4.549]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0.037 [-0.694, 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-2.851 [-6.791, 1.090]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-0.560 [-0.999, -0.122]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-0.511 [-0.883, -0.138]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[-0.007, 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-0.042 [-0.128,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-0.025 [-0.104,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0.121 [-0.040, 0.281]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[-0.096,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0.161 [0.001, 0.321]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0.018 [-0.005,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 [-0.044,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-0.019 [-0.028, -0.010]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[-0.047, 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[-0.005,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[-0.007,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0.694</w:t>
            </w:r>
          </w:p>
        </w:tc>
      </w:tr>
    </w:tbl>
    <w:p>
      <w:pPr>
        <w:pStyle w:val="BodyText"/>
      </w:pPr>
      <w:r>
        <w:t xml:space="preserve">La asociación de la diversidad beta con la temperatura aumentó desde los 2900 (</w:t>
      </w:r>
      <m:oMath>
        <m:r>
          <m:t>β</m:t>
        </m:r>
      </m:oMath>
      <w:r>
        <w:t xml:space="preserve">=0.026, p&lt;0.05) hasta los 3500 mnsm (</w:t>
      </w:r>
      <m:oMath>
        <m:r>
          <m:t>β</m:t>
        </m:r>
      </m:oMath>
      <w:r>
        <w:t xml:space="preserve">=0.161, p&lt;0.05). En ambos casos el efecto de la temperatura dependió de la escala de análisis, no obstante, a los 2900 msnm la dependencia aumentó el efecto (</w:t>
      </w:r>
      <m:oMath>
        <m:r>
          <m:t>β</m:t>
        </m:r>
      </m:oMath>
      <w:r>
        <w:t xml:space="preserve">=0.0001, p&lt;0.05), mientras que a los 3500 lo disminuyó (</w:t>
      </w:r>
      <m:oMath>
        <m:r>
          <m:t>β</m:t>
        </m:r>
      </m:oMath>
      <w:r>
        <w:t xml:space="preserve">=-0.0001, p&lt;0.05). Además, en el resto de rangos no se encontró una asociación significativa (p&gt;0.05). Por su parte, la precipitación no se asoció con la diversidad beta en ninguno de los rangos altitudinales, ni tampoco dependió de la escala de análisis empleada.</w:t>
      </w:r>
    </w:p>
    <w:p xmlns:w14="http://schemas.microsoft.com/office/word/2010/wordml">
      <w:pPr>
        <w:pStyle w:val="TableCaption"/>
        <w:jc w:val="center"/>
        <w:keepNext/>
      </w:pPr>
      <w:r>
        <w:rPr>
          <w:rFonts/>
          <w:b w:val="true"/>
        </w:rPr>
        <w:t xml:space="preserve">Tabla  </w:t>
      </w:r>
      <w:bookmarkStart w:id="4870141c-6cec-4d6a-9784-3c96112fb23c"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4870141c-6cec-4d6a-9784-3c96112fb23c"/>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0.127 [0.110, 0.143]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0.194 [0.178, 0.209]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0.159 [0.139, 0.179]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[0.143,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0.165 [0.148, 0.182]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0.186 [0.169, 0.202]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-0.139 [-0.398, 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-0.052 [-0.424, 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[-0.067,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[-0.007, 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[0.005, 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0.161 [0.056, 0.266]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[-0.003,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[-0.006,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[-0.002,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[-0.007, 0.000] +</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0.228</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w:t>
            </w:r>
          </w:p>
        </w:tc>
      </w:tr>
    </w:tbl>
    <w:bookmarkEnd w:id="28"/>
    <w:bookmarkEnd w:id="29"/>
    <w:bookmarkStart w:id="30" w:name="anexos"/>
    <w:p>
      <w:pPr>
        <w:pStyle w:val="Heading1"/>
      </w:pPr>
      <w:r>
        <w:t xml:space="preserve">Anexos</w:t>
      </w:r>
    </w:p>
    <w:p>
      <w:pPr>
        <w:jc w:val="center"/>
        <w:pStyle w:val="Figure"/>
      </w:pPr>
      <w:r>
        <w:rPr/>
        <w:drawing>
          <wp:inline distT="0" distB="0" distL="0" distR="0">
            <wp:extent cx="640080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0"/>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Anexo </w:t>
      </w:r>
      <w:bookmarkStart w:id="2daea89b-48b7-408b-8066-499d3685502d"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daea89b-48b7-408b-8066-499d3685502d"/>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1"/>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Anexo </w:t>
      </w:r>
      <w:bookmarkStart w:id="f8bfe4c5-6230-436c-bef4-d5a726ce8c3c"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8bfe4c5-6230-436c-bef4-d5a726ce8c3c"/>
      <w:r>
        <w:rPr>
          <w:rFonts/>
          <w:b w:val="true"/>
        </w:rPr>
        <w:t xml:space="preserve">. </w:t>
      </w:r>
      <w:r>
        <w:t xml:space="preserve">Múltiples correlaciones entre variables climáticas de WorldClim e índice de diversidad Beta</w:t>
      </w:r>
    </w:p>
    <w:p xmlns:w14="http://schemas.microsoft.com/office/word/2010/wordml">
      <w:pPr>
        <w:pStyle w:val="TableCaption"/>
        <w:jc w:val="center"/>
        <w:keepNext/>
      </w:pPr>
      <w:r>
        <w:rPr>
          <w:rFonts/>
          <w:b w:val="true"/>
        </w:rPr>
        <w:t xml:space="preserve">Anexo  </w:t>
      </w:r>
      <w:bookmarkStart w:id="bdc78d14-4bab-4a84-926a-2e0b424478cb"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bdc78d14-4bab-4a84-926a-2e0b424478cb"/>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2686"/>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6.257 [5.997, 6.518]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2.576 [2.207, 2.944]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[-0.023, -0.005]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2.318 [1.949, 2.686]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 [0.007, 0.026]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5.165 [4.797, 5.533]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[-0.002, 0.016]</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3.481 [3.113, 3.849]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5.311 [4.943, 5.680]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1744</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0.106</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0.104</w:t>
            </w:r>
          </w:p>
        </w:tc>
      </w:tr>
    </w:tbl>
    <w:p>
      <w:pPr>
        <w:jc w:val="center"/>
        <w:pStyle w:val="Figure"/>
      </w:pPr>
      <w:r>
        <w:rPr/>
        <w:drawing>
          <wp:inline distT="0" distB="0" distL="0" distR="0">
            <wp:extent cx="6400800" cy="73152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2"/>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9fe82ea3-3f0a-49c8-824f-a7e14928dd41"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fe82ea3-3f0a-49c8-824f-a7e14928dd41"/>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3"/>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66fe7c3d-a219-47a6-99b6-480ec311be6a"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6fe7c3d-a219-47a6-99b6-480ec311be6a"/>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4"/>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deffed87-49af-43e7-b6c0-35c1535f5660"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effed87-49af-43e7-b6c0-35c1535f5660"/>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5"/>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d4fe22c5-1cfc-4f2e-8065-fc866ca88234"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4fe22c5-1cfc-4f2e-8065-fc866ca88234"/>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6"/>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6ec93b24-8951-4a35-a535-ad13e42278b6"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ec93b24-8951-4a35-a535-ad13e42278b6"/>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7"/>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7523d344-1e0d-4f00-a7b4-3314aec675e9"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7523d344-1e0d-4f00-a7b4-3314aec675e9"/>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8"/>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873a8293-4143-48d5-a4ff-5f7e2385de4a"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73a8293-4143-48d5-a4ff-5f7e2385de4a"/>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29"/>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e008915d-cd8a-4424-9a60-16a3291bc7ae"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008915d-cd8a-4424-9a60-16a3291bc7ae"/>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30"/>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Anexo </w:t>
      </w:r>
      <w:bookmarkStart w:id="cb622ae8-4cbe-474f-bf5d-6e4eeef99f59"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cb622ae8-4cbe-474f-bf5d-6e4eeef99f59"/>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bookmarkEnd w:id="30"/>
    <w:bookmarkStart w:id="121" w:name="literatura-citada"/>
    <w:p>
      <w:pPr>
        <w:pStyle w:val="Heading1"/>
      </w:pPr>
      <w:r>
        <w:t xml:space="preserve">Literatura citada</w:t>
      </w:r>
    </w:p>
    <w:bookmarkStart w:id="120" w:name="refs"/>
    <w:bookmarkStart w:id="32" w:name="ref-Barton2013"/>
    <w:p>
      <w:pPr>
        <w:pStyle w:val="Bibliography"/>
      </w:pPr>
      <w:r>
        <w:t xml:space="preserve">Barton PS, Cunningham SA, Manning AD, Gibb H, Lindenmayer DB &amp; Didham RK. 2013.</w:t>
      </w:r>
      <w:r>
        <w:t xml:space="preserve"> </w:t>
      </w:r>
      <w:hyperlink r:id="rId31">
        <w:r>
          <w:rPr>
            <w:rStyle w:val="Hyperlink"/>
          </w:rPr>
          <w:t xml:space="preserve">The spatial scaling of beta diversity</w:t>
        </w:r>
      </w:hyperlink>
      <w:r>
        <w:t xml:space="preserve">. Global Ecology and Biogeography. 22(6): 639-647.</w:t>
      </w:r>
    </w:p>
    <w:bookmarkEnd w:id="32"/>
    <w:bookmarkStart w:id="34" w:name="ref-Baselga2010"/>
    <w:p>
      <w:pPr>
        <w:pStyle w:val="Bibliography"/>
      </w:pPr>
      <w:r>
        <w:t xml:space="preserve">Baselga A. 2010.</w:t>
      </w:r>
      <w:r>
        <w:t xml:space="preserve"> </w:t>
      </w:r>
      <w:hyperlink r:id="rId33">
        <w:r>
          <w:rPr>
            <w:rStyle w:val="Hyperlink"/>
          </w:rPr>
          <w:t xml:space="preserve">Partitioning the turnover and nestedness components of beta diversity</w:t>
        </w:r>
      </w:hyperlink>
      <w:r>
        <w:t xml:space="preserve">. Global Ecology and Biogeography. 19(1): 134-143.</w:t>
      </w:r>
    </w:p>
    <w:bookmarkEnd w:id="34"/>
    <w:bookmarkStart w:id="36" w:name="ref-Berdugo2022"/>
    <w:p>
      <w:pPr>
        <w:pStyle w:val="Bibliography"/>
      </w:pPr>
      <w:r>
        <w:t xml:space="preserve">Berdugo MB, Gradstein SR, Guérot L, León-Yánez S, Bendix J &amp; Bader MY. 2022.</w:t>
      </w:r>
      <w:r>
        <w:t xml:space="preserve"> </w:t>
      </w:r>
      <w:hyperlink r:id="rId35">
        <w:r>
          <w:rPr>
            <w:rStyle w:val="Hyperlink"/>
          </w:rPr>
          <w:t xml:space="preserve">Diversity patterns of epiphytic bryophytes across spatial scales: Species-rich crowns and beta-diverse trunks</w:t>
        </w:r>
      </w:hyperlink>
      <w:r>
        <w:t xml:space="preserve">. Biotropica. 54(4): 893-905.</w:t>
      </w:r>
    </w:p>
    <w:bookmarkEnd w:id="36"/>
    <w:bookmarkStart w:id="38" w:name="ref-Bhatta2018"/>
    <w:p>
      <w:pPr>
        <w:pStyle w:val="Bibliography"/>
      </w:pPr>
      <w:r>
        <w:t xml:space="preserve">Bhatta KP, Grytnes JA &amp; Vetaas OR. 2018.</w:t>
      </w:r>
      <w:r>
        <w:t xml:space="preserve"> </w:t>
      </w:r>
      <w:hyperlink r:id="rId37">
        <w:r>
          <w:rPr>
            <w:rStyle w:val="Hyperlink"/>
          </w:rPr>
          <w:t xml:space="preserve">Scale sensitivity of the relationship between alpha and gamma diversity along an alpine elevation gradient in central Nepal</w:t>
        </w:r>
      </w:hyperlink>
      <w:r>
        <w:t xml:space="preserve">. Journal of Biogeography. 45(4): 804-814.</w:t>
      </w:r>
    </w:p>
    <w:bookmarkEnd w:id="38"/>
    <w:bookmarkStart w:id="40" w:name="ref-Brown2014"/>
    <w:p>
      <w:pPr>
        <w:pStyle w:val="Bibliography"/>
      </w:pPr>
      <w:r>
        <w:t xml:space="preserve">Brown JH. 2014.</w:t>
      </w:r>
      <w:r>
        <w:t xml:space="preserve"> </w:t>
      </w:r>
      <w:hyperlink r:id="rId39">
        <w:r>
          <w:rPr>
            <w:rStyle w:val="Hyperlink"/>
          </w:rPr>
          <w:t xml:space="preserve">Why are there so many species in the tropics?</w:t>
        </w:r>
      </w:hyperlink>
      <w:r>
        <w:t xml:space="preserve"> Journal of Biogeography. 41(1): 8-22.</w:t>
      </w:r>
    </w:p>
    <w:bookmarkEnd w:id="40"/>
    <w:bookmarkStart w:id="42" w:name="ref-Castorani2021"/>
    <w:p>
      <w:pPr>
        <w:pStyle w:val="Bibliography"/>
      </w:pPr>
      <w:r>
        <w:t xml:space="preserve">Castorani MCN, Harrer SL, Miller RJ &amp; Reed DC. 2021.</w:t>
      </w:r>
      <w:r>
        <w:t xml:space="preserve"> </w:t>
      </w:r>
      <w:hyperlink r:id="rId41">
        <w:r>
          <w:rPr>
            <w:rStyle w:val="Hyperlink"/>
          </w:rPr>
          <w:t xml:space="preserve">Disturbance structures canopy and understory productivity along an environmental gradient</w:t>
        </w:r>
      </w:hyperlink>
      <w:r>
        <w:t xml:space="preserve">. Ecology Letters. 24(10): 2192-2206.</w:t>
      </w:r>
    </w:p>
    <w:bookmarkEnd w:id="42"/>
    <w:bookmarkStart w:id="44" w:name="ref-Cavender-Bares2009"/>
    <w:p>
      <w:pPr>
        <w:pStyle w:val="Bibliography"/>
      </w:pPr>
      <w:r>
        <w:t xml:space="preserve">Cavender-Bares J, Kozak KH, Fine PVA &amp; Kembel SW. 2009.</w:t>
      </w:r>
      <w:r>
        <w:t xml:space="preserve"> </w:t>
      </w:r>
      <w:hyperlink r:id="rId43">
        <w:r>
          <w:rPr>
            <w:rStyle w:val="Hyperlink"/>
          </w:rPr>
          <w:t xml:space="preserve">The merging of community ecology and phylogenetic biology</w:t>
        </w:r>
      </w:hyperlink>
      <w:r>
        <w:t xml:space="preserve">. Ecology Letters. 12(7): 693-715.</w:t>
      </w:r>
    </w:p>
    <w:bookmarkEnd w:id="44"/>
    <w:bookmarkStart w:id="46" w:name="ref-Chave2013"/>
    <w:p>
      <w:pPr>
        <w:pStyle w:val="Bibliography"/>
      </w:pPr>
      <w:r>
        <w:t xml:space="preserve">Chave J. 2013.</w:t>
      </w:r>
      <w:r>
        <w:t xml:space="preserve"> </w:t>
      </w:r>
      <w:hyperlink r:id="rId45">
        <w:r>
          <w:rPr>
            <w:rStyle w:val="Hyperlink"/>
          </w:rPr>
          <w:t xml:space="preserve">The problem of pattern and scale in ecology: What have we learned in 20 years?</w:t>
        </w:r>
      </w:hyperlink>
      <w:r>
        <w:t xml:space="preserve"> Ecology Letters. 16(SUPPL.1): 4-16.</w:t>
      </w:r>
    </w:p>
    <w:bookmarkEnd w:id="46"/>
    <w:bookmarkStart w:id="48" w:name="ref-Cuesta2017"/>
    <w:p>
      <w:pPr>
        <w:pStyle w:val="Bibliography"/>
      </w:pPr>
      <w:r>
        <w:t xml:space="preserve">Cuesta F, Peralvo M, Merino-Viteri A, Bustamante M, Baquero F, Freile JF, Muriel P &amp; Torres-Carvajal O. 2017.</w:t>
      </w:r>
      <w:r>
        <w:t xml:space="preserve"> </w:t>
      </w:r>
      <w:hyperlink r:id="rId47">
        <w:r>
          <w:rPr>
            <w:rStyle w:val="Hyperlink"/>
          </w:rPr>
          <w:t xml:space="preserve">Priority areas for biodiversity conservation in mainland Ecuador</w:t>
        </w:r>
      </w:hyperlink>
      <w:r>
        <w:t xml:space="preserve">. Neotropical Biodiversity. 3(1): 93-106.</w:t>
      </w:r>
    </w:p>
    <w:bookmarkEnd w:id="48"/>
    <w:bookmarkStart w:id="50" w:name="ref-Dembicz2021"/>
    <w:p>
      <w:pPr>
        <w:pStyle w:val="Bibliography"/>
      </w:pPr>
      <w:r>
        <w:t xml:space="preserve">Dembicz I, Dengler J, Steinbauer MJ, Matthews TJ, Bartha S, Burrascano S, Chiarucci A, Filibeck G, Gillet F, Janišová M, et al. 2021.</w:t>
      </w:r>
      <w:r>
        <w:t xml:space="preserve"> </w:t>
      </w:r>
      <w:hyperlink r:id="rId49">
        <w:r>
          <w:rPr>
            <w:rStyle w:val="Hyperlink"/>
          </w:rPr>
          <w:t xml:space="preserve">Fine-grain beta diversity of Palaearctic grassland vegetation</w:t>
        </w:r>
      </w:hyperlink>
      <w:r>
        <w:t xml:space="preserve">. Journal of Vegetation Science. 32(3).</w:t>
      </w:r>
    </w:p>
    <w:bookmarkEnd w:id="50"/>
    <w:bookmarkStart w:id="52" w:name="ref-Dyer2007"/>
    <w:p>
      <w:pPr>
        <w:pStyle w:val="Bibliography"/>
      </w:pPr>
      <w:r>
        <w:t xml:space="preserve">Dyer LA, Singer MS, Lill JT, Stireman JO, Gentry GL, Marquis RJ, Ricklefs RE, Greeney HF, Wagner DL, Morais HC, et al. 2007.</w:t>
      </w:r>
      <w:r>
        <w:t xml:space="preserve"> </w:t>
      </w:r>
      <w:hyperlink r:id="rId51">
        <w:r>
          <w:rPr>
            <w:rStyle w:val="Hyperlink"/>
          </w:rPr>
          <w:t xml:space="preserve">Host specificity of Lepidoptera in tropical and temperate forests</w:t>
        </w:r>
      </w:hyperlink>
      <w:r>
        <w:t xml:space="preserve">. Nature. 448(7154): 696-699.</w:t>
      </w:r>
    </w:p>
    <w:bookmarkEnd w:id="52"/>
    <w:bookmarkStart w:id="54" w:name="ref-Dyer2010"/>
    <w:p>
      <w:pPr>
        <w:pStyle w:val="Bibliography"/>
      </w:pPr>
      <w:r>
        <w:t xml:space="preserve">Dyer LA, Walla TR, Greeney HF, Stireman JO &amp; Hazen RF. 2010.</w:t>
      </w:r>
      <w:r>
        <w:t xml:space="preserve"> </w:t>
      </w:r>
      <w:hyperlink r:id="rId53">
        <w:r>
          <w:rPr>
            <w:rStyle w:val="Hyperlink"/>
          </w:rPr>
          <w:t xml:space="preserve">Diversity of Interactions: A Metric for Studies of Biodiversity</w:t>
        </w:r>
      </w:hyperlink>
      <w:r>
        <w:t xml:space="preserve">. Biotropica. 42(3): 281-289.</w:t>
      </w:r>
    </w:p>
    <w:bookmarkEnd w:id="54"/>
    <w:bookmarkStart w:id="56" w:name="ref-Fick2017"/>
    <w:p>
      <w:pPr>
        <w:pStyle w:val="Bibliography"/>
      </w:pPr>
      <w:r>
        <w:t xml:space="preserve">Fick SE &amp; Hijmans RJ. 2017.</w:t>
      </w:r>
      <w:r>
        <w:t xml:space="preserve"> </w:t>
      </w:r>
      <w:hyperlink r:id="rId55">
        <w:r>
          <w:rPr>
            <w:rStyle w:val="Hyperlink"/>
          </w:rPr>
          <w:t xml:space="preserve">WorldClim 2: new 1-km spatial resolution climate surfaces for global land areas</w:t>
        </w:r>
      </w:hyperlink>
      <w:r>
        <w:t xml:space="preserve">. International Journal of Climatology. 37(12): 4302-4315.</w:t>
      </w:r>
    </w:p>
    <w:bookmarkEnd w:id="56"/>
    <w:bookmarkStart w:id="58" w:name="ref-Gomez-de-Mariscal2021"/>
    <w:p>
      <w:pPr>
        <w:pStyle w:val="Bibliography"/>
      </w:pPr>
      <w:r>
        <w:t xml:space="preserve">Gómez-de-Mariscal E, Guerrero V, Sneider A, Jayatilaka H, Phillip JM, Wirtz D &amp; Muñoz-Barrutia A. 2021.</w:t>
      </w:r>
      <w:r>
        <w:t xml:space="preserve"> </w:t>
      </w:r>
      <w:hyperlink r:id="rId57">
        <w:r>
          <w:rPr>
            <w:rStyle w:val="Hyperlink"/>
          </w:rPr>
          <w:t xml:space="preserve">Use of the p-values as a size-dependent function to address practical differences when analyzing large datasets</w:t>
        </w:r>
      </w:hyperlink>
      <w:r>
        <w:t xml:space="preserve">. Scientific Reports. 11(1): 1-13.</w:t>
      </w:r>
    </w:p>
    <w:bookmarkEnd w:id="58"/>
    <w:bookmarkStart w:id="60" w:name="ref-Gonzalez-Caro2014"/>
    <w:p>
      <w:pPr>
        <w:pStyle w:val="Bibliography"/>
      </w:pPr>
      <w:r>
        <w:t xml:space="preserve">González-Caro S, Umaña MN, Álvarez E, Stevenson PR &amp; Swenson NG. 2014.</w:t>
      </w:r>
      <w:r>
        <w:t xml:space="preserve"> </w:t>
      </w:r>
      <w:hyperlink r:id="rId59">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60"/>
    <w:bookmarkStart w:id="62" w:name="ref-Grantz1990"/>
    <w:p>
      <w:pPr>
        <w:pStyle w:val="Bibliography"/>
      </w:pPr>
      <w:r>
        <w:t xml:space="preserve">Grantz DA. 1990.</w:t>
      </w:r>
      <w:r>
        <w:t xml:space="preserve"> </w:t>
      </w:r>
      <w:hyperlink r:id="rId61">
        <w:r>
          <w:rPr>
            <w:rStyle w:val="Hyperlink"/>
          </w:rPr>
          <w:t xml:space="preserve">Plant response to atmospheric humidity</w:t>
        </w:r>
      </w:hyperlink>
      <w:r>
        <w:t xml:space="preserve">. Plant, Cell &amp; Environment. 13(7): 667-679.</w:t>
      </w:r>
    </w:p>
    <w:bookmarkEnd w:id="62"/>
    <w:bookmarkStart w:id="64" w:name="ref-GuevaraAndino2021"/>
    <w:p>
      <w:pPr>
        <w:pStyle w:val="Bibliography"/>
      </w:pPr>
      <w:r>
        <w:t xml:space="preserve">Guevara Andino JE, Pitman NCA, Steege H ter, Peralvo M, Cerón C &amp; Fine PVA. 2021.</w:t>
      </w:r>
      <w:r>
        <w:t xml:space="preserve"> </w:t>
      </w:r>
      <w:hyperlink r:id="rId63">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64"/>
    <w:bookmarkStart w:id="66" w:name="ref-Jenkins2013"/>
    <w:p>
      <w:pPr>
        <w:pStyle w:val="Bibliography"/>
      </w:pPr>
      <w:r>
        <w:t xml:space="preserve">Jenkins CN, Pimm SL &amp; Joppa LN. 2013.</w:t>
      </w:r>
      <w:r>
        <w:t xml:space="preserve"> </w:t>
      </w:r>
      <w:hyperlink r:id="rId65">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66"/>
    <w:bookmarkStart w:id="67"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67"/>
    <w:bookmarkStart w:id="69" w:name="ref-Karasiak2022"/>
    <w:p>
      <w:pPr>
        <w:pStyle w:val="Bibliography"/>
      </w:pPr>
      <w:r>
        <w:t xml:space="preserve">Karasiak N, Dejoux JF, Monteil C &amp; Sheeren D. 2022.</w:t>
      </w:r>
      <w:r>
        <w:t xml:space="preserve"> </w:t>
      </w:r>
      <w:hyperlink r:id="rId68">
        <w:r>
          <w:rPr>
            <w:rStyle w:val="Hyperlink"/>
          </w:rPr>
          <w:t xml:space="preserve">Spatial dependence between training and test sets: another pitfall of classification accuracy assessment in remote sensing</w:t>
        </w:r>
      </w:hyperlink>
      <w:r>
        <w:t xml:space="preserve">. Machine Learning. 111(7): 2715-2740.</w:t>
      </w:r>
    </w:p>
    <w:bookmarkEnd w:id="69"/>
    <w:bookmarkStart w:id="71" w:name="ref-Keil2019"/>
    <w:p>
      <w:pPr>
        <w:pStyle w:val="Bibliography"/>
      </w:pPr>
      <w:r>
        <w:t xml:space="preserve">Keil P &amp; Chase JM. 2019.</w:t>
      </w:r>
      <w:r>
        <w:t xml:space="preserve"> </w:t>
      </w:r>
      <w:hyperlink r:id="rId70">
        <w:r>
          <w:rPr>
            <w:rStyle w:val="Hyperlink"/>
          </w:rPr>
          <w:t xml:space="preserve">Global patterns and drivers of tree diversity integrated across a continuum of spatial grains</w:t>
        </w:r>
      </w:hyperlink>
      <w:r>
        <w:t xml:space="preserve">. Nature Ecology and Evolution. 3(3): 390-399.</w:t>
      </w:r>
    </w:p>
    <w:bookmarkEnd w:id="71"/>
    <w:bookmarkStart w:id="73" w:name="ref-Keil2012"/>
    <w:p>
      <w:pPr>
        <w:pStyle w:val="Bibliography"/>
      </w:pPr>
      <w:r>
        <w:t xml:space="preserve">Keil P, Schweiger O, Kühn I, Kunin WE, Kuussaari M, Settele J, Henle K, Brotons L, Pe’er G, Lengyel S, et al. 2012.</w:t>
      </w:r>
      <w:r>
        <w:t xml:space="preserve"> </w:t>
      </w:r>
      <w:hyperlink r:id="rId72">
        <w:r>
          <w:rPr>
            <w:rStyle w:val="Hyperlink"/>
          </w:rPr>
          <w:t xml:space="preserve">Patterns of beta diversity in Europe: The role of climate, land cover and distance across scales</w:t>
        </w:r>
      </w:hyperlink>
      <w:r>
        <w:t xml:space="preserve">. Journal of Biogeography. 39(8): 1473-1486.</w:t>
      </w:r>
    </w:p>
    <w:bookmarkEnd w:id="73"/>
    <w:bookmarkStart w:id="75" w:name="ref-Lomolino2001"/>
    <w:p>
      <w:pPr>
        <w:pStyle w:val="Bibliography"/>
      </w:pPr>
      <w:r>
        <w:t xml:space="preserve">Lomolino MV. 2001.</w:t>
      </w:r>
      <w:r>
        <w:t xml:space="preserve"> </w:t>
      </w:r>
      <w:hyperlink r:id="rId74">
        <w:r>
          <w:rPr>
            <w:rStyle w:val="Hyperlink"/>
          </w:rPr>
          <w:t xml:space="preserve">Elevation gradients of species-density: Historical and prospective views</w:t>
        </w:r>
      </w:hyperlink>
      <w:r>
        <w:t xml:space="preserve">. Global Ecology and Biogeography. 10(1): 3-13.</w:t>
      </w:r>
    </w:p>
    <w:bookmarkEnd w:id="75"/>
    <w:bookmarkStart w:id="77" w:name="ref-Lumley2002"/>
    <w:p>
      <w:pPr>
        <w:pStyle w:val="Bibliography"/>
      </w:pPr>
      <w:r>
        <w:t xml:space="preserve">Lumley T, Diehr P, Emerson S &amp; Chen L. 2002.</w:t>
      </w:r>
      <w:r>
        <w:t xml:space="preserve"> </w:t>
      </w:r>
      <w:hyperlink r:id="rId76">
        <w:r>
          <w:rPr>
            <w:rStyle w:val="Hyperlink"/>
          </w:rPr>
          <w:t xml:space="preserve">THE IMPORTANCE OF THE NORMALITY ASSUMPTION IN LARGE PUBLIC HEALTH DATA SETS</w:t>
        </w:r>
      </w:hyperlink>
      <w:r>
        <w:t xml:space="preserve">. Annu Rev Public Health. 23: 151-169.</w:t>
      </w:r>
    </w:p>
    <w:bookmarkEnd w:id="77"/>
    <w:bookmarkStart w:id="79" w:name="ref-MacNally2004"/>
    <w:p>
      <w:pPr>
        <w:pStyle w:val="Bibliography"/>
      </w:pPr>
      <w:r>
        <w:t xml:space="preserve">Mac Nally R, Fleishman E, Bulluck LP &amp; Betrus CJ. 2004.</w:t>
      </w:r>
      <w:r>
        <w:t xml:space="preserve"> </w:t>
      </w:r>
      <w:hyperlink r:id="rId78">
        <w:r>
          <w:rPr>
            <w:rStyle w:val="Hyperlink"/>
          </w:rPr>
          <w:t xml:space="preserve">Comparative influence of spatial scale on beta diversity within regional assemblages of birds and butterflies</w:t>
        </w:r>
      </w:hyperlink>
      <w:r>
        <w:t xml:space="preserve">. Journal of Biogeography. 31(6): 917-929.</w:t>
      </w:r>
    </w:p>
    <w:bookmarkEnd w:id="79"/>
    <w:bookmarkStart w:id="81" w:name="ref-Magurran2010"/>
    <w:p>
      <w:pPr>
        <w:pStyle w:val="Bibliography"/>
      </w:pPr>
      <w:r>
        <w:t xml:space="preserve">Magurran AE &amp; Dornelas M. 2010.</w:t>
      </w:r>
      <w:r>
        <w:t xml:space="preserve"> </w:t>
      </w:r>
      <w:hyperlink r:id="rId80">
        <w:r>
          <w:rPr>
            <w:rStyle w:val="Hyperlink"/>
          </w:rPr>
          <w:t xml:space="preserve">Biological diversity in a changing world</w:t>
        </w:r>
      </w:hyperlink>
      <w:r>
        <w:t xml:space="preserve">. Philosophical Transactions of the Royal Society B: Biological Sciences. 365(1558): 3593-3597.</w:t>
      </w:r>
    </w:p>
    <w:bookmarkEnd w:id="81"/>
    <w:bookmarkStart w:id="83" w:name="ref-Myers2000"/>
    <w:p>
      <w:pPr>
        <w:pStyle w:val="Bibliography"/>
      </w:pPr>
      <w:r>
        <w:t xml:space="preserve">Myers N, Mittermeier RA, Mittermeier CG, Fonseca GAB da &amp; Kent J. 2000.</w:t>
      </w:r>
      <w:r>
        <w:t xml:space="preserve"> </w:t>
      </w:r>
      <w:hyperlink r:id="rId82">
        <w:r>
          <w:rPr>
            <w:rStyle w:val="Hyperlink"/>
          </w:rPr>
          <w:t xml:space="preserve">Biodiversity hotspots for conservation priorities</w:t>
        </w:r>
      </w:hyperlink>
      <w:r>
        <w:t xml:space="preserve">. Nature. 403(6772): 853-858.</w:t>
      </w:r>
    </w:p>
    <w:bookmarkEnd w:id="83"/>
    <w:bookmarkStart w:id="85" w:name="ref-Pebesma2018"/>
    <w:p>
      <w:pPr>
        <w:pStyle w:val="Bibliography"/>
      </w:pPr>
      <w:r>
        <w:t xml:space="preserve">Pebesma E. 2018.</w:t>
      </w:r>
      <w:r>
        <w:t xml:space="preserve"> </w:t>
      </w:r>
      <w:hyperlink r:id="rId84">
        <w:r>
          <w:rPr>
            <w:rStyle w:val="Hyperlink"/>
          </w:rPr>
          <w:t xml:space="preserve">Simple Features for R: Standardized Support for Spatial Vector Data</w:t>
        </w:r>
      </w:hyperlink>
      <w:r>
        <w:t xml:space="preserve">. The R Journal. 10(1): 439-446.</w:t>
      </w:r>
    </w:p>
    <w:bookmarkEnd w:id="85"/>
    <w:bookmarkStart w:id="87" w:name="ref-RDevelopmentCoreTeam2023"/>
    <w:p>
      <w:pPr>
        <w:pStyle w:val="Bibliography"/>
      </w:pPr>
      <w:r>
        <w:t xml:space="preserve">R Core Team. 2023.</w:t>
      </w:r>
      <w:r>
        <w:t xml:space="preserve"> </w:t>
      </w:r>
      <w:hyperlink r:id="rId86">
        <w:r>
          <w:rPr>
            <w:rStyle w:val="Hyperlink"/>
          </w:rPr>
          <w:t xml:space="preserve">R: a language and environment for statistical computing. Vienna: R Foundation for Statistical Computing</w:t>
        </w:r>
      </w:hyperlink>
      <w:r>
        <w:t xml:space="preserve">.</w:t>
      </w:r>
    </w:p>
    <w:bookmarkEnd w:id="87"/>
    <w:bookmarkStart w:id="89" w:name="ref-Rahbek2005"/>
    <w:p>
      <w:pPr>
        <w:pStyle w:val="Bibliography"/>
      </w:pPr>
      <w:r>
        <w:t xml:space="preserve">Rahbek C. 2005.</w:t>
      </w:r>
      <w:r>
        <w:t xml:space="preserve"> </w:t>
      </w:r>
      <w:hyperlink r:id="rId88">
        <w:r>
          <w:rPr>
            <w:rStyle w:val="Hyperlink"/>
          </w:rPr>
          <w:t xml:space="preserve">The role of spatial scale and the perception of large-scale species-richness patterns</w:t>
        </w:r>
      </w:hyperlink>
      <w:r>
        <w:t xml:space="preserve">. Ecology Letters. 8(2): 224-239.</w:t>
      </w:r>
    </w:p>
    <w:bookmarkEnd w:id="89"/>
    <w:bookmarkStart w:id="91" w:name="ref-Raymaekers2021"/>
    <w:p>
      <w:pPr>
        <w:pStyle w:val="Bibliography"/>
      </w:pPr>
      <w:r>
        <w:t xml:space="preserve">Raymaekers J &amp; Rousseeuw PJ. 2021.</w:t>
      </w:r>
      <w:r>
        <w:t xml:space="preserve"> </w:t>
      </w:r>
      <w:hyperlink r:id="rId90">
        <w:r>
          <w:rPr>
            <w:rStyle w:val="Hyperlink"/>
          </w:rPr>
          <w:t xml:space="preserve">Transforming variables to central normality</w:t>
        </w:r>
      </w:hyperlink>
      <w:r>
        <w:t xml:space="preserve">. Machine Learning.(November 2020).</w:t>
      </w:r>
    </w:p>
    <w:bookmarkEnd w:id="91"/>
    <w:bookmarkStart w:id="93" w:name="ref-Sabatini2022"/>
    <w:p>
      <w:pPr>
        <w:pStyle w:val="Bibliography"/>
      </w:pPr>
      <w:r>
        <w:t xml:space="preserve">Sabatini FM, Jiménez-Alfaro B, Jandt U, Chytrý M, Field R, Kessler M, Lenoir J, Schrodt F, Wiser SK, Arfin Khan MAS, et al. 2022.</w:t>
      </w:r>
      <w:r>
        <w:t xml:space="preserve"> </w:t>
      </w:r>
      <w:hyperlink r:id="rId92">
        <w:r>
          <w:rPr>
            <w:rStyle w:val="Hyperlink"/>
          </w:rPr>
          <w:t xml:space="preserve">Global patterns of vascular plant alpha diversity</w:t>
        </w:r>
      </w:hyperlink>
      <w:r>
        <w:t xml:space="preserve">. Nature Communications. 13(1).</w:t>
      </w:r>
    </w:p>
    <w:bookmarkEnd w:id="93"/>
    <w:bookmarkStart w:id="95" w:name="ref-Sabatini2018"/>
    <w:p>
      <w:pPr>
        <w:pStyle w:val="Bibliography"/>
      </w:pPr>
      <w:r>
        <w:t xml:space="preserve">Sabatini FM, Jiménez‐Alfaro B, Burrascano S, Lora A &amp; Chytrý M. 2018.</w:t>
      </w:r>
      <w:r>
        <w:t xml:space="preserve"> </w:t>
      </w:r>
      <w:hyperlink r:id="rId94">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95"/>
    <w:bookmarkStart w:id="97" w:name="ref-Schmidt2018"/>
    <w:p>
      <w:pPr>
        <w:pStyle w:val="Bibliography"/>
      </w:pPr>
      <w:r>
        <w:t xml:space="preserve">Schmidt AF &amp; Finan C. 2018.</w:t>
      </w:r>
      <w:r>
        <w:t xml:space="preserve"> </w:t>
      </w:r>
      <w:hyperlink r:id="rId96">
        <w:r>
          <w:rPr>
            <w:rStyle w:val="Hyperlink"/>
          </w:rPr>
          <w:t xml:space="preserve">Linear regression and the normality assumption</w:t>
        </w:r>
      </w:hyperlink>
      <w:r>
        <w:t xml:space="preserve">. Journal of Clinical Epidemiology. 98: 146-151.</w:t>
      </w:r>
    </w:p>
    <w:bookmarkEnd w:id="97"/>
    <w:bookmarkStart w:id="99" w:name="ref-Schutzenmeister2012"/>
    <w:p>
      <w:pPr>
        <w:pStyle w:val="Bibliography"/>
      </w:pPr>
      <w:r>
        <w:t xml:space="preserve">Schützenmeister A, Jensen U &amp; Piepho HP. 2012.</w:t>
      </w:r>
      <w:r>
        <w:t xml:space="preserve"> </w:t>
      </w:r>
      <w:hyperlink r:id="rId98">
        <w:r>
          <w:rPr>
            <w:rStyle w:val="Hyperlink"/>
          </w:rPr>
          <w:t xml:space="preserve">Checking normality and homoscedasticity in the general linear model using diagnostic plots</w:t>
        </w:r>
      </w:hyperlink>
      <w:r>
        <w:t xml:space="preserve">. Communications in Statistics: Simulation and Computation. 41(2): 141-154.</w:t>
      </w:r>
    </w:p>
    <w:bookmarkEnd w:id="99"/>
    <w:bookmarkStart w:id="101" w:name="ref-Sebald2021"/>
    <w:p>
      <w:pPr>
        <w:pStyle w:val="Bibliography"/>
      </w:pPr>
      <w:r>
        <w:t xml:space="preserve">Sebald J, Thrippleton T, Rammer W, Bugmann H &amp; Seidl R. 2021.</w:t>
      </w:r>
      <w:r>
        <w:t xml:space="preserve"> </w:t>
      </w:r>
      <w:hyperlink r:id="rId100">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01"/>
    <w:bookmarkStart w:id="103" w:name="ref-Storch2016"/>
    <w:p>
      <w:pPr>
        <w:pStyle w:val="Bibliography"/>
      </w:pPr>
      <w:r>
        <w:t xml:space="preserve">Storch D. 2016.</w:t>
      </w:r>
      <w:r>
        <w:t xml:space="preserve"> </w:t>
      </w:r>
      <w:hyperlink r:id="rId102">
        <w:r>
          <w:rPr>
            <w:rStyle w:val="Hyperlink"/>
          </w:rPr>
          <w:t xml:space="preserve">The theory of the nested species–area relationship: geometric foundations of biodiversity scaling</w:t>
        </w:r>
      </w:hyperlink>
      <w:r>
        <w:t xml:space="preserve">. Journal of Vegetation Science. 27(5): 880-891.</w:t>
      </w:r>
    </w:p>
    <w:bookmarkEnd w:id="103"/>
    <w:bookmarkStart w:id="105" w:name="ref-Wang2009"/>
    <w:p>
      <w:pPr>
        <w:pStyle w:val="Bibliography"/>
      </w:pPr>
      <w:r>
        <w:t xml:space="preserve">Wang Z, Brown JH, Tang Z &amp; Fang J. 2009.</w:t>
      </w:r>
      <w:r>
        <w:t xml:space="preserve"> </w:t>
      </w:r>
      <w:hyperlink r:id="rId104">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05"/>
    <w:bookmarkStart w:id="107" w:name="ref-Wickham2011"/>
    <w:p>
      <w:pPr>
        <w:pStyle w:val="Bibliography"/>
      </w:pPr>
      <w:r>
        <w:t xml:space="preserve">Wickham H. 2011.</w:t>
      </w:r>
      <w:r>
        <w:t xml:space="preserve"> </w:t>
      </w:r>
      <w:hyperlink r:id="rId106">
        <w:r>
          <w:rPr>
            <w:rStyle w:val="Hyperlink"/>
          </w:rPr>
          <w:t xml:space="preserve">The Split-Apply-Combine Strategy for Data Analysis</w:t>
        </w:r>
      </w:hyperlink>
      <w:r>
        <w:t xml:space="preserve">. Journal of Statistical Software. 40(1): 1-29.</w:t>
      </w:r>
    </w:p>
    <w:bookmarkEnd w:id="107"/>
    <w:bookmarkStart w:id="109" w:name="ref-Wickham2016"/>
    <w:p>
      <w:pPr>
        <w:pStyle w:val="Bibliography"/>
      </w:pPr>
      <w:r>
        <w:t xml:space="preserve">Wickham H. 2016.</w:t>
      </w:r>
      <w:r>
        <w:t xml:space="preserve"> </w:t>
      </w:r>
      <w:hyperlink r:id="rId108">
        <w:r>
          <w:rPr>
            <w:rStyle w:val="Hyperlink"/>
          </w:rPr>
          <w:t xml:space="preserve">ggplot2: Elegant Graphics for Data Analysis</w:t>
        </w:r>
      </w:hyperlink>
      <w:r>
        <w:t xml:space="preserve">. Springer-Verlag New York.</w:t>
      </w:r>
    </w:p>
    <w:bookmarkEnd w:id="109"/>
    <w:bookmarkStart w:id="111" w:name="ref-Wickham2023"/>
    <w:p>
      <w:pPr>
        <w:pStyle w:val="Bibliography"/>
      </w:pPr>
      <w:r>
        <w:t xml:space="preserve">Wickham H, François R, Henry L, Müller K &amp; Vaughan D. 2023 a.</w:t>
      </w:r>
      <w:r>
        <w:t xml:space="preserve"> </w:t>
      </w:r>
      <w:hyperlink r:id="rId110">
        <w:r>
          <w:rPr>
            <w:rStyle w:val="Hyperlink"/>
          </w:rPr>
          <w:t xml:space="preserve">dplyr: A Grammar of Data Manipulation</w:t>
        </w:r>
      </w:hyperlink>
      <w:r>
        <w:t xml:space="preserve">.</w:t>
      </w:r>
    </w:p>
    <w:bookmarkEnd w:id="111"/>
    <w:bookmarkStart w:id="113" w:name="ref-Wickham2023a"/>
    <w:p>
      <w:pPr>
        <w:pStyle w:val="Bibliography"/>
      </w:pPr>
      <w:r>
        <w:t xml:space="preserve">Wickham H, Vaughan D &amp; Girlich M. 2023 b.</w:t>
      </w:r>
      <w:r>
        <w:t xml:space="preserve"> </w:t>
      </w:r>
      <w:hyperlink r:id="rId112">
        <w:r>
          <w:rPr>
            <w:rStyle w:val="Hyperlink"/>
          </w:rPr>
          <w:t xml:space="preserve">tidyr: Tidy Messy Data</w:t>
        </w:r>
      </w:hyperlink>
      <w:r>
        <w:t xml:space="preserve">.</w:t>
      </w:r>
    </w:p>
    <w:bookmarkEnd w:id="113"/>
    <w:bookmarkStart w:id="115" w:name="ref-Zarnetske2019"/>
    <w:p>
      <w:pPr>
        <w:pStyle w:val="Bibliography"/>
      </w:pPr>
      <w:r>
        <w:t xml:space="preserve">Zarnetske PL, Read QD, Record S, Gaddis KD, Pau S, Hobi ML, Malone SL, Costanza J, M. Dahlin K, Latimer AM, et al. 2019.</w:t>
      </w:r>
      <w:r>
        <w:t xml:space="preserve"> </w:t>
      </w:r>
      <w:hyperlink r:id="rId114">
        <w:r>
          <w:rPr>
            <w:rStyle w:val="Hyperlink"/>
          </w:rPr>
          <w:t xml:space="preserve">Towards connecting biodiversity and geodiversity across scales with satellite remote sensing</w:t>
        </w:r>
      </w:hyperlink>
      <w:r>
        <w:t xml:space="preserve">. Global Ecology and Biogeography. 28(5): 548-556.</w:t>
      </w:r>
    </w:p>
    <w:bookmarkEnd w:id="115"/>
    <w:bookmarkStart w:id="117" w:name="ref-Zhang2018"/>
    <w:p>
      <w:pPr>
        <w:pStyle w:val="Bibliography"/>
      </w:pPr>
      <w:r>
        <w:t xml:space="preserve">Zhang Y, He N, Loreau M, Pan Q &amp; Han X. 2018.</w:t>
      </w:r>
      <w:r>
        <w:t xml:space="preserve"> </w:t>
      </w:r>
      <w:hyperlink r:id="rId116">
        <w:r>
          <w:rPr>
            <w:rStyle w:val="Hyperlink"/>
          </w:rPr>
          <w:t xml:space="preserve">Scale dependence of the diversity–stability relationship in a temperate grassland</w:t>
        </w:r>
      </w:hyperlink>
      <w:r>
        <w:t xml:space="preserve">. Journal of Ecology. 106(3): 1277-1285.</w:t>
      </w:r>
    </w:p>
    <w:bookmarkEnd w:id="117"/>
    <w:bookmarkStart w:id="119" w:name="ref-Zhang2021"/>
    <w:p>
      <w:pPr>
        <w:pStyle w:val="Bibliography"/>
      </w:pPr>
      <w:r>
        <w:t xml:space="preserve">Zhang Y, Xie Y, Ma H, Zhang J, Jing L, Wang Y &amp; Li J. 2021.</w:t>
      </w:r>
      <w:r>
        <w:t xml:space="preserve"> </w:t>
      </w:r>
      <w:hyperlink r:id="rId118">
        <w:r>
          <w:rPr>
            <w:rStyle w:val="Hyperlink"/>
          </w:rPr>
          <w:t xml:space="preserve">The influence of climate warming and humidity on plant diversity and soil bacteria and fungi diversity in desert grassland</w:t>
        </w:r>
      </w:hyperlink>
      <w:r>
        <w:t xml:space="preserve">. Plants. 10(12).</w:t>
      </w:r>
    </w:p>
    <w:bookmarkEnd w:id="119"/>
    <w:bookmarkEnd w:id="120"/>
    <w:bookmarkEnd w:id="121"/>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0" Type="http://schemas.openxmlformats.org/officeDocument/2006/relationships/hyperlink" Target="https://cran.r-project.org/package=dplyr" TargetMode="External"/>
<Relationship Id="rId112" Type="http://schemas.openxmlformats.org/officeDocument/2006/relationships/hyperlink" Target="https://cran.r-project.org/package=tidyr" TargetMode="External"/>
<Relationship Id="rId55" Type="http://schemas.openxmlformats.org/officeDocument/2006/relationships/hyperlink" Target="https://doi.org/10.1002/joc.5086" TargetMode="External"/>
<Relationship Id="rId63" Type="http://schemas.openxmlformats.org/officeDocument/2006/relationships/hyperlink" Target="https://doi.org/10.1007/s00442-021-04981-0" TargetMode="External"/>
<Relationship Id="rId90" Type="http://schemas.openxmlformats.org/officeDocument/2006/relationships/hyperlink" Target="https://doi.org/10.1007/s10994-021-05960-5" TargetMode="External"/>
<Relationship Id="rId68" Type="http://schemas.openxmlformats.org/officeDocument/2006/relationships/hyperlink" Target="https://doi.org/10.1007/s10994-021-05972-1" TargetMode="External"/>
<Relationship Id="rId96" Type="http://schemas.openxmlformats.org/officeDocument/2006/relationships/hyperlink" Target="https://doi.org/10.1016/j.jclinepi.2017.12.006" TargetMode="External"/>
<Relationship Id="rId82"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92" Type="http://schemas.openxmlformats.org/officeDocument/2006/relationships/hyperlink" Target="https://doi.org/10.1038/s41467-022-32063-z" TargetMode="External"/>
<Relationship Id="rId70" Type="http://schemas.openxmlformats.org/officeDocument/2006/relationships/hyperlink" Target="https://doi.org/10.1038/s41559-019-0799-0" TargetMode="External"/>
<Relationship Id="rId57" Type="http://schemas.openxmlformats.org/officeDocument/2006/relationships/hyperlink" Target="https://doi.org/10.1038/s41598-021-00199-5" TargetMode="External"/>
<Relationship Id="rId74" Type="http://schemas.openxmlformats.org/officeDocument/2006/relationships/hyperlink" Target="https://doi.org/10.1046/j.1466-822x.2001.00229.x" TargetMode="External"/>
<Relationship Id="rId104" Type="http://schemas.openxmlformats.org/officeDocument/2006/relationships/hyperlink" Target="https://doi.org/10.1073/pnas.0905030106" TargetMode="External"/>
<Relationship Id="rId65" Type="http://schemas.openxmlformats.org/officeDocument/2006/relationships/hyperlink" Target="https://doi.org/10.1073/pnas.1302251110" TargetMode="External"/>
<Relationship Id="rId98" Type="http://schemas.openxmlformats.org/officeDocument/2006/relationships/hyperlink" Target="https://doi.org/10.1080/03610918.2011.582560" TargetMode="External"/>
<Relationship Id="rId47" Type="http://schemas.openxmlformats.org/officeDocument/2006/relationships/hyperlink" Target="https://doi.org/10.1080/23766808.2017.1295705" TargetMode="External"/>
<Relationship Id="rId59" Type="http://schemas.openxmlformats.org/officeDocument/2006/relationships/hyperlink" Target="https://doi.org/10.1093/jpe/rtt076" TargetMode="External"/>
<Relationship Id="rId80" Type="http://schemas.openxmlformats.org/officeDocument/2006/relationships/hyperlink" Target="https://doi.org/10.1098/rstb.2010.0296" TargetMode="External"/>
<Relationship Id="rId100" Type="http://schemas.openxmlformats.org/officeDocument/2006/relationships/hyperlink" Target="https://doi.org/10.1111/1365-2664.13912" TargetMode="External"/>
<Relationship Id="rId116"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94"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114" Type="http://schemas.openxmlformats.org/officeDocument/2006/relationships/hyperlink" Target="https://doi.org/10.1111/geb.12887" TargetMode="External"/>
<Relationship Id="rId78" Type="http://schemas.openxmlformats.org/officeDocument/2006/relationships/hyperlink" Target="https://doi.org/10.1111/j.1365-2699.2004.01089.x" TargetMode="External"/>
<Relationship Id="rId72" Type="http://schemas.openxmlformats.org/officeDocument/2006/relationships/hyperlink" Target="https://doi.org/10.1111/j.1365-2699.2012.02701.x" TargetMode="External"/>
<Relationship Id="rId61" Type="http://schemas.openxmlformats.org/officeDocument/2006/relationships/hyperlink" Target="https://doi.org/10.1111/j.1365-3040.1990.tb01082.x" TargetMode="External"/>
<Relationship Id="rId88"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102"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76" Type="http://schemas.openxmlformats.org/officeDocument/2006/relationships/hyperlink" Target="https://doi.org/10.1146/annurev.publheath.23.100901.140546" TargetMode="External"/>
<Relationship Id="rId84" Type="http://schemas.openxmlformats.org/officeDocument/2006/relationships/hyperlink" Target="https://doi.org/10.32614/RJ-2018-009" TargetMode="External"/>
<Relationship Id="rId118" Type="http://schemas.openxmlformats.org/officeDocument/2006/relationships/hyperlink" Target="https://doi.org/10.3390/plants10122580" TargetMode="External"/>
<Relationship Id="rId108" Type="http://schemas.openxmlformats.org/officeDocument/2006/relationships/hyperlink" Target="https://ggplot2.tidyverse.org" TargetMode="External"/>
<Relationship Id="rId106" Type="http://schemas.openxmlformats.org/officeDocument/2006/relationships/hyperlink" Target="https://www.jstatsoft.org/v40/i01/" TargetMode="External"/>
<Relationship Id="rId86" Type="http://schemas.openxmlformats.org/officeDocument/2006/relationships/hyperlink" Target="https://www.r-project.org/" TargetMode="External"/>
<Relationship Id="rId119" Type="http://schemas.openxmlformats.org/officeDocument/2006/relationships/image" Target="media/a9f01f0e33d727ed3d63f65b998395e372e380ad.png"/>
<Relationship Id="rId120" Type="http://schemas.openxmlformats.org/officeDocument/2006/relationships/image" Target="media/95c1e6ab05c48182cce1ae9e20134feab4531438.png"/>
<Relationship Id="rId121" Type="http://schemas.openxmlformats.org/officeDocument/2006/relationships/image" Target="media/c91203f02d1f254363f581c0e4bbf227c0fb1fba.png"/>
<Relationship Id="rId122" Type="http://schemas.openxmlformats.org/officeDocument/2006/relationships/image" Target="media/83e141e1eccf6dc776997062a5788045935de2eb.png"/>
<Relationship Id="rId123" Type="http://schemas.openxmlformats.org/officeDocument/2006/relationships/image" Target="media/61656d612743212217f1f332a7bb958f874fe1f9.png"/>
<Relationship Id="rId124" Type="http://schemas.openxmlformats.org/officeDocument/2006/relationships/image" Target="media/f6613f3a0c0b86beb75e88b8b3acb366b39020fd.png"/>
<Relationship Id="rId125" Type="http://schemas.openxmlformats.org/officeDocument/2006/relationships/image" Target="media/dd3b2fb24a689434c9938131a1777444e7188b27.png"/>
<Relationship Id="rId126" Type="http://schemas.openxmlformats.org/officeDocument/2006/relationships/image" Target="media/01420abfe373e63d1c1db08cad5e8d9fbe0b9542.png"/>
<Relationship Id="rId127" Type="http://schemas.openxmlformats.org/officeDocument/2006/relationships/image" Target="media/556e9a43431a733e44d45a787294b1d71f8f40c9.png"/>
<Relationship Id="rId128" Type="http://schemas.openxmlformats.org/officeDocument/2006/relationships/image" Target="media/aa775febb41325ee92658e1b71bee8fb67b371f2.png"/>
<Relationship Id="rId129" Type="http://schemas.openxmlformats.org/officeDocument/2006/relationships/image" Target="media/3bdc559f8a418d85618f786c808fb3dc013a367a.png"/>
<Relationship Id="rId130" Type="http://schemas.openxmlformats.org/officeDocument/2006/relationships/image" Target="media/4c3ad729470ebe7e854e62976a7f8b82ee8a9a72.png"/>
</Relationships>

</file>

<file path=word/_rels/footnotes.xml.rels><?xml version="1.0" encoding="UTF-8" standalone="yes"?>

<Relationships  xmlns="http://schemas.openxmlformats.org/package/2006/relationships">
<Relationship Id="rId110" Type="http://schemas.openxmlformats.org/officeDocument/2006/relationships/hyperlink" Target="https://cran.r-project.org/package=dplyr" TargetMode="External"/>
<Relationship Id="rId112" Type="http://schemas.openxmlformats.org/officeDocument/2006/relationships/hyperlink" Target="https://cran.r-project.org/package=tidyr" TargetMode="External"/>
<Relationship Id="rId55" Type="http://schemas.openxmlformats.org/officeDocument/2006/relationships/hyperlink" Target="https://doi.org/10.1002/joc.5086" TargetMode="External"/>
<Relationship Id="rId63" Type="http://schemas.openxmlformats.org/officeDocument/2006/relationships/hyperlink" Target="https://doi.org/10.1007/s00442-021-04981-0" TargetMode="External"/>
<Relationship Id="rId90" Type="http://schemas.openxmlformats.org/officeDocument/2006/relationships/hyperlink" Target="https://doi.org/10.1007/s10994-021-05960-5" TargetMode="External"/>
<Relationship Id="rId68" Type="http://schemas.openxmlformats.org/officeDocument/2006/relationships/hyperlink" Target="https://doi.org/10.1007/s10994-021-05972-1" TargetMode="External"/>
<Relationship Id="rId96" Type="http://schemas.openxmlformats.org/officeDocument/2006/relationships/hyperlink" Target="https://doi.org/10.1016/j.jclinepi.2017.12.006" TargetMode="External"/>
<Relationship Id="rId82"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92" Type="http://schemas.openxmlformats.org/officeDocument/2006/relationships/hyperlink" Target="https://doi.org/10.1038/s41467-022-32063-z" TargetMode="External"/>
<Relationship Id="rId70" Type="http://schemas.openxmlformats.org/officeDocument/2006/relationships/hyperlink" Target="https://doi.org/10.1038/s41559-019-0799-0" TargetMode="External"/>
<Relationship Id="rId57" Type="http://schemas.openxmlformats.org/officeDocument/2006/relationships/hyperlink" Target="https://doi.org/10.1038/s41598-021-00199-5" TargetMode="External"/>
<Relationship Id="rId74" Type="http://schemas.openxmlformats.org/officeDocument/2006/relationships/hyperlink" Target="https://doi.org/10.1046/j.1466-822x.2001.00229.x" TargetMode="External"/>
<Relationship Id="rId104" Type="http://schemas.openxmlformats.org/officeDocument/2006/relationships/hyperlink" Target="https://doi.org/10.1073/pnas.0905030106" TargetMode="External"/>
<Relationship Id="rId65" Type="http://schemas.openxmlformats.org/officeDocument/2006/relationships/hyperlink" Target="https://doi.org/10.1073/pnas.1302251110" TargetMode="External"/>
<Relationship Id="rId98" Type="http://schemas.openxmlformats.org/officeDocument/2006/relationships/hyperlink" Target="https://doi.org/10.1080/03610918.2011.582560" TargetMode="External"/>
<Relationship Id="rId47" Type="http://schemas.openxmlformats.org/officeDocument/2006/relationships/hyperlink" Target="https://doi.org/10.1080/23766808.2017.1295705" TargetMode="External"/>
<Relationship Id="rId59" Type="http://schemas.openxmlformats.org/officeDocument/2006/relationships/hyperlink" Target="https://doi.org/10.1093/jpe/rtt076" TargetMode="External"/>
<Relationship Id="rId80" Type="http://schemas.openxmlformats.org/officeDocument/2006/relationships/hyperlink" Target="https://doi.org/10.1098/rstb.2010.0296" TargetMode="External"/>
<Relationship Id="rId100" Type="http://schemas.openxmlformats.org/officeDocument/2006/relationships/hyperlink" Target="https://doi.org/10.1111/1365-2664.13912" TargetMode="External"/>
<Relationship Id="rId116"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94"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114" Type="http://schemas.openxmlformats.org/officeDocument/2006/relationships/hyperlink" Target="https://doi.org/10.1111/geb.12887" TargetMode="External"/>
<Relationship Id="rId78" Type="http://schemas.openxmlformats.org/officeDocument/2006/relationships/hyperlink" Target="https://doi.org/10.1111/j.1365-2699.2004.01089.x" TargetMode="External"/>
<Relationship Id="rId72" Type="http://schemas.openxmlformats.org/officeDocument/2006/relationships/hyperlink" Target="https://doi.org/10.1111/j.1365-2699.2012.02701.x" TargetMode="External"/>
<Relationship Id="rId61" Type="http://schemas.openxmlformats.org/officeDocument/2006/relationships/hyperlink" Target="https://doi.org/10.1111/j.1365-3040.1990.tb01082.x" TargetMode="External"/>
<Relationship Id="rId88"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102"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76" Type="http://schemas.openxmlformats.org/officeDocument/2006/relationships/hyperlink" Target="https://doi.org/10.1146/annurev.publheath.23.100901.140546" TargetMode="External"/>
<Relationship Id="rId84" Type="http://schemas.openxmlformats.org/officeDocument/2006/relationships/hyperlink" Target="https://doi.org/10.32614/RJ-2018-009" TargetMode="External"/>
<Relationship Id="rId118" Type="http://schemas.openxmlformats.org/officeDocument/2006/relationships/hyperlink" Target="https://doi.org/10.3390/plants10122580" TargetMode="External"/>
<Relationship Id="rId108" Type="http://schemas.openxmlformats.org/officeDocument/2006/relationships/hyperlink" Target="https://ggplot2.tidyverse.org" TargetMode="External"/>
<Relationship Id="rId106" Type="http://schemas.openxmlformats.org/officeDocument/2006/relationships/hyperlink" Target="https://www.jstatsoft.org/v40/i01/" TargetMode="External"/>
<Relationship Id="rId8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2024-07-07T04:51:44Z</dcterms:created>
  <dcterms:modified xsi:type="dcterms:W3CDTF">2024-07-06T23:51:44Z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