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BBF42" w14:textId="77777777" w:rsidR="00D22BA0" w:rsidRPr="00D22BA0" w:rsidRDefault="00D22BA0" w:rsidP="00D22BA0">
      <w:pPr>
        <w:jc w:val="center"/>
        <w:rPr>
          <w:rFonts w:ascii="Book Antiqua" w:hAnsi="Book Antiqua"/>
          <w:b/>
          <w:bCs/>
          <w:szCs w:val="24"/>
          <w:lang w:val="es-PR"/>
        </w:rPr>
      </w:pPr>
      <w:bookmarkStart w:id="0" w:name="_Hlk138253982"/>
      <w:r w:rsidRPr="00D22BA0">
        <w:rPr>
          <w:rFonts w:ascii="Book Antiqua" w:hAnsi="Book Antiqua"/>
          <w:b/>
          <w:bCs/>
          <w:szCs w:val="24"/>
          <w:lang w:val="es-PR"/>
        </w:rPr>
        <w:t>(TEXTO DE APROBACIÓN FINAL POR LA CÁMARA)</w:t>
      </w:r>
      <w:r w:rsidRPr="00D22BA0">
        <w:rPr>
          <w:rFonts w:ascii="Book Antiqua" w:hAnsi="Book Antiqua"/>
          <w:szCs w:val="24"/>
          <w:lang w:val="es-PR"/>
        </w:rPr>
        <w:fldChar w:fldCharType="begin"/>
      </w:r>
      <w:r w:rsidRPr="00D22BA0">
        <w:rPr>
          <w:rFonts w:ascii="Book Antiqua" w:hAnsi="Book Antiqua"/>
          <w:b/>
          <w:bCs/>
          <w:szCs w:val="24"/>
          <w:lang w:val="es-PR"/>
        </w:rPr>
        <w:instrText xml:space="preserve">PRIVATE </w:instrText>
      </w:r>
      <w:r w:rsidRPr="00D22BA0">
        <w:rPr>
          <w:rFonts w:ascii="Book Antiqua" w:hAnsi="Book Antiqua"/>
          <w:szCs w:val="24"/>
          <w:lang w:val="es-PR"/>
        </w:rPr>
        <w:fldChar w:fldCharType="end"/>
      </w:r>
    </w:p>
    <w:p w14:paraId="3B2502FF" w14:textId="77777777" w:rsidR="00D22BA0" w:rsidRPr="00D22BA0" w:rsidRDefault="00D22BA0" w:rsidP="00D22BA0">
      <w:pPr>
        <w:jc w:val="center"/>
        <w:rPr>
          <w:rFonts w:ascii="Book Antiqua" w:hAnsi="Book Antiqua"/>
          <w:b/>
          <w:bCs/>
          <w:szCs w:val="24"/>
          <w:lang w:val="es-PR"/>
        </w:rPr>
      </w:pPr>
      <w:r w:rsidRPr="00D22BA0">
        <w:rPr>
          <w:rFonts w:ascii="Book Antiqua" w:hAnsi="Book Antiqua"/>
          <w:b/>
          <w:bCs/>
          <w:szCs w:val="24"/>
          <w:lang w:val="es-PR"/>
        </w:rPr>
        <w:t>(20 DE MARZO DE 2025)</w:t>
      </w:r>
    </w:p>
    <w:p w14:paraId="15F0B712" w14:textId="4B507C54" w:rsidR="00D22BA0" w:rsidRPr="00D22BA0" w:rsidRDefault="00D22BA0" w:rsidP="00D22BA0">
      <w:pPr>
        <w:jc w:val="center"/>
        <w:rPr>
          <w:rFonts w:ascii="Book Antiqua" w:hAnsi="Book Antiqua"/>
          <w:b/>
          <w:bCs/>
          <w:szCs w:val="24"/>
          <w:lang w:val="es-ES_tradnl"/>
        </w:rPr>
      </w:pPr>
      <w:r w:rsidRPr="00D22BA0">
        <w:rPr>
          <w:rFonts w:ascii="Book Antiqua" w:hAnsi="Book Antiqua"/>
          <w:noProof/>
          <w:szCs w:val="24"/>
          <w:lang w:val="es-PR"/>
        </w:rPr>
        <mc:AlternateContent>
          <mc:Choice Requires="wps">
            <w:drawing>
              <wp:anchor distT="0" distB="0" distL="114300" distR="114300" simplePos="0" relativeHeight="251659264" behindDoc="1" locked="0" layoutInCell="0" allowOverlap="1" wp14:anchorId="3FA0F09E" wp14:editId="583D8627">
                <wp:simplePos x="0" y="0"/>
                <wp:positionH relativeFrom="margin">
                  <wp:posOffset>0</wp:posOffset>
                </wp:positionH>
                <wp:positionV relativeFrom="paragraph">
                  <wp:posOffset>0</wp:posOffset>
                </wp:positionV>
                <wp:extent cx="5943600" cy="22860"/>
                <wp:effectExtent l="0" t="0" r="0" b="0"/>
                <wp:wrapNone/>
                <wp:docPr id="12229582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2860"/>
                        </a:xfrm>
                        <a:prstGeom prst="rect">
                          <a:avLst/>
                        </a:prstGeom>
                        <a:solidFill>
                          <a:srgbClr val="000000"/>
                        </a:solidFill>
                        <a:ln>
                          <a:noFill/>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59611" id="Rectangle 2" o:spid="_x0000_s1026" style="position:absolute;margin-left:0;margin-top:0;width:468pt;height: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" o:allowincell="f" fillcolor="black" stroked="f">
                <w10:wrap anchorx="margin"/>
              </v:rect>
            </w:pict>
          </mc:Fallback>
        </mc:AlternateContent>
      </w:r>
      <w:bookmarkEnd w:id="0"/>
    </w:p>
    <w:p w14:paraId="40D4685D" w14:textId="1263918A" w:rsidR="00DF4325" w:rsidRPr="00DF4325" w:rsidRDefault="00DF4325" w:rsidP="00DF4325">
      <w:pPr>
        <w:jc w:val="center"/>
        <w:rPr>
          <w:rFonts w:ascii="Book Antiqua" w:hAnsi="Book Antiqua"/>
          <w:sz w:val="28"/>
          <w:szCs w:val="28"/>
          <w:lang w:val="es-PR"/>
        </w:rPr>
      </w:pPr>
      <w:r w:rsidRPr="00DF4325">
        <w:rPr>
          <w:rFonts w:ascii="Book Antiqua" w:hAnsi="Book Antiqua"/>
          <w:sz w:val="28"/>
          <w:szCs w:val="28"/>
          <w:lang w:val="es-PR"/>
        </w:rPr>
        <w:t>GOBIERNO DE PUERTO RICO</w:t>
      </w:r>
    </w:p>
    <w:p w14:paraId="73A9195D" w14:textId="77777777" w:rsidR="00AE4248" w:rsidRPr="00DF4325" w:rsidRDefault="00AE4248" w:rsidP="00AE4248">
      <w:pPr>
        <w:jc w:val="center"/>
        <w:rPr>
          <w:rFonts w:ascii="Book Antiqua" w:hAnsi="Book Antiqua"/>
          <w:szCs w:val="24"/>
          <w:lang w:val="es-ES_tradnl"/>
        </w:rPr>
      </w:pPr>
    </w:p>
    <w:p w14:paraId="393F02D1" w14:textId="07C7BFB9" w:rsidR="00AE4248" w:rsidRDefault="00197A35" w:rsidP="00AE4248">
      <w:pPr>
        <w:pStyle w:val="Title2"/>
        <w:rPr>
          <w:rFonts w:ascii="Book Antiqua" w:hAnsi="Book Antiqua"/>
          <w:lang w:val="es-ES_tradnl"/>
        </w:rPr>
      </w:pPr>
      <w:r>
        <w:rPr>
          <w:rFonts w:ascii="Book Antiqua" w:hAnsi="Book Antiqua"/>
          <w:lang w:val="es-ES_tradnl"/>
        </w:rPr>
        <w:t>20</w:t>
      </w:r>
      <w:r w:rsidR="00AE4248">
        <w:rPr>
          <w:rFonts w:ascii="Book Antiqua" w:hAnsi="Book Antiqua"/>
          <w:lang w:val="es-ES_tradnl"/>
        </w:rPr>
        <w:t xml:space="preserve"> </w:t>
      </w:r>
      <w:proofErr w:type="spellStart"/>
      <w:r>
        <w:rPr>
          <w:rFonts w:ascii="Book Antiqua" w:hAnsi="Book Antiqua"/>
          <w:vertAlign w:val="superscript"/>
          <w:lang w:val="es-ES_tradnl"/>
        </w:rPr>
        <w:t>m</w:t>
      </w:r>
      <w:r w:rsidR="00AE4248">
        <w:rPr>
          <w:rFonts w:ascii="Book Antiqua" w:hAnsi="Book Antiqua"/>
          <w:vertAlign w:val="superscript"/>
          <w:lang w:val="es-ES_tradnl"/>
        </w:rPr>
        <w:t>a</w:t>
      </w:r>
      <w:proofErr w:type="spellEnd"/>
      <w:r w:rsidR="00AE4248">
        <w:rPr>
          <w:rFonts w:ascii="Book Antiqua" w:hAnsi="Book Antiqua"/>
          <w:lang w:val="es-ES_tradnl"/>
        </w:rPr>
        <w:tab/>
        <w:t>Asamblea</w:t>
      </w:r>
      <w:r w:rsidR="00AE4248">
        <w:rPr>
          <w:rFonts w:ascii="Book Antiqua" w:hAnsi="Book Antiqua"/>
          <w:lang w:val="es-ES_tradnl"/>
        </w:rPr>
        <w:tab/>
      </w:r>
      <w:r w:rsidR="00A06518">
        <w:rPr>
          <w:rFonts w:ascii="Book Antiqua" w:hAnsi="Book Antiqua"/>
          <w:lang w:val="es-ES_tradnl"/>
        </w:rPr>
        <w:t>1</w:t>
      </w:r>
      <w:r w:rsidR="00AE4248">
        <w:rPr>
          <w:rFonts w:ascii="Book Antiqua" w:hAnsi="Book Antiqua"/>
          <w:lang w:val="es-ES_tradnl"/>
        </w:rPr>
        <w:t xml:space="preserve"> </w:t>
      </w:r>
      <w:proofErr w:type="spellStart"/>
      <w:r w:rsidR="00A06518">
        <w:rPr>
          <w:rFonts w:ascii="Book Antiqua" w:hAnsi="Book Antiqua"/>
          <w:vertAlign w:val="superscript"/>
          <w:lang w:val="es-ES_tradnl"/>
        </w:rPr>
        <w:t>r</w:t>
      </w:r>
      <w:r w:rsidR="00AE4248">
        <w:rPr>
          <w:rFonts w:ascii="Book Antiqua" w:hAnsi="Book Antiqua"/>
          <w:vertAlign w:val="superscript"/>
          <w:lang w:val="es-ES_tradnl"/>
        </w:rPr>
        <w:t>a</w:t>
      </w:r>
      <w:proofErr w:type="spellEnd"/>
      <w:r w:rsidR="00AE4248">
        <w:rPr>
          <w:rFonts w:ascii="Book Antiqua" w:hAnsi="Book Antiqua"/>
          <w:lang w:val="es-ES_tradnl"/>
        </w:rPr>
        <w:tab/>
        <w:t>Sesión</w:t>
      </w:r>
    </w:p>
    <w:p w14:paraId="415BD37C" w14:textId="77777777" w:rsidR="00AE4248" w:rsidRDefault="00AE4248" w:rsidP="00AE4248">
      <w:pPr>
        <w:pStyle w:val="Title2"/>
        <w:rPr>
          <w:rFonts w:ascii="Book Antiqua" w:hAnsi="Book Antiqua"/>
          <w:lang w:val="es-ES_tradnl"/>
        </w:rPr>
      </w:pPr>
      <w:r>
        <w:rPr>
          <w:rFonts w:ascii="Book Antiqua" w:hAnsi="Book Antiqua"/>
          <w:lang w:val="es-ES_tradnl"/>
        </w:rPr>
        <w:tab/>
        <w:t>Legislativa</w:t>
      </w:r>
      <w:r>
        <w:rPr>
          <w:rFonts w:ascii="Book Antiqua" w:hAnsi="Book Antiqua"/>
          <w:lang w:val="es-ES_tradnl"/>
        </w:rPr>
        <w:tab/>
      </w:r>
      <w:r>
        <w:rPr>
          <w:rFonts w:ascii="Book Antiqua" w:hAnsi="Book Antiqua"/>
          <w:lang w:val="es-ES_tradnl"/>
        </w:rPr>
        <w:tab/>
        <w:t>Ordinaria</w:t>
      </w:r>
    </w:p>
    <w:p w14:paraId="7ACD016D" w14:textId="77777777" w:rsidR="00AE4248" w:rsidRDefault="00AE4248" w:rsidP="00AE4248">
      <w:pPr>
        <w:rPr>
          <w:lang w:val="es-ES_tradnl"/>
        </w:rPr>
      </w:pPr>
    </w:p>
    <w:p w14:paraId="25BCBA72" w14:textId="77777777" w:rsidR="00AE4248" w:rsidRDefault="00AE4248" w:rsidP="00DF4325">
      <w:pPr>
        <w:jc w:val="center"/>
        <w:rPr>
          <w:rFonts w:ascii="Book Antiqua" w:hAnsi="Book Antiqua"/>
          <w:b/>
          <w:sz w:val="36"/>
          <w:lang w:val="es-ES_tradnl"/>
        </w:rPr>
      </w:pPr>
      <w:r>
        <w:rPr>
          <w:rFonts w:ascii="Book Antiqua" w:hAnsi="Book Antiqua"/>
          <w:b/>
          <w:sz w:val="36"/>
          <w:lang w:val="es-ES_tradnl"/>
        </w:rPr>
        <w:t>CÁMARA DE REPRESENTANTES</w:t>
      </w:r>
    </w:p>
    <w:p w14:paraId="235F33FF" w14:textId="77777777" w:rsidR="00DF4325" w:rsidRPr="00DF4325" w:rsidRDefault="00DF4325" w:rsidP="00DF4325">
      <w:pPr>
        <w:jc w:val="center"/>
        <w:rPr>
          <w:rFonts w:ascii="Book Antiqua" w:hAnsi="Book Antiqua"/>
          <w:bCs/>
          <w:szCs w:val="24"/>
          <w:lang w:val="es-ES_tradnl"/>
        </w:rPr>
      </w:pPr>
    </w:p>
    <w:p w14:paraId="1F02598D" w14:textId="24BCC0C8" w:rsidR="00AE4248" w:rsidRDefault="00AE4248" w:rsidP="00DF4325">
      <w:pPr>
        <w:jc w:val="center"/>
        <w:rPr>
          <w:rFonts w:ascii="Book Antiqua" w:hAnsi="Book Antiqua"/>
          <w:b/>
          <w:sz w:val="52"/>
          <w:lang w:val="es-ES_tradnl"/>
        </w:rPr>
      </w:pPr>
      <w:r>
        <w:rPr>
          <w:rFonts w:ascii="Book Antiqua" w:hAnsi="Book Antiqua"/>
          <w:b/>
          <w:sz w:val="52"/>
          <w:lang w:val="es-ES_tradnl"/>
        </w:rPr>
        <w:t xml:space="preserve">P. de la C. </w:t>
      </w:r>
      <w:r w:rsidR="00FD4D91">
        <w:rPr>
          <w:rFonts w:ascii="Book Antiqua" w:hAnsi="Book Antiqua"/>
          <w:b/>
          <w:sz w:val="52"/>
          <w:lang w:val="es-ES_tradnl"/>
        </w:rPr>
        <w:t>220</w:t>
      </w:r>
    </w:p>
    <w:p w14:paraId="54079D0D" w14:textId="77777777" w:rsidR="00DF4325" w:rsidRDefault="00DF4325" w:rsidP="00DF4325">
      <w:pPr>
        <w:jc w:val="center"/>
        <w:rPr>
          <w:rFonts w:ascii="Book Antiqua" w:hAnsi="Book Antiqua"/>
          <w:lang w:val="es-ES_tradnl"/>
        </w:rPr>
      </w:pPr>
    </w:p>
    <w:p w14:paraId="3832402D" w14:textId="370EF632" w:rsidR="00AE4248" w:rsidRDefault="00FD4D91" w:rsidP="00DF4325">
      <w:pPr>
        <w:jc w:val="center"/>
        <w:rPr>
          <w:rFonts w:ascii="Book Antiqua" w:hAnsi="Book Antiqua"/>
          <w:lang w:val="es-ES_tradnl"/>
        </w:rPr>
      </w:pPr>
      <w:r>
        <w:rPr>
          <w:rFonts w:ascii="Book Antiqua" w:hAnsi="Book Antiqua"/>
          <w:lang w:val="es-ES_tradnl"/>
        </w:rPr>
        <w:t>13</w:t>
      </w:r>
      <w:r w:rsidR="00AE4248">
        <w:rPr>
          <w:rFonts w:ascii="Book Antiqua" w:hAnsi="Book Antiqua"/>
          <w:lang w:val="es-ES_tradnl"/>
        </w:rPr>
        <w:t xml:space="preserve"> DE ENERO DE 20</w:t>
      </w:r>
      <w:r w:rsidR="00A06518">
        <w:rPr>
          <w:rFonts w:ascii="Book Antiqua" w:hAnsi="Book Antiqua"/>
          <w:lang w:val="es-ES_tradnl"/>
        </w:rPr>
        <w:t>2</w:t>
      </w:r>
      <w:r w:rsidR="00197A35">
        <w:rPr>
          <w:rFonts w:ascii="Book Antiqua" w:hAnsi="Book Antiqua"/>
          <w:lang w:val="es-ES_tradnl"/>
        </w:rPr>
        <w:t>5</w:t>
      </w:r>
    </w:p>
    <w:p w14:paraId="5F687311" w14:textId="77777777" w:rsidR="00DF4325" w:rsidRDefault="00DF4325" w:rsidP="00DF4325">
      <w:pPr>
        <w:jc w:val="center"/>
        <w:rPr>
          <w:rFonts w:ascii="Book Antiqua" w:hAnsi="Book Antiqua"/>
          <w:lang w:val="es-ES_tradnl"/>
        </w:rPr>
      </w:pPr>
    </w:p>
    <w:p w14:paraId="7AD4E2E6" w14:textId="4320E11A" w:rsidR="00AE4248" w:rsidRDefault="00AE4248" w:rsidP="00DF4325">
      <w:pPr>
        <w:jc w:val="center"/>
        <w:rPr>
          <w:rFonts w:ascii="Book Antiqua" w:hAnsi="Book Antiqua"/>
          <w:i/>
          <w:lang w:val="es-ES_tradnl"/>
        </w:rPr>
      </w:pPr>
      <w:r>
        <w:rPr>
          <w:rFonts w:ascii="Book Antiqua" w:hAnsi="Book Antiqua"/>
          <w:lang w:val="es-ES_tradnl"/>
        </w:rPr>
        <w:t xml:space="preserve">Presentado por el representante </w:t>
      </w:r>
      <w:r>
        <w:rPr>
          <w:rFonts w:ascii="Book Antiqua" w:hAnsi="Book Antiqua"/>
          <w:i/>
          <w:lang w:val="es-ES_tradnl"/>
        </w:rPr>
        <w:t>Rodríguez Aguiló</w:t>
      </w:r>
    </w:p>
    <w:p w14:paraId="0E1D9E6D" w14:textId="3AF9D72A" w:rsidR="00A95A27" w:rsidRDefault="00A95A27" w:rsidP="00DF4325">
      <w:pPr>
        <w:jc w:val="center"/>
        <w:rPr>
          <w:rFonts w:ascii="Book Antiqua" w:hAnsi="Book Antiqua"/>
          <w:i/>
          <w:lang w:val="es-ES_tradnl"/>
        </w:rPr>
      </w:pPr>
      <w:r w:rsidRPr="00A55DEB">
        <w:rPr>
          <w:rFonts w:ascii="Book Antiqua" w:hAnsi="Book Antiqua"/>
          <w:i/>
          <w:lang w:val="es-ES_tradnl"/>
        </w:rPr>
        <w:t xml:space="preserve">(Por </w:t>
      </w:r>
      <w:r>
        <w:rPr>
          <w:rFonts w:ascii="Book Antiqua" w:hAnsi="Book Antiqua"/>
          <w:i/>
          <w:lang w:val="es-ES_tradnl"/>
        </w:rPr>
        <w:t>P</w:t>
      </w:r>
      <w:r w:rsidRPr="00A55DEB">
        <w:rPr>
          <w:rFonts w:ascii="Book Antiqua" w:hAnsi="Book Antiqua"/>
          <w:i/>
          <w:lang w:val="es-ES_tradnl"/>
        </w:rPr>
        <w:t>etición</w:t>
      </w:r>
      <w:r>
        <w:rPr>
          <w:rFonts w:ascii="Book Antiqua" w:hAnsi="Book Antiqua"/>
          <w:i/>
          <w:lang w:val="es-ES_tradnl"/>
        </w:rPr>
        <w:t xml:space="preserve"> de los E</w:t>
      </w:r>
      <w:r w:rsidRPr="00A55DEB">
        <w:rPr>
          <w:rFonts w:ascii="Book Antiqua" w:hAnsi="Book Antiqua"/>
          <w:i/>
          <w:lang w:val="es-ES_tradnl"/>
        </w:rPr>
        <w:t xml:space="preserve">studiantes de la Escuela Fernando </w:t>
      </w:r>
      <w:proofErr w:type="spellStart"/>
      <w:r w:rsidRPr="00A55DEB">
        <w:rPr>
          <w:rFonts w:ascii="Book Antiqua" w:hAnsi="Book Antiqua"/>
          <w:i/>
          <w:lang w:val="es-ES_tradnl"/>
        </w:rPr>
        <w:t>Suria</w:t>
      </w:r>
      <w:proofErr w:type="spellEnd"/>
      <w:r w:rsidRPr="00A55DEB">
        <w:rPr>
          <w:rFonts w:ascii="Book Antiqua" w:hAnsi="Book Antiqua"/>
          <w:i/>
          <w:lang w:val="es-ES_tradnl"/>
        </w:rPr>
        <w:t>, Municipio de Barceloneta)</w:t>
      </w:r>
    </w:p>
    <w:p w14:paraId="0148BB94" w14:textId="77777777" w:rsidR="005553D5" w:rsidRPr="00A55DEB" w:rsidRDefault="005553D5" w:rsidP="00DF4325">
      <w:pPr>
        <w:jc w:val="center"/>
        <w:rPr>
          <w:rFonts w:ascii="Book Antiqua" w:hAnsi="Book Antiqua"/>
          <w:i/>
          <w:lang w:val="es-ES_tradnl"/>
        </w:rPr>
      </w:pPr>
    </w:p>
    <w:p w14:paraId="5411889D" w14:textId="3D9ACBA8" w:rsidR="00AE4248" w:rsidRDefault="00AE4248" w:rsidP="00DF4325">
      <w:pPr>
        <w:jc w:val="center"/>
        <w:rPr>
          <w:rFonts w:ascii="Book Antiqua" w:hAnsi="Book Antiqua"/>
          <w:lang w:val="es-ES_tradnl"/>
        </w:rPr>
      </w:pPr>
      <w:r>
        <w:rPr>
          <w:rFonts w:ascii="Book Antiqua" w:hAnsi="Book Antiqua"/>
          <w:lang w:val="es-ES_tradnl"/>
        </w:rPr>
        <w:t xml:space="preserve">Referido a </w:t>
      </w:r>
      <w:r w:rsidR="005553D5">
        <w:rPr>
          <w:rFonts w:ascii="Book Antiqua" w:hAnsi="Book Antiqua"/>
          <w:lang w:val="es-ES_tradnl"/>
        </w:rPr>
        <w:t>la Comisión de Cooperativismo</w:t>
      </w:r>
    </w:p>
    <w:p w14:paraId="3FB2E100" w14:textId="77777777" w:rsidR="00AE4248" w:rsidRDefault="00AE4248" w:rsidP="00AE4248">
      <w:pPr>
        <w:jc w:val="both"/>
        <w:rPr>
          <w:rFonts w:ascii="Book Antiqua" w:hAnsi="Book Antiqua"/>
          <w:lang w:val="es-ES_tradnl"/>
        </w:rPr>
      </w:pPr>
    </w:p>
    <w:p w14:paraId="4C6EA167" w14:textId="77777777" w:rsidR="00AE4248" w:rsidRDefault="00AE4248" w:rsidP="00AE4248">
      <w:pPr>
        <w:jc w:val="center"/>
        <w:rPr>
          <w:rFonts w:ascii="Book Antiqua" w:hAnsi="Book Antiqua"/>
          <w:b/>
          <w:sz w:val="28"/>
          <w:lang w:val="es-ES_tradnl"/>
        </w:rPr>
      </w:pPr>
      <w:r>
        <w:rPr>
          <w:rFonts w:ascii="Book Antiqua" w:hAnsi="Book Antiqua"/>
          <w:b/>
          <w:sz w:val="28"/>
          <w:lang w:val="es-ES_tradnl"/>
        </w:rPr>
        <w:t>LEY</w:t>
      </w:r>
    </w:p>
    <w:p w14:paraId="4B32D58B" w14:textId="77777777" w:rsidR="00AE4248" w:rsidRDefault="00AE4248" w:rsidP="00AE4248">
      <w:pPr>
        <w:jc w:val="both"/>
        <w:rPr>
          <w:rFonts w:ascii="Book Antiqua" w:hAnsi="Book Antiqua"/>
          <w:lang w:val="es-ES_tradnl"/>
        </w:rPr>
      </w:pPr>
    </w:p>
    <w:p w14:paraId="59E7A750" w14:textId="4FCCD496" w:rsidR="00A06518" w:rsidRPr="00A06518" w:rsidRDefault="00AE4248" w:rsidP="00A06518">
      <w:pPr>
        <w:ind w:left="360" w:hanging="360"/>
        <w:jc w:val="both"/>
        <w:rPr>
          <w:rFonts w:ascii="Book Antiqua" w:hAnsi="Book Antiqua"/>
          <w:lang w:val="es-ES_tradnl"/>
        </w:rPr>
      </w:pPr>
      <w:r w:rsidRPr="00A06518">
        <w:rPr>
          <w:rFonts w:ascii="Book Antiqua" w:hAnsi="Book Antiqua"/>
          <w:lang w:val="es-ES_tradnl"/>
        </w:rPr>
        <w:t>Para</w:t>
      </w:r>
      <w:r w:rsidR="00A95A27" w:rsidRPr="00A95A27">
        <w:rPr>
          <w:lang w:val="es-PR"/>
        </w:rPr>
        <w:t xml:space="preserve"> </w:t>
      </w:r>
      <w:r w:rsidR="00A95A27" w:rsidRPr="00A95A27">
        <w:rPr>
          <w:rFonts w:ascii="Book Antiqua" w:hAnsi="Book Antiqua"/>
          <w:lang w:val="es-ES_tradnl"/>
        </w:rPr>
        <w:t xml:space="preserve">enmendar el Artículo 5.19, de la Ley 255-2002, según enmendada, conocida como la “Ley de Sociedades Cooperativas de Ahorro y Crédito de 2002”, con el propósito de aumentar </w:t>
      </w:r>
      <w:r w:rsidR="00197A35">
        <w:rPr>
          <w:rFonts w:ascii="Book Antiqua" w:hAnsi="Book Antiqua"/>
          <w:lang w:val="es-ES_tradnl"/>
        </w:rPr>
        <w:t xml:space="preserve">el límite de </w:t>
      </w:r>
      <w:r w:rsidR="00A95A27" w:rsidRPr="00A95A27">
        <w:rPr>
          <w:rFonts w:ascii="Book Antiqua" w:hAnsi="Book Antiqua"/>
          <w:lang w:val="es-ES_tradnl"/>
        </w:rPr>
        <w:t>la edad requerida para los miembros del Comité de la Juventud con el propósito de procurar y promover una mayor inclusión del sector juvenil en los Cuerpos Directivos de las Cooperativas de Ahorro y Crédito;</w:t>
      </w:r>
      <w:r w:rsidR="002958D3" w:rsidRPr="002958D3">
        <w:rPr>
          <w:rFonts w:ascii="Book Antiqua" w:hAnsi="Book Antiqua"/>
          <w:lang w:val="es-ES_tradnl"/>
        </w:rPr>
        <w:t xml:space="preserve"> y para otros fines</w:t>
      </w:r>
      <w:r w:rsidR="00A06518" w:rsidRPr="00A06518">
        <w:rPr>
          <w:rFonts w:ascii="Book Antiqua" w:hAnsi="Book Antiqua"/>
          <w:lang w:val="es-PR"/>
        </w:rPr>
        <w:t>.</w:t>
      </w:r>
    </w:p>
    <w:p w14:paraId="78370943" w14:textId="2839A363" w:rsidR="00AE4248" w:rsidRDefault="00AE4248" w:rsidP="00AE4248">
      <w:pPr>
        <w:ind w:left="360" w:hanging="360"/>
        <w:jc w:val="both"/>
        <w:rPr>
          <w:rFonts w:ascii="Book Antiqua" w:hAnsi="Book Antiqua"/>
          <w:lang w:val="es-ES_tradnl"/>
        </w:rPr>
      </w:pPr>
      <w:r>
        <w:rPr>
          <w:rFonts w:ascii="Book Antiqua" w:hAnsi="Book Antiqua"/>
          <w:lang w:val="es-ES_tradnl"/>
        </w:rPr>
        <w:t xml:space="preserve">   </w:t>
      </w:r>
    </w:p>
    <w:p w14:paraId="1A449455" w14:textId="77777777" w:rsidR="00AE4248" w:rsidRDefault="00AE4248" w:rsidP="005B5BC0">
      <w:pPr>
        <w:jc w:val="center"/>
        <w:rPr>
          <w:rFonts w:ascii="Book Antiqua" w:hAnsi="Book Antiqua"/>
          <w:lang w:val="es-ES_tradnl"/>
        </w:rPr>
      </w:pPr>
      <w:r>
        <w:rPr>
          <w:rFonts w:ascii="Book Antiqua" w:hAnsi="Book Antiqua"/>
          <w:lang w:val="es-ES_tradnl"/>
        </w:rPr>
        <w:t>EXPOSICIÓN DE MOTIVOS</w:t>
      </w:r>
    </w:p>
    <w:p w14:paraId="42DF5F1E" w14:textId="77777777" w:rsidR="00DF4325" w:rsidRDefault="00DF4325" w:rsidP="00DF4325">
      <w:pPr>
        <w:ind w:firstLine="360"/>
        <w:jc w:val="center"/>
        <w:rPr>
          <w:rFonts w:ascii="Book Antiqua" w:hAnsi="Book Antiqua"/>
          <w:lang w:val="es-ES_tradnl"/>
        </w:rPr>
      </w:pPr>
    </w:p>
    <w:p w14:paraId="7A0F5638" w14:textId="77777777" w:rsidR="00A95A27" w:rsidRDefault="00A95A27" w:rsidP="00DF4325">
      <w:pPr>
        <w:ind w:firstLine="360"/>
        <w:jc w:val="both"/>
        <w:rPr>
          <w:rFonts w:ascii="Book Antiqua" w:hAnsi="Book Antiqua"/>
          <w:lang w:val="es-PR"/>
        </w:rPr>
      </w:pPr>
      <w:r w:rsidRPr="00A95A27">
        <w:rPr>
          <w:rFonts w:ascii="Book Antiqua" w:hAnsi="Book Antiqua"/>
          <w:lang w:val="es-PR"/>
        </w:rPr>
        <w:t xml:space="preserve">“Por ser nuestra Carta Magna un documento relativamente reciente, durante el proceso de la Convención Constituyente esta se nutrió de documentos constitucionales que la precedieron y de las ideas liberales-democráticas que imperaban en distintas comunidades políticas al momento de su redacción.  Un ejemplo de ello es el derecho a la libertad de asociación que, contrario a la Constitución de Estados Unidos, se reconoce explícitamente en la Carta de Derechos de nuestra Constitución”, Rivera </w:t>
      </w:r>
      <w:proofErr w:type="spellStart"/>
      <w:r w:rsidRPr="00A95A27">
        <w:rPr>
          <w:rFonts w:ascii="Book Antiqua" w:hAnsi="Book Antiqua"/>
          <w:lang w:val="es-PR"/>
        </w:rPr>
        <w:t>Schatz</w:t>
      </w:r>
      <w:proofErr w:type="spellEnd"/>
      <w:r w:rsidRPr="00A95A27">
        <w:rPr>
          <w:rFonts w:ascii="Book Antiqua" w:hAnsi="Book Antiqua"/>
          <w:lang w:val="es-PR"/>
        </w:rPr>
        <w:t xml:space="preserve"> v. ELA, </w:t>
      </w:r>
      <w:r w:rsidRPr="00A95A27">
        <w:rPr>
          <w:rFonts w:ascii="Book Antiqua" w:hAnsi="Book Antiqua"/>
          <w:i/>
          <w:iCs/>
          <w:lang w:val="es-PR"/>
        </w:rPr>
        <w:t xml:space="preserve">et </w:t>
      </w:r>
      <w:proofErr w:type="spellStart"/>
      <w:r w:rsidRPr="00A95A27">
        <w:rPr>
          <w:rFonts w:ascii="Book Antiqua" w:hAnsi="Book Antiqua"/>
          <w:i/>
          <w:iCs/>
          <w:lang w:val="es-PR"/>
        </w:rPr>
        <w:t>als</w:t>
      </w:r>
      <w:proofErr w:type="spellEnd"/>
      <w:r w:rsidRPr="00A95A27">
        <w:rPr>
          <w:rFonts w:ascii="Book Antiqua" w:hAnsi="Book Antiqua"/>
          <w:lang w:val="es-PR"/>
        </w:rPr>
        <w:t xml:space="preserve">., 191 DPR 791 (2014).  La Constitución del Estado Libre Asociado de Puerto Rico, consigna en su Artículo II, Sección 6 que: “[l]as personas podrán asociarse y organizarse libremente para cualquier fin lícito, salvo en organizaciones militares o cuasi militares”.  La libertad de asociación ha sido catalogada como un principio fundamental de la libertad humana y uno de los aspectos más importantes de la democracia, Id. </w:t>
      </w:r>
    </w:p>
    <w:p w14:paraId="702A2D85" w14:textId="77777777" w:rsidR="00DF4325" w:rsidRPr="00A95A27" w:rsidRDefault="00DF4325" w:rsidP="00DF4325">
      <w:pPr>
        <w:ind w:firstLine="360"/>
        <w:jc w:val="both"/>
        <w:rPr>
          <w:rFonts w:ascii="Book Antiqua" w:hAnsi="Book Antiqua"/>
          <w:lang w:val="es-PR"/>
        </w:rPr>
      </w:pPr>
    </w:p>
    <w:p w14:paraId="70DD4B77" w14:textId="51EFA9F1" w:rsidR="00A95A27" w:rsidRDefault="00A95A27" w:rsidP="00DF4325">
      <w:pPr>
        <w:ind w:firstLine="360"/>
        <w:jc w:val="both"/>
        <w:rPr>
          <w:rFonts w:ascii="Book Antiqua" w:hAnsi="Book Antiqua"/>
          <w:lang w:val="es-PR"/>
        </w:rPr>
      </w:pPr>
      <w:r w:rsidRPr="00A95A27">
        <w:rPr>
          <w:rFonts w:ascii="Book Antiqua" w:hAnsi="Book Antiqua"/>
          <w:lang w:val="es-PR"/>
        </w:rPr>
        <w:lastRenderedPageBreak/>
        <w:t xml:space="preserve">Al considerar nuestro derecho de asociación, nuestro Tribunal Supremo le ha brindado una extensión tal que ha reconocido a través de su jurisprudencia que el mismo comprende el derecho a no asociarse, Rivera </w:t>
      </w:r>
      <w:proofErr w:type="spellStart"/>
      <w:r w:rsidRPr="00A95A27">
        <w:rPr>
          <w:rFonts w:ascii="Book Antiqua" w:hAnsi="Book Antiqua"/>
          <w:lang w:val="es-PR"/>
        </w:rPr>
        <w:t>Schatz</w:t>
      </w:r>
      <w:proofErr w:type="spellEnd"/>
      <w:r w:rsidRPr="00A95A27">
        <w:rPr>
          <w:rFonts w:ascii="Book Antiqua" w:hAnsi="Book Antiqua"/>
          <w:lang w:val="es-PR"/>
        </w:rPr>
        <w:t xml:space="preserve"> v. ELA, </w:t>
      </w:r>
      <w:r w:rsidRPr="00A95A27">
        <w:rPr>
          <w:rFonts w:ascii="Book Antiqua" w:hAnsi="Book Antiqua"/>
          <w:i/>
          <w:iCs/>
          <w:lang w:val="es-PR"/>
        </w:rPr>
        <w:t xml:space="preserve">et </w:t>
      </w:r>
      <w:proofErr w:type="spellStart"/>
      <w:r w:rsidRPr="00A95A27">
        <w:rPr>
          <w:rFonts w:ascii="Book Antiqua" w:hAnsi="Book Antiqua"/>
          <w:i/>
          <w:iCs/>
          <w:lang w:val="es-PR"/>
        </w:rPr>
        <w:t>als</w:t>
      </w:r>
      <w:proofErr w:type="spellEnd"/>
      <w:r w:rsidRPr="00A95A27">
        <w:rPr>
          <w:rFonts w:ascii="Book Antiqua" w:hAnsi="Book Antiqua"/>
          <w:i/>
          <w:iCs/>
          <w:lang w:val="es-PR"/>
        </w:rPr>
        <w:t>.</w:t>
      </w:r>
      <w:r w:rsidRPr="00A95A27">
        <w:rPr>
          <w:rFonts w:ascii="Book Antiqua" w:hAnsi="Book Antiqua"/>
          <w:lang w:val="es-PR"/>
        </w:rPr>
        <w:t xml:space="preserve">, ante.  Se ha expresado que la libertad de asociación y de reunión se refiere principalmente al derecho a formar grupos tan sencillos como grupos para estudiar o discutir cualquier asunto; como para trabajar en favor de cualquier idea; para propagar cualquier opinión, puntos de vista o cualquier idea; para cualquier otro propósito legítimo, Jaime B. Fuster, Derechos Fundamentales y Deberes Cívicos de las Personas, pág. 69. Se ha sostenido además que el derecho de asociación y reunión tiene un alcance más amplio otros derechos como lo es el derecho de libertad de expresión, Id.  Lo anterior se debe a que se ha reconocido que: “[…] [e]l derecho de asociación sirve en muchos casos para asegurar la expresión libre de las ideas de un grupo y por eso se le considera como parte de los derechos de expresión”, Id. </w:t>
      </w:r>
    </w:p>
    <w:p w14:paraId="4905497D" w14:textId="77777777" w:rsidR="00DF4325" w:rsidRPr="00A95A27" w:rsidRDefault="00DF4325" w:rsidP="00DF4325">
      <w:pPr>
        <w:ind w:firstLine="360"/>
        <w:jc w:val="both"/>
        <w:rPr>
          <w:rFonts w:ascii="Book Antiqua" w:hAnsi="Book Antiqua"/>
          <w:lang w:val="es-PR"/>
        </w:rPr>
      </w:pPr>
    </w:p>
    <w:p w14:paraId="0FE025ED" w14:textId="70D9B549" w:rsidR="00AE4248" w:rsidRDefault="00A95A27" w:rsidP="00DF4325">
      <w:pPr>
        <w:ind w:firstLine="360"/>
        <w:jc w:val="both"/>
        <w:rPr>
          <w:rFonts w:ascii="Book Antiqua" w:hAnsi="Book Antiqua"/>
          <w:lang w:val="es-PR"/>
        </w:rPr>
      </w:pPr>
      <w:r w:rsidRPr="00A95A27">
        <w:rPr>
          <w:rFonts w:ascii="Book Antiqua" w:hAnsi="Book Antiqua"/>
          <w:lang w:val="es-PR"/>
        </w:rPr>
        <w:t>Conforme a lo antes expresado, la Asamblea Legislativa ha promovido leyes que viabilizan el ejercicio genuino del derecho de libertad de asociación por los ciudadanos. En el cumplimiento de los mandatos constitucionales antes citados y en el deber de representar las diversas voces de nuestra sociedad, atendemos mediante esta ley las preocupaciones de los jóvenes puertorriqueños.  Como parte de esto último, nos proponemos enmendar el Artículo 5.19, de la Ley 255-2002, según enmendada, conocida como la “Ley de Sociedades Cooperativas de Ahorro y Crédito de 2002”.  La enmienda propuesta, persigue el propósito de aumentar</w:t>
      </w:r>
      <w:r w:rsidR="00197A35">
        <w:rPr>
          <w:rFonts w:ascii="Book Antiqua" w:hAnsi="Book Antiqua"/>
          <w:lang w:val="es-PR"/>
        </w:rPr>
        <w:t xml:space="preserve"> el límite de</w:t>
      </w:r>
      <w:r w:rsidRPr="00A95A27">
        <w:rPr>
          <w:rFonts w:ascii="Book Antiqua" w:hAnsi="Book Antiqua"/>
          <w:lang w:val="es-PR"/>
        </w:rPr>
        <w:t xml:space="preserve"> la edad requerida para los miembros del Comité de la Juventud; procurando y promover una mayor inclusión del sector juvenil en los Cuerpos Directivos de las Cooperativas de Ahorro y Crédito.</w:t>
      </w:r>
    </w:p>
    <w:p w14:paraId="6193A953" w14:textId="77777777" w:rsidR="00DF4325" w:rsidRPr="00DE13A2" w:rsidRDefault="00DF4325" w:rsidP="00DF4325">
      <w:pPr>
        <w:ind w:firstLine="360"/>
        <w:jc w:val="both"/>
        <w:rPr>
          <w:rFonts w:ascii="Book Antiqua" w:hAnsi="Book Antiqua"/>
          <w:lang w:val="es-PR"/>
        </w:rPr>
      </w:pPr>
    </w:p>
    <w:p w14:paraId="251BA3C8" w14:textId="45485635" w:rsidR="00AE4248" w:rsidRDefault="00AE4248" w:rsidP="00DF4325">
      <w:pPr>
        <w:spacing w:line="480" w:lineRule="auto"/>
        <w:rPr>
          <w:rFonts w:ascii="Book Antiqua" w:hAnsi="Book Antiqua"/>
          <w:i/>
          <w:lang w:val="es-ES_tradnl"/>
        </w:rPr>
      </w:pPr>
      <w:r>
        <w:rPr>
          <w:rFonts w:ascii="Book Antiqua" w:hAnsi="Book Antiqua"/>
          <w:i/>
          <w:lang w:val="es-ES_tradnl"/>
        </w:rPr>
        <w:t>DECRÉTASE POR LA ASAMBLEA LEGISLATIVA DE PUERTO RICO:</w:t>
      </w:r>
    </w:p>
    <w:p w14:paraId="3066E95A" w14:textId="77777777" w:rsidR="00AE4248" w:rsidRDefault="00AE4248" w:rsidP="00AE4248">
      <w:pPr>
        <w:spacing w:line="480" w:lineRule="auto"/>
        <w:jc w:val="both"/>
        <w:rPr>
          <w:rFonts w:ascii="Book Antiqua" w:hAnsi="Book Antiqua"/>
          <w:lang w:val="es-ES_tradnl"/>
        </w:rPr>
        <w:sectPr w:rsidR="00AE4248">
          <w:headerReference w:type="default" r:id="rId7"/>
          <w:type w:val="continuous"/>
          <w:pgSz w:w="12240" w:h="15840" w:code="1"/>
          <w:pgMar w:top="1440" w:right="1440" w:bottom="1440" w:left="1440" w:header="720" w:footer="720" w:gutter="0"/>
          <w:cols w:space="720"/>
          <w:titlePg/>
        </w:sectPr>
      </w:pPr>
    </w:p>
    <w:p w14:paraId="35FCE53D" w14:textId="795939B9" w:rsidR="00A95A27" w:rsidRPr="00A95A27" w:rsidRDefault="005E58B6" w:rsidP="00A95A27">
      <w:pPr>
        <w:spacing w:line="480" w:lineRule="auto"/>
        <w:ind w:firstLine="360"/>
        <w:jc w:val="both"/>
        <w:rPr>
          <w:rFonts w:ascii="Book Antiqua" w:hAnsi="Book Antiqua"/>
          <w:lang w:val="es-ES_tradnl"/>
        </w:rPr>
      </w:pPr>
      <w:r w:rsidRPr="005E58B6">
        <w:rPr>
          <w:rFonts w:ascii="Book Antiqua" w:hAnsi="Book Antiqua"/>
          <w:lang w:val="es-ES_tradnl"/>
        </w:rPr>
        <w:t>Sección 1.-</w:t>
      </w:r>
      <w:r w:rsidR="006B774E" w:rsidRPr="00A95A27">
        <w:rPr>
          <w:rFonts w:ascii="Book Antiqua" w:hAnsi="Book Antiqua"/>
          <w:lang w:val="es-ES_tradnl"/>
        </w:rPr>
        <w:t xml:space="preserve"> </w:t>
      </w:r>
      <w:r w:rsidR="00A95A27" w:rsidRPr="00A95A27">
        <w:rPr>
          <w:rFonts w:ascii="Book Antiqua" w:hAnsi="Book Antiqua"/>
          <w:lang w:val="es-ES_tradnl"/>
        </w:rPr>
        <w:t>Se enmienda el Artículo 5.19, de la Ley 255-2002, según enmendada, para que lea como sigue:</w:t>
      </w:r>
    </w:p>
    <w:p w14:paraId="41F314ED" w14:textId="77777777" w:rsidR="00A95A27" w:rsidRPr="00A95A27" w:rsidRDefault="00A95A27" w:rsidP="00A95A27">
      <w:pPr>
        <w:spacing w:line="480" w:lineRule="auto"/>
        <w:ind w:left="360" w:firstLine="720"/>
        <w:jc w:val="both"/>
        <w:rPr>
          <w:rFonts w:ascii="Book Antiqua" w:hAnsi="Book Antiqua"/>
          <w:lang w:val="es-ES_tradnl"/>
        </w:rPr>
      </w:pPr>
      <w:r w:rsidRPr="00A95A27">
        <w:rPr>
          <w:rFonts w:ascii="Book Antiqua" w:hAnsi="Book Antiqua"/>
          <w:lang w:val="es-ES_tradnl"/>
        </w:rPr>
        <w:t>“Artículo 5.19-Comité de la Juventud - Designación y composición</w:t>
      </w:r>
    </w:p>
    <w:p w14:paraId="257691AE" w14:textId="2DDAC21C" w:rsidR="00A95A27" w:rsidRPr="00A95A27" w:rsidRDefault="00A95A27" w:rsidP="00A95A27">
      <w:pPr>
        <w:spacing w:line="480" w:lineRule="auto"/>
        <w:ind w:left="1080" w:firstLine="360"/>
        <w:jc w:val="both"/>
        <w:rPr>
          <w:rFonts w:ascii="Book Antiqua" w:hAnsi="Book Antiqua"/>
          <w:lang w:val="es-ES_tradnl"/>
        </w:rPr>
      </w:pPr>
      <w:r w:rsidRPr="00A95A27">
        <w:rPr>
          <w:rFonts w:ascii="Book Antiqua" w:hAnsi="Book Antiqua"/>
          <w:lang w:val="es-ES_tradnl"/>
        </w:rPr>
        <w:t xml:space="preserve">La Junta de Directores designará un Comité de la Juventud para fomentar el cooperativismo juvenil y desarrollar iniciativas para atraer a los jóvenes, según las normas que adopte la Junta de Directores de conformidad con lo dispuesto en este Capítulo. El Comité de la Juventud estará integrado por no menos de tres (3) ni más de cinco (5) socios, entre las edades dieciocho (18) a </w:t>
      </w:r>
      <w:r w:rsidR="00A44ACC" w:rsidRPr="005B5BC0">
        <w:rPr>
          <w:rFonts w:ascii="Book Antiqua" w:hAnsi="Book Antiqua"/>
          <w:lang w:val="es-ES_tradnl"/>
        </w:rPr>
        <w:lastRenderedPageBreak/>
        <w:t>treinta y cinco (35) años</w:t>
      </w:r>
      <w:r w:rsidRPr="005B5BC0">
        <w:rPr>
          <w:rFonts w:ascii="Book Antiqua" w:hAnsi="Book Antiqua"/>
          <w:lang w:val="es-ES_tradnl"/>
        </w:rPr>
        <w:t xml:space="preserve">, de los cuales por lo menos la mitad no podrán ser miembros de la Junta de </w:t>
      </w:r>
      <w:proofErr w:type="gramStart"/>
      <w:r w:rsidRPr="005B5BC0">
        <w:rPr>
          <w:rFonts w:ascii="Book Antiqua" w:hAnsi="Book Antiqua"/>
          <w:lang w:val="es-ES_tradnl"/>
        </w:rPr>
        <w:t>Directores</w:t>
      </w:r>
      <w:proofErr w:type="gramEnd"/>
      <w:r w:rsidRPr="005B5BC0">
        <w:rPr>
          <w:rFonts w:ascii="Book Antiqua" w:hAnsi="Book Antiqua"/>
          <w:lang w:val="es-ES_tradnl"/>
        </w:rPr>
        <w:t xml:space="preserve">, ni de otros comités de la cooperativa. Los miembros del Comité de la Juventud </w:t>
      </w:r>
      <w:r w:rsidRPr="00A95A27">
        <w:rPr>
          <w:rFonts w:ascii="Book Antiqua" w:hAnsi="Book Antiqua"/>
          <w:lang w:val="es-ES_tradnl"/>
        </w:rPr>
        <w:t xml:space="preserve">desempeñarán sus cargos por un (1) término de un (1) año y ejercerán sus cargos hasta que sus sucesores sean nombrados y podrán ser </w:t>
      </w:r>
      <w:proofErr w:type="spellStart"/>
      <w:r w:rsidRPr="00A95A27">
        <w:rPr>
          <w:rFonts w:ascii="Book Antiqua" w:hAnsi="Book Antiqua"/>
          <w:lang w:val="es-ES_tradnl"/>
        </w:rPr>
        <w:t>redesignados</w:t>
      </w:r>
      <w:proofErr w:type="spellEnd"/>
      <w:r w:rsidRPr="00A95A27">
        <w:rPr>
          <w:rFonts w:ascii="Book Antiqua" w:hAnsi="Book Antiqua"/>
          <w:lang w:val="es-ES_tradnl"/>
        </w:rPr>
        <w:t xml:space="preserve"> en sus puestos por la Junta de </w:t>
      </w:r>
      <w:proofErr w:type="gramStart"/>
      <w:r w:rsidRPr="00A95A27">
        <w:rPr>
          <w:rFonts w:ascii="Book Antiqua" w:hAnsi="Book Antiqua"/>
          <w:lang w:val="es-ES_tradnl"/>
        </w:rPr>
        <w:t>Directores</w:t>
      </w:r>
      <w:proofErr w:type="gramEnd"/>
      <w:r w:rsidRPr="00A95A27">
        <w:rPr>
          <w:rFonts w:ascii="Book Antiqua" w:hAnsi="Book Antiqua"/>
          <w:lang w:val="es-ES_tradnl"/>
        </w:rPr>
        <w:t xml:space="preserve"> por cuatro (4) términos adicionales. En el caso de las cooperativas cerradas, según definidas en el inciso (i) de la Artículo 1.03 de este título, la implantación del Comité de la Juventud será evaluada por su Junta de Directores, debido a la naturaleza de estas cooperativas y su población de servicio.”</w:t>
      </w:r>
    </w:p>
    <w:p w14:paraId="58AE4F01" w14:textId="27226DF4" w:rsidR="00107DED" w:rsidRDefault="005E58B6" w:rsidP="005E58B6">
      <w:pPr>
        <w:spacing w:line="480" w:lineRule="auto"/>
        <w:ind w:firstLine="360"/>
        <w:jc w:val="both"/>
        <w:rPr>
          <w:rFonts w:ascii="Book Antiqua" w:hAnsi="Book Antiqua"/>
          <w:lang w:val="es-ES_tradnl"/>
        </w:rPr>
      </w:pPr>
      <w:r w:rsidRPr="005E58B6">
        <w:rPr>
          <w:rFonts w:ascii="Book Antiqua" w:hAnsi="Book Antiqua"/>
          <w:lang w:val="es-ES_tradnl"/>
        </w:rPr>
        <w:t xml:space="preserve">Sección </w:t>
      </w:r>
      <w:r w:rsidR="00A95A27">
        <w:rPr>
          <w:rFonts w:ascii="Book Antiqua" w:hAnsi="Book Antiqua"/>
          <w:lang w:val="es-ES_tradnl"/>
        </w:rPr>
        <w:t>2</w:t>
      </w:r>
      <w:r w:rsidRPr="005E58B6">
        <w:rPr>
          <w:rFonts w:ascii="Book Antiqua" w:hAnsi="Book Antiqua"/>
          <w:lang w:val="es-ES_tradnl"/>
        </w:rPr>
        <w:t>.-</w:t>
      </w:r>
      <w:r w:rsidR="00107DED">
        <w:rPr>
          <w:rFonts w:ascii="Book Antiqua" w:hAnsi="Book Antiqua"/>
          <w:lang w:val="es-ES_tradnl"/>
        </w:rPr>
        <w:t>Vigencia</w:t>
      </w:r>
    </w:p>
    <w:p w14:paraId="3882F0FA" w14:textId="5B175DA1" w:rsidR="00AE4248" w:rsidRDefault="005E58B6" w:rsidP="00A95A27">
      <w:pPr>
        <w:spacing w:line="480" w:lineRule="auto"/>
        <w:ind w:firstLine="720"/>
        <w:jc w:val="both"/>
        <w:rPr>
          <w:rFonts w:ascii="Book Antiqua" w:hAnsi="Book Antiqua"/>
          <w:lang w:val="es-ES_tradnl"/>
        </w:rPr>
      </w:pPr>
      <w:r w:rsidRPr="005E58B6">
        <w:rPr>
          <w:rFonts w:ascii="Book Antiqua" w:hAnsi="Book Antiqua"/>
          <w:lang w:val="es-ES_tradnl"/>
        </w:rPr>
        <w:t>Esta Ley entrará en vigor inmediatamente después de su aprobación</w:t>
      </w:r>
      <w:r w:rsidR="00107DED">
        <w:rPr>
          <w:rFonts w:ascii="Book Antiqua" w:hAnsi="Book Antiqua"/>
          <w:lang w:val="es-ES_tradnl"/>
        </w:rPr>
        <w:t>.</w:t>
      </w:r>
    </w:p>
    <w:sectPr w:rsidR="00AE4248" w:rsidSect="00AE4248">
      <w:type w:val="continuous"/>
      <w:pgSz w:w="12240" w:h="15840" w:code="1"/>
      <w:pgMar w:top="1440" w:right="1440" w:bottom="1440" w:left="1440" w:header="720" w:footer="720" w:gutter="0"/>
      <w:lnNumType w:countBy="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F9164" w14:textId="77777777" w:rsidR="00775D82" w:rsidRDefault="00775D82">
      <w:r>
        <w:separator/>
      </w:r>
    </w:p>
  </w:endnote>
  <w:endnote w:type="continuationSeparator" w:id="0">
    <w:p w14:paraId="0A5C547E" w14:textId="77777777" w:rsidR="00775D82" w:rsidRDefault="00775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7726F" w14:textId="77777777" w:rsidR="00775D82" w:rsidRDefault="00775D82">
      <w:r>
        <w:separator/>
      </w:r>
    </w:p>
  </w:footnote>
  <w:footnote w:type="continuationSeparator" w:id="0">
    <w:p w14:paraId="4DEECF24" w14:textId="77777777" w:rsidR="00775D82" w:rsidRDefault="00775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36C4E" w14:textId="058F9239" w:rsidR="00F042CB" w:rsidRDefault="00F042CB">
    <w:pPr>
      <w:pStyle w:val="Header"/>
      <w:jc w:val="center"/>
    </w:pPr>
    <w:r>
      <w:rPr>
        <w:rStyle w:val="PageNumber"/>
      </w:rPr>
      <w:fldChar w:fldCharType="begin"/>
    </w:r>
    <w:r>
      <w:rPr>
        <w:rStyle w:val="PageNumber"/>
      </w:rPr>
      <w:instrText xml:space="preserve"> PAGE </w:instrText>
    </w:r>
    <w:r>
      <w:rPr>
        <w:rStyle w:val="PageNumber"/>
      </w:rPr>
      <w:fldChar w:fldCharType="separate"/>
    </w:r>
    <w:r w:rsidR="003E52C4">
      <w:rPr>
        <w:rStyle w:val="PageNumber"/>
        <w:noProof/>
      </w:rPr>
      <w:t>3</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ambleaNum" w:val="1"/>
    <w:docVar w:name="AsambleaSup" w:val="ra"/>
    <w:docVar w:name="Direccion" w:val="addr1addr2San JuanPR00911"/>
    <w:docVar w:name="FallecimientoDe" w:val="Ramona Solís"/>
    <w:docVar w:name="Fecha" w:val="aaa"/>
    <w:docVar w:name="Mocion_A" w:val="Ricardo Ramos Solís"/>
    <w:docVar w:name="Senador_a1" w:val="El Senador"/>
    <w:docVar w:name="Senador_a2" w:val="Senador"/>
    <w:docVar w:name="Senator_a1" w:val="El Senador"/>
    <w:docVar w:name="Senator_a2" w:val="Senador"/>
    <w:docVar w:name="SesionNum" w:val="2"/>
    <w:docVar w:name="SesionSup" w:val="da"/>
    <w:docVar w:name="SesionTipo" w:val="Ordinaria"/>
  </w:docVars>
  <w:rsids>
    <w:rsidRoot w:val="00AE4248"/>
    <w:rsid w:val="00013F0B"/>
    <w:rsid w:val="00020BBB"/>
    <w:rsid w:val="00056024"/>
    <w:rsid w:val="000749F5"/>
    <w:rsid w:val="00095AE1"/>
    <w:rsid w:val="000A6B6C"/>
    <w:rsid w:val="000B0DBB"/>
    <w:rsid w:val="000E0AF6"/>
    <w:rsid w:val="00107DED"/>
    <w:rsid w:val="00111E71"/>
    <w:rsid w:val="00127C6A"/>
    <w:rsid w:val="001363FE"/>
    <w:rsid w:val="0017132B"/>
    <w:rsid w:val="00197A35"/>
    <w:rsid w:val="001D72FB"/>
    <w:rsid w:val="001F4CA3"/>
    <w:rsid w:val="001F612A"/>
    <w:rsid w:val="0020105A"/>
    <w:rsid w:val="00211396"/>
    <w:rsid w:val="00226AE6"/>
    <w:rsid w:val="00245B34"/>
    <w:rsid w:val="00263355"/>
    <w:rsid w:val="00273792"/>
    <w:rsid w:val="00290D1D"/>
    <w:rsid w:val="002958D3"/>
    <w:rsid w:val="002D4AC8"/>
    <w:rsid w:val="00306774"/>
    <w:rsid w:val="00320D78"/>
    <w:rsid w:val="00335D4B"/>
    <w:rsid w:val="00380FE5"/>
    <w:rsid w:val="003924DD"/>
    <w:rsid w:val="00394FCB"/>
    <w:rsid w:val="003963F4"/>
    <w:rsid w:val="003B5254"/>
    <w:rsid w:val="003B75A6"/>
    <w:rsid w:val="003E52C4"/>
    <w:rsid w:val="004061CA"/>
    <w:rsid w:val="00415689"/>
    <w:rsid w:val="004440CB"/>
    <w:rsid w:val="004713D2"/>
    <w:rsid w:val="005040A1"/>
    <w:rsid w:val="00521639"/>
    <w:rsid w:val="00532BB7"/>
    <w:rsid w:val="005332E4"/>
    <w:rsid w:val="0053550C"/>
    <w:rsid w:val="00555018"/>
    <w:rsid w:val="005553D5"/>
    <w:rsid w:val="005723DC"/>
    <w:rsid w:val="005B5BC0"/>
    <w:rsid w:val="005E58B6"/>
    <w:rsid w:val="005E67FB"/>
    <w:rsid w:val="006210DC"/>
    <w:rsid w:val="0064349D"/>
    <w:rsid w:val="00685549"/>
    <w:rsid w:val="006B2039"/>
    <w:rsid w:val="006B7365"/>
    <w:rsid w:val="006B774E"/>
    <w:rsid w:val="006C2D81"/>
    <w:rsid w:val="006C7DF8"/>
    <w:rsid w:val="006D4981"/>
    <w:rsid w:val="0072046D"/>
    <w:rsid w:val="00720BF0"/>
    <w:rsid w:val="00750FC8"/>
    <w:rsid w:val="007533D0"/>
    <w:rsid w:val="00755069"/>
    <w:rsid w:val="00775D82"/>
    <w:rsid w:val="007B0660"/>
    <w:rsid w:val="007C45C2"/>
    <w:rsid w:val="007E1CAE"/>
    <w:rsid w:val="007E3868"/>
    <w:rsid w:val="007F4E4E"/>
    <w:rsid w:val="00820C41"/>
    <w:rsid w:val="00850256"/>
    <w:rsid w:val="00851BE0"/>
    <w:rsid w:val="008642BB"/>
    <w:rsid w:val="00880D24"/>
    <w:rsid w:val="00892C48"/>
    <w:rsid w:val="008D2600"/>
    <w:rsid w:val="00942FD4"/>
    <w:rsid w:val="00951997"/>
    <w:rsid w:val="009568CD"/>
    <w:rsid w:val="00990352"/>
    <w:rsid w:val="00A03405"/>
    <w:rsid w:val="00A06518"/>
    <w:rsid w:val="00A1528A"/>
    <w:rsid w:val="00A33918"/>
    <w:rsid w:val="00A36263"/>
    <w:rsid w:val="00A44ACC"/>
    <w:rsid w:val="00A7629F"/>
    <w:rsid w:val="00A9085B"/>
    <w:rsid w:val="00A95A27"/>
    <w:rsid w:val="00AA5495"/>
    <w:rsid w:val="00AB1863"/>
    <w:rsid w:val="00AB5CD3"/>
    <w:rsid w:val="00AC1C56"/>
    <w:rsid w:val="00AE2766"/>
    <w:rsid w:val="00AE4248"/>
    <w:rsid w:val="00AF0CEE"/>
    <w:rsid w:val="00B667AD"/>
    <w:rsid w:val="00B82CD8"/>
    <w:rsid w:val="00B84C38"/>
    <w:rsid w:val="00B86C00"/>
    <w:rsid w:val="00B947F6"/>
    <w:rsid w:val="00BE25E1"/>
    <w:rsid w:val="00BF16AA"/>
    <w:rsid w:val="00C354B8"/>
    <w:rsid w:val="00C4615D"/>
    <w:rsid w:val="00C52517"/>
    <w:rsid w:val="00C608DD"/>
    <w:rsid w:val="00C60921"/>
    <w:rsid w:val="00C62936"/>
    <w:rsid w:val="00C653F2"/>
    <w:rsid w:val="00C679E6"/>
    <w:rsid w:val="00C908F9"/>
    <w:rsid w:val="00CA0917"/>
    <w:rsid w:val="00CA1099"/>
    <w:rsid w:val="00CC31A5"/>
    <w:rsid w:val="00CD20EA"/>
    <w:rsid w:val="00D22BA0"/>
    <w:rsid w:val="00D417C2"/>
    <w:rsid w:val="00D60936"/>
    <w:rsid w:val="00D709EB"/>
    <w:rsid w:val="00D74714"/>
    <w:rsid w:val="00D82F3F"/>
    <w:rsid w:val="00D921C6"/>
    <w:rsid w:val="00D958C2"/>
    <w:rsid w:val="00DB0958"/>
    <w:rsid w:val="00DE13A2"/>
    <w:rsid w:val="00DF4325"/>
    <w:rsid w:val="00E04AB5"/>
    <w:rsid w:val="00E50EEA"/>
    <w:rsid w:val="00E52F58"/>
    <w:rsid w:val="00E76A11"/>
    <w:rsid w:val="00E84943"/>
    <w:rsid w:val="00EC26AA"/>
    <w:rsid w:val="00ED7A53"/>
    <w:rsid w:val="00EE05FF"/>
    <w:rsid w:val="00EE3EEE"/>
    <w:rsid w:val="00EE4273"/>
    <w:rsid w:val="00F02004"/>
    <w:rsid w:val="00F042CB"/>
    <w:rsid w:val="00FC0A95"/>
    <w:rsid w:val="00FC3D9C"/>
    <w:rsid w:val="00FD4D91"/>
    <w:rsid w:val="00FF0153"/>
    <w:rsid w:val="00FF4DD7"/>
    <w:rsid w:val="00FF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41DFF"/>
  <w15:chartTrackingRefBased/>
  <w15:docId w15:val="{9B2AFD56-0394-4048-95C2-8B3AF92E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6">
    <w:name w:val="heading 6"/>
    <w:basedOn w:val="Normal"/>
    <w:next w:val="Normal"/>
    <w:link w:val="Heading6Char"/>
    <w:uiPriority w:val="9"/>
    <w:semiHidden/>
    <w:unhideWhenUsed/>
    <w:qFormat/>
    <w:rsid w:val="00A0651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tyle>
  <w:style w:type="paragraph" w:customStyle="1" w:styleId="Title2">
    <w:name w:val="Title2"/>
    <w:basedOn w:val="Normal"/>
    <w:next w:val="Normal"/>
    <w:pPr>
      <w:tabs>
        <w:tab w:val="left" w:pos="648"/>
        <w:tab w:val="right" w:pos="7776"/>
        <w:tab w:val="left" w:pos="7848"/>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Firmas">
    <w:name w:val="Firmas"/>
    <w:basedOn w:val="Normal"/>
    <w:pPr>
      <w:tabs>
        <w:tab w:val="center" w:pos="1440"/>
        <w:tab w:val="center" w:pos="7200"/>
      </w:tabs>
    </w:pPr>
    <w:rPr>
      <w:lang w:val="es-ES_tradnl"/>
    </w:rPr>
  </w:style>
  <w:style w:type="paragraph" w:styleId="BalloonText">
    <w:name w:val="Balloon Text"/>
    <w:basedOn w:val="Normal"/>
    <w:link w:val="BalloonTextChar"/>
    <w:uiPriority w:val="99"/>
    <w:semiHidden/>
    <w:unhideWhenUsed/>
    <w:rsid w:val="00C461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5D"/>
    <w:rPr>
      <w:rFonts w:ascii="Segoe UI" w:hAnsi="Segoe UI" w:cs="Segoe UI"/>
      <w:sz w:val="18"/>
      <w:szCs w:val="18"/>
    </w:rPr>
  </w:style>
  <w:style w:type="character" w:customStyle="1" w:styleId="Heading6Char">
    <w:name w:val="Heading 6 Char"/>
    <w:basedOn w:val="DefaultParagraphFont"/>
    <w:link w:val="Heading6"/>
    <w:uiPriority w:val="9"/>
    <w:semiHidden/>
    <w:rsid w:val="00A06518"/>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567735">
      <w:bodyDiv w:val="1"/>
      <w:marLeft w:val="0"/>
      <w:marRight w:val="0"/>
      <w:marTop w:val="0"/>
      <w:marBottom w:val="0"/>
      <w:divBdr>
        <w:top w:val="none" w:sz="0" w:space="0" w:color="auto"/>
        <w:left w:val="none" w:sz="0" w:space="0" w:color="auto"/>
        <w:bottom w:val="none" w:sz="0" w:space="0" w:color="auto"/>
        <w:right w:val="none" w:sz="0" w:space="0" w:color="auto"/>
      </w:divBdr>
    </w:div>
    <w:div w:id="981537984">
      <w:bodyDiv w:val="1"/>
      <w:marLeft w:val="0"/>
      <w:marRight w:val="0"/>
      <w:marTop w:val="0"/>
      <w:marBottom w:val="0"/>
      <w:divBdr>
        <w:top w:val="none" w:sz="0" w:space="0" w:color="auto"/>
        <w:left w:val="none" w:sz="0" w:space="0" w:color="auto"/>
        <w:bottom w:val="none" w:sz="0" w:space="0" w:color="auto"/>
        <w:right w:val="none" w:sz="0" w:space="0" w:color="auto"/>
      </w:divBdr>
    </w:div>
    <w:div w:id="983002635">
      <w:bodyDiv w:val="1"/>
      <w:marLeft w:val="0"/>
      <w:marRight w:val="0"/>
      <w:marTop w:val="0"/>
      <w:marBottom w:val="0"/>
      <w:divBdr>
        <w:top w:val="none" w:sz="0" w:space="0" w:color="auto"/>
        <w:left w:val="none" w:sz="0" w:space="0" w:color="auto"/>
        <w:bottom w:val="none" w:sz="0" w:space="0" w:color="auto"/>
        <w:right w:val="none" w:sz="0" w:space="0" w:color="auto"/>
      </w:divBdr>
    </w:div>
    <w:div w:id="126668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B7762263-F207-4B2B-ACA7-468B5A6EE03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816</Words>
  <Characters>4227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asesora - IT</vt:lpstr>
    </vt:vector>
  </TitlesOfParts>
  <Company>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asesora - IT</dc:title>
  <dc:subject/>
  <dc:creator>María de los Angeles Rullán Bidot</dc:creator>
  <cp:keywords/>
  <dc:description/>
  <cp:lastModifiedBy>Carlos Y. Rosado Cruz</cp:lastModifiedBy>
  <cp:revision>7</cp:revision>
  <cp:lastPrinted>2025-03-19T19:43:00Z</cp:lastPrinted>
  <dcterms:created xsi:type="dcterms:W3CDTF">2025-01-13T19:45:00Z</dcterms:created>
  <dcterms:modified xsi:type="dcterms:W3CDTF">2025-03-19T19:43:00Z</dcterms:modified>
</cp:coreProperties>
</file>