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48362" w14:textId="77777777" w:rsidR="00A54AF0" w:rsidRPr="00381915" w:rsidRDefault="00A54AF0" w:rsidP="00A54AF0">
      <w:pPr>
        <w:spacing w:after="0" w:line="240" w:lineRule="auto"/>
        <w:jc w:val="center"/>
        <w:rPr>
          <w:rFonts w:ascii="Book Antiqua" w:eastAsia="Times New Roman" w:hAnsi="Book Antiqua" w:cs="Times New Roman"/>
          <w:b/>
          <w:color w:val="000000"/>
          <w:kern w:val="0"/>
          <w:sz w:val="28"/>
          <w:szCs w:val="28"/>
          <w14:ligatures w14:val="none"/>
        </w:rPr>
      </w:pPr>
      <w:r w:rsidRPr="00381915">
        <w:rPr>
          <w:rFonts w:ascii="Book Antiqua" w:eastAsia="Times New Roman" w:hAnsi="Book Antiqua" w:cs="Times New Roman"/>
          <w:b/>
          <w:color w:val="000000"/>
          <w:kern w:val="0"/>
          <w:sz w:val="28"/>
          <w:szCs w:val="28"/>
          <w14:ligatures w14:val="none"/>
        </w:rPr>
        <w:t>GOBIERNO DE PUERTO RICO</w:t>
      </w:r>
    </w:p>
    <w:p w14:paraId="55131F5B" w14:textId="77777777" w:rsidR="000C5343" w:rsidRPr="00381915" w:rsidRDefault="000C5343" w:rsidP="00A54AF0">
      <w:pPr>
        <w:spacing w:after="0" w:line="240" w:lineRule="auto"/>
        <w:jc w:val="center"/>
        <w:rPr>
          <w:rFonts w:ascii="Book Antiqua" w:eastAsia="Times New Roman" w:hAnsi="Book Antiqua" w:cs="Times New Roman"/>
          <w:color w:val="000000"/>
          <w:kern w:val="0"/>
          <w14:ligatures w14:val="none"/>
        </w:rPr>
      </w:pPr>
    </w:p>
    <w:p w14:paraId="22D13054" w14:textId="77777777" w:rsidR="00A54AF0" w:rsidRPr="00381915" w:rsidRDefault="00A54AF0" w:rsidP="00A54AF0">
      <w:pPr>
        <w:autoSpaceDE w:val="0"/>
        <w:autoSpaceDN w:val="0"/>
        <w:adjustRightInd w:val="0"/>
        <w:spacing w:after="0" w:line="240" w:lineRule="auto"/>
        <w:rPr>
          <w:rFonts w:ascii="Book Antiqua" w:eastAsia="Times New Roman" w:hAnsi="Book Antiqua" w:cs="Times New Roman"/>
          <w:color w:val="000000"/>
          <w:kern w:val="0"/>
          <w:lang w:val="es-ES"/>
          <w14:ligatures w14:val="none"/>
        </w:rPr>
      </w:pPr>
    </w:p>
    <w:p w14:paraId="4E37C54E" w14:textId="77777777" w:rsidR="00A54AF0" w:rsidRPr="00381915" w:rsidRDefault="00A54AF0" w:rsidP="00A54AF0">
      <w:pPr>
        <w:autoSpaceDE w:val="0"/>
        <w:autoSpaceDN w:val="0"/>
        <w:adjustRightInd w:val="0"/>
        <w:spacing w:after="0" w:line="240" w:lineRule="auto"/>
        <w:rPr>
          <w:rFonts w:ascii="Book Antiqua" w:eastAsia="Times New Roman" w:hAnsi="Book Antiqua" w:cs="Times New Roman"/>
          <w:color w:val="000000"/>
          <w:kern w:val="0"/>
          <w:lang w:val="es-ES"/>
          <w14:ligatures w14:val="none"/>
        </w:rPr>
      </w:pPr>
      <w:r w:rsidRPr="00381915">
        <w:rPr>
          <w:rFonts w:ascii="Book Antiqua" w:eastAsia="Times New Roman" w:hAnsi="Book Antiqua" w:cs="Times New Roman"/>
          <w:color w:val="000000"/>
          <w:kern w:val="0"/>
          <w:lang w:val="es-ES"/>
          <w14:ligatures w14:val="none"/>
        </w:rPr>
        <w:t>20</w:t>
      </w:r>
      <w:proofErr w:type="spellStart"/>
      <w:r w:rsidRPr="00381915">
        <w:rPr>
          <w:rFonts w:ascii="Book Antiqua" w:eastAsia="Times New Roman" w:hAnsi="Book Antiqua" w:cs="Times New Roman"/>
          <w:color w:val="000000"/>
          <w:kern w:val="0"/>
          <w:position w:val="10"/>
          <w:vertAlign w:val="superscript"/>
          <w:lang w:val="es-ES"/>
          <w14:ligatures w14:val="none"/>
        </w:rPr>
        <w:t>ma</w:t>
      </w:r>
      <w:proofErr w:type="spellEnd"/>
      <w:r w:rsidRPr="00381915">
        <w:rPr>
          <w:rFonts w:ascii="Book Antiqua" w:eastAsia="Times New Roman" w:hAnsi="Book Antiqua" w:cs="Times New Roman"/>
          <w:color w:val="000000"/>
          <w:kern w:val="0"/>
          <w:position w:val="10"/>
          <w:vertAlign w:val="superscript"/>
          <w:lang w:val="es-ES"/>
          <w14:ligatures w14:val="none"/>
        </w:rPr>
        <w:t xml:space="preserve"> </w:t>
      </w:r>
      <w:r w:rsidRPr="00381915">
        <w:rPr>
          <w:rFonts w:ascii="Book Antiqua" w:eastAsia="Times New Roman" w:hAnsi="Book Antiqua" w:cs="Times New Roman"/>
          <w:color w:val="000000"/>
          <w:kern w:val="0"/>
          <w:lang w:val="es-ES"/>
          <w14:ligatures w14:val="none"/>
        </w:rPr>
        <w:t>Asamblea</w:t>
      </w:r>
      <w:r w:rsidRPr="00381915">
        <w:rPr>
          <w:rFonts w:ascii="Book Antiqua" w:eastAsia="Times New Roman" w:hAnsi="Book Antiqua" w:cs="Times New Roman"/>
          <w:color w:val="000000"/>
          <w:kern w:val="0"/>
          <w:lang w:val="es-ES"/>
          <w14:ligatures w14:val="none"/>
        </w:rPr>
        <w:tab/>
      </w:r>
      <w:r w:rsidRPr="00381915">
        <w:rPr>
          <w:rFonts w:ascii="Book Antiqua" w:eastAsia="Times New Roman" w:hAnsi="Book Antiqua" w:cs="Times New Roman"/>
          <w:color w:val="000000"/>
          <w:kern w:val="0"/>
          <w:lang w:val="es-ES"/>
          <w14:ligatures w14:val="none"/>
        </w:rPr>
        <w:tab/>
      </w:r>
      <w:r w:rsidRPr="00381915">
        <w:rPr>
          <w:rFonts w:ascii="Book Antiqua" w:eastAsia="Times New Roman" w:hAnsi="Book Antiqua" w:cs="Times New Roman"/>
          <w:color w:val="000000"/>
          <w:kern w:val="0"/>
          <w:lang w:val="es-ES"/>
          <w14:ligatures w14:val="none"/>
        </w:rPr>
        <w:tab/>
      </w:r>
      <w:r w:rsidRPr="00381915">
        <w:rPr>
          <w:rFonts w:ascii="Book Antiqua" w:eastAsia="Times New Roman" w:hAnsi="Book Antiqua" w:cs="Times New Roman"/>
          <w:color w:val="000000"/>
          <w:kern w:val="0"/>
          <w:lang w:val="es-ES"/>
          <w14:ligatures w14:val="none"/>
        </w:rPr>
        <w:tab/>
      </w:r>
      <w:r w:rsidRPr="00381915">
        <w:rPr>
          <w:rFonts w:ascii="Book Antiqua" w:eastAsia="Times New Roman" w:hAnsi="Book Antiqua" w:cs="Times New Roman"/>
          <w:color w:val="000000"/>
          <w:kern w:val="0"/>
          <w:lang w:val="es-ES"/>
          <w14:ligatures w14:val="none"/>
        </w:rPr>
        <w:tab/>
      </w:r>
      <w:r w:rsidRPr="00381915">
        <w:rPr>
          <w:rFonts w:ascii="Book Antiqua" w:eastAsia="Times New Roman" w:hAnsi="Book Antiqua" w:cs="Times New Roman"/>
          <w:color w:val="000000"/>
          <w:kern w:val="0"/>
          <w:lang w:val="es-ES"/>
          <w14:ligatures w14:val="none"/>
        </w:rPr>
        <w:tab/>
      </w:r>
      <w:r w:rsidRPr="00381915">
        <w:rPr>
          <w:rFonts w:ascii="Book Antiqua" w:eastAsia="Times New Roman" w:hAnsi="Book Antiqua" w:cs="Times New Roman"/>
          <w:color w:val="000000"/>
          <w:kern w:val="0"/>
          <w:lang w:val="es-ES"/>
          <w14:ligatures w14:val="none"/>
        </w:rPr>
        <w:tab/>
        <w:t xml:space="preserve">                  1</w:t>
      </w:r>
      <w:r w:rsidRPr="00381915">
        <w:rPr>
          <w:rFonts w:ascii="Book Antiqua" w:eastAsia="Times New Roman" w:hAnsi="Book Antiqua" w:cs="Times New Roman"/>
          <w:color w:val="000000"/>
          <w:kern w:val="0"/>
          <w:vertAlign w:val="superscript"/>
          <w:lang w:val="es-ES"/>
          <w14:ligatures w14:val="none"/>
        </w:rPr>
        <w:t>ra.</w:t>
      </w:r>
      <w:r w:rsidRPr="00381915">
        <w:rPr>
          <w:rFonts w:ascii="Book Antiqua" w:eastAsia="Times New Roman" w:hAnsi="Book Antiqua" w:cs="Times New Roman"/>
          <w:color w:val="000000"/>
          <w:kern w:val="0"/>
          <w:position w:val="10"/>
          <w:vertAlign w:val="superscript"/>
          <w:lang w:val="es-ES"/>
          <w14:ligatures w14:val="none"/>
        </w:rPr>
        <w:t xml:space="preserve"> </w:t>
      </w:r>
      <w:r w:rsidRPr="00381915">
        <w:rPr>
          <w:rFonts w:ascii="Book Antiqua" w:eastAsia="Times New Roman" w:hAnsi="Book Antiqua" w:cs="Times New Roman"/>
          <w:color w:val="000000"/>
          <w:kern w:val="0"/>
          <w:lang w:val="es-ES"/>
          <w14:ligatures w14:val="none"/>
        </w:rPr>
        <w:t xml:space="preserve">Sesión </w:t>
      </w:r>
    </w:p>
    <w:p w14:paraId="4C99236B" w14:textId="15E116D3" w:rsidR="00A54AF0" w:rsidRPr="00381915" w:rsidRDefault="00A54AF0" w:rsidP="00A54AF0">
      <w:pPr>
        <w:autoSpaceDE w:val="0"/>
        <w:autoSpaceDN w:val="0"/>
        <w:adjustRightInd w:val="0"/>
        <w:spacing w:after="0" w:line="240" w:lineRule="auto"/>
        <w:rPr>
          <w:rFonts w:ascii="Book Antiqua" w:eastAsia="Times New Roman" w:hAnsi="Book Antiqua" w:cs="Times New Roman"/>
          <w:color w:val="000000"/>
          <w:kern w:val="0"/>
          <w:lang w:val="es-ES"/>
          <w14:ligatures w14:val="none"/>
        </w:rPr>
      </w:pPr>
      <w:r w:rsidRPr="00381915">
        <w:rPr>
          <w:rFonts w:ascii="Book Antiqua" w:eastAsia="Times New Roman" w:hAnsi="Book Antiqua" w:cs="Times New Roman"/>
          <w:color w:val="000000"/>
          <w:kern w:val="0"/>
          <w:lang w:val="es-ES"/>
          <w14:ligatures w14:val="none"/>
        </w:rPr>
        <w:t xml:space="preserve">        </w:t>
      </w:r>
      <w:r w:rsidR="000C5343" w:rsidRPr="00381915">
        <w:rPr>
          <w:rFonts w:ascii="Book Antiqua" w:eastAsia="Times New Roman" w:hAnsi="Book Antiqua" w:cs="Times New Roman"/>
          <w:color w:val="000000"/>
          <w:kern w:val="0"/>
          <w:lang w:val="es-ES"/>
          <w14:ligatures w14:val="none"/>
        </w:rPr>
        <w:t xml:space="preserve"> </w:t>
      </w:r>
      <w:r w:rsidRPr="00381915">
        <w:rPr>
          <w:rFonts w:ascii="Book Antiqua" w:eastAsia="Times New Roman" w:hAnsi="Book Antiqua" w:cs="Times New Roman"/>
          <w:color w:val="000000"/>
          <w:kern w:val="0"/>
          <w:lang w:val="es-ES"/>
          <w14:ligatures w14:val="none"/>
        </w:rPr>
        <w:t>Legislativa</w:t>
      </w:r>
      <w:r w:rsidRPr="00381915">
        <w:rPr>
          <w:rFonts w:ascii="Book Antiqua" w:eastAsia="Times New Roman" w:hAnsi="Book Antiqua" w:cs="Times New Roman"/>
          <w:color w:val="000000"/>
          <w:kern w:val="0"/>
          <w:lang w:val="es-ES"/>
          <w14:ligatures w14:val="none"/>
        </w:rPr>
        <w:tab/>
      </w:r>
      <w:r w:rsidRPr="00381915">
        <w:rPr>
          <w:rFonts w:ascii="Book Antiqua" w:eastAsia="Times New Roman" w:hAnsi="Book Antiqua" w:cs="Times New Roman"/>
          <w:color w:val="000000"/>
          <w:kern w:val="0"/>
          <w:lang w:val="es-ES"/>
          <w14:ligatures w14:val="none"/>
        </w:rPr>
        <w:tab/>
      </w:r>
      <w:r w:rsidRPr="00381915">
        <w:rPr>
          <w:rFonts w:ascii="Book Antiqua" w:eastAsia="Times New Roman" w:hAnsi="Book Antiqua" w:cs="Times New Roman"/>
          <w:color w:val="000000"/>
          <w:kern w:val="0"/>
          <w:lang w:val="es-ES"/>
          <w14:ligatures w14:val="none"/>
        </w:rPr>
        <w:tab/>
      </w:r>
      <w:r w:rsidRPr="00381915">
        <w:rPr>
          <w:rFonts w:ascii="Book Antiqua" w:eastAsia="Times New Roman" w:hAnsi="Book Antiqua" w:cs="Times New Roman"/>
          <w:color w:val="000000"/>
          <w:kern w:val="0"/>
          <w:lang w:val="es-ES"/>
          <w14:ligatures w14:val="none"/>
        </w:rPr>
        <w:tab/>
      </w:r>
      <w:r w:rsidRPr="00381915">
        <w:rPr>
          <w:rFonts w:ascii="Book Antiqua" w:eastAsia="Times New Roman" w:hAnsi="Book Antiqua" w:cs="Times New Roman"/>
          <w:color w:val="000000"/>
          <w:kern w:val="0"/>
          <w:lang w:val="es-ES"/>
          <w14:ligatures w14:val="none"/>
        </w:rPr>
        <w:tab/>
      </w:r>
      <w:r w:rsidRPr="00381915">
        <w:rPr>
          <w:rFonts w:ascii="Book Antiqua" w:eastAsia="Times New Roman" w:hAnsi="Book Antiqua" w:cs="Times New Roman"/>
          <w:color w:val="000000"/>
          <w:kern w:val="0"/>
          <w:lang w:val="es-ES"/>
          <w14:ligatures w14:val="none"/>
        </w:rPr>
        <w:tab/>
      </w:r>
      <w:r w:rsidRPr="00381915">
        <w:rPr>
          <w:rFonts w:ascii="Book Antiqua" w:eastAsia="Times New Roman" w:hAnsi="Book Antiqua" w:cs="Times New Roman"/>
          <w:color w:val="000000"/>
          <w:kern w:val="0"/>
          <w:lang w:val="es-ES"/>
          <w14:ligatures w14:val="none"/>
        </w:rPr>
        <w:tab/>
      </w:r>
      <w:r w:rsidRPr="00381915">
        <w:rPr>
          <w:rFonts w:ascii="Book Antiqua" w:eastAsia="Times New Roman" w:hAnsi="Book Antiqua" w:cs="Times New Roman"/>
          <w:color w:val="000000"/>
          <w:kern w:val="0"/>
          <w:lang w:val="es-ES"/>
          <w14:ligatures w14:val="none"/>
        </w:rPr>
        <w:tab/>
        <w:t xml:space="preserve"> </w:t>
      </w:r>
      <w:r w:rsidR="000C5343" w:rsidRPr="00381915">
        <w:rPr>
          <w:rFonts w:ascii="Book Antiqua" w:eastAsia="Times New Roman" w:hAnsi="Book Antiqua" w:cs="Times New Roman"/>
          <w:color w:val="000000"/>
          <w:kern w:val="0"/>
          <w:lang w:val="es-ES"/>
          <w14:ligatures w14:val="none"/>
        </w:rPr>
        <w:t xml:space="preserve">           </w:t>
      </w:r>
      <w:r w:rsidRPr="00381915">
        <w:rPr>
          <w:rFonts w:ascii="Book Antiqua" w:eastAsia="Times New Roman" w:hAnsi="Book Antiqua" w:cs="Times New Roman"/>
          <w:color w:val="000000"/>
          <w:kern w:val="0"/>
          <w:lang w:val="es-ES"/>
          <w14:ligatures w14:val="none"/>
        </w:rPr>
        <w:t xml:space="preserve">Ordinaria </w:t>
      </w:r>
    </w:p>
    <w:p w14:paraId="29F090CC" w14:textId="77777777" w:rsidR="00A54AF0" w:rsidRPr="00381915" w:rsidRDefault="00A54AF0" w:rsidP="00A54AF0">
      <w:pPr>
        <w:spacing w:after="0" w:line="240" w:lineRule="auto"/>
        <w:jc w:val="center"/>
        <w:rPr>
          <w:rFonts w:ascii="Book Antiqua" w:eastAsia="Times New Roman" w:hAnsi="Book Antiqua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0CEF9C2F" w14:textId="77777777" w:rsidR="00A54AF0" w:rsidRPr="00381915" w:rsidRDefault="00A54AF0" w:rsidP="00A54AF0">
      <w:pPr>
        <w:spacing w:after="0" w:line="240" w:lineRule="auto"/>
        <w:jc w:val="center"/>
        <w:rPr>
          <w:rFonts w:ascii="Book Antiqua" w:eastAsia="Times New Roman" w:hAnsi="Book Antiqua" w:cs="Times New Roman"/>
          <w:b/>
          <w:bCs/>
          <w:color w:val="000000"/>
          <w:kern w:val="0"/>
          <w:sz w:val="36"/>
          <w:szCs w:val="36"/>
          <w14:ligatures w14:val="none"/>
        </w:rPr>
      </w:pPr>
    </w:p>
    <w:p w14:paraId="5F4761C8" w14:textId="77777777" w:rsidR="00A54AF0" w:rsidRPr="00381915" w:rsidRDefault="00A54AF0" w:rsidP="00A54AF0">
      <w:pPr>
        <w:spacing w:after="0" w:line="240" w:lineRule="auto"/>
        <w:jc w:val="center"/>
        <w:rPr>
          <w:rFonts w:ascii="Book Antiqua" w:eastAsia="Times New Roman" w:hAnsi="Book Antiqua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81915">
        <w:rPr>
          <w:rFonts w:ascii="Book Antiqua" w:eastAsia="Times New Roman" w:hAnsi="Book Antiqua" w:cs="Times New Roman"/>
          <w:b/>
          <w:bCs/>
          <w:color w:val="000000"/>
          <w:kern w:val="0"/>
          <w:sz w:val="36"/>
          <w:szCs w:val="36"/>
          <w14:ligatures w14:val="none"/>
        </w:rPr>
        <w:t>CÁMARA DE REPRESENTANTES</w:t>
      </w:r>
    </w:p>
    <w:p w14:paraId="507F2406" w14:textId="77777777" w:rsidR="00A54AF0" w:rsidRPr="00381915" w:rsidRDefault="00A54AF0" w:rsidP="00A54AF0">
      <w:pPr>
        <w:spacing w:after="0" w:line="240" w:lineRule="auto"/>
        <w:jc w:val="center"/>
        <w:rPr>
          <w:rFonts w:ascii="Book Antiqua" w:eastAsia="Times New Roman" w:hAnsi="Book Antiqua" w:cs="Times New Roman"/>
          <w:kern w:val="0"/>
          <w14:ligatures w14:val="none"/>
        </w:rPr>
      </w:pPr>
    </w:p>
    <w:p w14:paraId="3895E960" w14:textId="6CD845B3" w:rsidR="00A54AF0" w:rsidRPr="00381915" w:rsidRDefault="00A54AF0" w:rsidP="00A54AF0">
      <w:pPr>
        <w:spacing w:after="0" w:line="240" w:lineRule="auto"/>
        <w:jc w:val="center"/>
        <w:rPr>
          <w:rFonts w:ascii="Book Antiqua" w:eastAsia="Times New Roman" w:hAnsi="Book Antiqua" w:cs="Times New Roman"/>
          <w:b/>
          <w:kern w:val="0"/>
          <w:sz w:val="52"/>
          <w:szCs w:val="52"/>
          <w14:ligatures w14:val="none"/>
        </w:rPr>
      </w:pPr>
      <w:r w:rsidRPr="00381915">
        <w:rPr>
          <w:rFonts w:ascii="Book Antiqua" w:eastAsia="Times New Roman" w:hAnsi="Book Antiqua" w:cs="Times New Roman"/>
          <w:b/>
          <w:kern w:val="0"/>
          <w:sz w:val="52"/>
          <w:szCs w:val="52"/>
          <w14:ligatures w14:val="none"/>
        </w:rPr>
        <w:t>P. de la C. 15</w:t>
      </w:r>
      <w:r w:rsidR="00254045" w:rsidRPr="00381915">
        <w:rPr>
          <w:rFonts w:ascii="Book Antiqua" w:eastAsia="Times New Roman" w:hAnsi="Book Antiqua" w:cs="Times New Roman"/>
          <w:b/>
          <w:kern w:val="0"/>
          <w:sz w:val="52"/>
          <w:szCs w:val="52"/>
          <w14:ligatures w14:val="none"/>
        </w:rPr>
        <w:t>6</w:t>
      </w:r>
    </w:p>
    <w:p w14:paraId="6A26D0A1" w14:textId="77777777" w:rsidR="00A54AF0" w:rsidRPr="00381915" w:rsidRDefault="00A54AF0" w:rsidP="00A54AF0">
      <w:pPr>
        <w:keepNext/>
        <w:spacing w:before="240" w:after="0" w:line="240" w:lineRule="auto"/>
        <w:jc w:val="center"/>
        <w:outlineLvl w:val="0"/>
        <w:rPr>
          <w:rFonts w:ascii="Book Antiqua" w:eastAsia="Times New Roman" w:hAnsi="Book Antiqua" w:cs="Times New Roman"/>
          <w:b/>
          <w:bCs/>
          <w:color w:val="000000"/>
          <w:kern w:val="0"/>
          <w:sz w:val="28"/>
          <w:szCs w:val="28"/>
          <w:lang w:eastAsia="x-none"/>
          <w14:ligatures w14:val="none"/>
        </w:rPr>
      </w:pPr>
      <w:r w:rsidRPr="00381915">
        <w:rPr>
          <w:rFonts w:ascii="Book Antiqua" w:eastAsia="Times New Roman" w:hAnsi="Book Antiqua" w:cs="Times New Roman"/>
          <w:b/>
          <w:bCs/>
          <w:color w:val="000000"/>
          <w:kern w:val="0"/>
          <w:sz w:val="28"/>
          <w:szCs w:val="28"/>
          <w:lang w:eastAsia="x-none"/>
          <w14:ligatures w14:val="none"/>
        </w:rPr>
        <w:t>INFORME POSITIVO</w:t>
      </w:r>
    </w:p>
    <w:p w14:paraId="6E1E98A3" w14:textId="77777777" w:rsidR="00A54AF0" w:rsidRPr="00381915" w:rsidRDefault="00A54AF0" w:rsidP="00A54AF0">
      <w:pPr>
        <w:spacing w:after="0" w:line="240" w:lineRule="auto"/>
        <w:rPr>
          <w:rFonts w:ascii="Book Antiqua" w:eastAsia="Times New Roman" w:hAnsi="Book Antiqua" w:cs="Times New Roman"/>
          <w:bCs/>
          <w:color w:val="000000"/>
          <w:kern w:val="0"/>
          <w14:ligatures w14:val="none"/>
        </w:rPr>
      </w:pPr>
    </w:p>
    <w:p w14:paraId="26D2917D" w14:textId="4DCC1882" w:rsidR="00A54AF0" w:rsidRPr="00381915" w:rsidRDefault="00220D48" w:rsidP="00A54AF0">
      <w:pPr>
        <w:spacing w:after="0" w:line="240" w:lineRule="auto"/>
        <w:jc w:val="center"/>
        <w:rPr>
          <w:rFonts w:ascii="Book Antiqua" w:eastAsia="Times New Roman" w:hAnsi="Book Antiqua" w:cs="Times New Roman"/>
          <w:color w:val="000000"/>
          <w:kern w:val="0"/>
          <w14:ligatures w14:val="none"/>
        </w:rPr>
      </w:pPr>
      <w:r>
        <w:rPr>
          <w:rFonts w:ascii="Book Antiqua" w:eastAsia="Times New Roman" w:hAnsi="Book Antiqua" w:cs="Times New Roman"/>
          <w:bCs/>
          <w:color w:val="000000"/>
          <w:kern w:val="0"/>
          <w14:ligatures w14:val="none"/>
        </w:rPr>
        <w:t>18</w:t>
      </w:r>
      <w:r w:rsidR="00A54AF0" w:rsidRPr="00381915">
        <w:rPr>
          <w:rFonts w:ascii="Book Antiqua" w:eastAsia="Times New Roman" w:hAnsi="Book Antiqua" w:cs="Times New Roman"/>
          <w:bCs/>
          <w:color w:val="000000"/>
          <w:kern w:val="0"/>
          <w14:ligatures w14:val="none"/>
        </w:rPr>
        <w:t xml:space="preserve"> DE </w:t>
      </w:r>
      <w:r w:rsidR="00254045" w:rsidRPr="00381915">
        <w:rPr>
          <w:rFonts w:ascii="Book Antiqua" w:eastAsia="Times New Roman" w:hAnsi="Book Antiqua" w:cs="Times New Roman"/>
          <w:bCs/>
          <w:color w:val="000000"/>
          <w:kern w:val="0"/>
          <w14:ligatures w14:val="none"/>
        </w:rPr>
        <w:t>MARZO</w:t>
      </w:r>
      <w:r w:rsidR="00A54AF0" w:rsidRPr="00381915">
        <w:rPr>
          <w:rFonts w:ascii="Book Antiqua" w:eastAsia="Times New Roman" w:hAnsi="Book Antiqua" w:cs="Times New Roman"/>
          <w:bCs/>
          <w:color w:val="000000"/>
          <w:kern w:val="0"/>
          <w14:ligatures w14:val="none"/>
        </w:rPr>
        <w:t xml:space="preserve"> DE 2025</w:t>
      </w:r>
    </w:p>
    <w:p w14:paraId="77242E04" w14:textId="77777777" w:rsidR="00A54AF0" w:rsidRPr="00381915" w:rsidRDefault="00A54AF0" w:rsidP="00A54AF0">
      <w:pPr>
        <w:spacing w:after="0" w:line="240" w:lineRule="auto"/>
        <w:jc w:val="center"/>
        <w:rPr>
          <w:rFonts w:ascii="Book Antiqua" w:eastAsia="Times New Roman" w:hAnsi="Book Antiqua" w:cs="Times New Roman"/>
          <w:color w:val="000000"/>
          <w:kern w:val="0"/>
          <w14:ligatures w14:val="none"/>
        </w:rPr>
      </w:pPr>
    </w:p>
    <w:p w14:paraId="420645D7" w14:textId="77777777" w:rsidR="00A54AF0" w:rsidRPr="00381915" w:rsidRDefault="00A54AF0" w:rsidP="00A54AF0">
      <w:pPr>
        <w:spacing w:after="0" w:line="240" w:lineRule="auto"/>
        <w:rPr>
          <w:rFonts w:ascii="Book Antiqua" w:eastAsia="Times New Roman" w:hAnsi="Book Antiqua" w:cs="Times New Roman"/>
          <w:color w:val="000000"/>
          <w:kern w:val="0"/>
          <w14:ligatures w14:val="none"/>
        </w:rPr>
      </w:pPr>
    </w:p>
    <w:p w14:paraId="05B222A6" w14:textId="77777777" w:rsidR="00A54AF0" w:rsidRPr="00381915" w:rsidRDefault="00A54AF0" w:rsidP="00A54AF0">
      <w:pPr>
        <w:spacing w:after="0" w:line="240" w:lineRule="auto"/>
        <w:ind w:firstLine="720"/>
        <w:rPr>
          <w:rFonts w:ascii="Book Antiqua" w:eastAsia="Times New Roman" w:hAnsi="Book Antiqua" w:cs="Times New Roman"/>
          <w:b/>
          <w:bCs/>
          <w:kern w:val="0"/>
          <w14:ligatures w14:val="none"/>
        </w:rPr>
      </w:pPr>
      <w:r w:rsidRPr="00381915">
        <w:rPr>
          <w:rFonts w:ascii="Book Antiqua" w:eastAsia="Times New Roman" w:hAnsi="Book Antiqua" w:cs="Times New Roman"/>
          <w:b/>
          <w:bCs/>
          <w:kern w:val="0"/>
          <w14:ligatures w14:val="none"/>
        </w:rPr>
        <w:t>A LA CÁMARA DE REPRESENTANTES DE PUERTO RICO:</w:t>
      </w:r>
    </w:p>
    <w:p w14:paraId="1DE7F01B" w14:textId="77777777" w:rsidR="00A54AF0" w:rsidRPr="00381915" w:rsidRDefault="00A54AF0" w:rsidP="00A54AF0">
      <w:pPr>
        <w:spacing w:after="0" w:line="240" w:lineRule="auto"/>
        <w:rPr>
          <w:rFonts w:ascii="Book Antiqua" w:eastAsia="Times New Roman" w:hAnsi="Book Antiqua" w:cs="Times New Roman"/>
          <w:b/>
          <w:bCs/>
          <w:kern w:val="0"/>
          <w14:ligatures w14:val="none"/>
        </w:rPr>
      </w:pPr>
    </w:p>
    <w:p w14:paraId="65F2FF51" w14:textId="24A95A28" w:rsidR="00A54AF0" w:rsidRPr="00381915" w:rsidRDefault="00A54AF0" w:rsidP="00A54AF0">
      <w:pPr>
        <w:spacing w:after="0" w:line="276" w:lineRule="auto"/>
        <w:ind w:firstLine="720"/>
        <w:jc w:val="both"/>
        <w:rPr>
          <w:rFonts w:ascii="Book Antiqua" w:eastAsia="Times New Roman" w:hAnsi="Book Antiqua" w:cs="Times New Roman"/>
          <w:kern w:val="0"/>
          <w14:ligatures w14:val="none"/>
        </w:rPr>
      </w:pPr>
      <w:r w:rsidRPr="00381915">
        <w:rPr>
          <w:rFonts w:ascii="Book Antiqua" w:eastAsia="Times New Roman" w:hAnsi="Book Antiqua" w:cs="Times New Roman"/>
          <w:kern w:val="0"/>
          <w14:ligatures w14:val="none"/>
        </w:rPr>
        <w:t xml:space="preserve">La </w:t>
      </w:r>
      <w:r w:rsidRPr="00381915">
        <w:rPr>
          <w:rFonts w:ascii="Book Antiqua" w:eastAsia="Times New Roman" w:hAnsi="Book Antiqua" w:cs="Times New Roman"/>
          <w:i/>
          <w:iCs/>
          <w:kern w:val="0"/>
          <w:lang w:val="es-ES"/>
          <w14:ligatures w14:val="none"/>
        </w:rPr>
        <w:t>Comisión de Reorganización, Eficiencia y Diligencia</w:t>
      </w:r>
      <w:r w:rsidRPr="00381915">
        <w:rPr>
          <w:rFonts w:ascii="Book Antiqua" w:eastAsia="Times New Roman" w:hAnsi="Book Antiqua" w:cs="Times New Roman"/>
          <w:kern w:val="0"/>
          <w14:ligatures w14:val="none"/>
        </w:rPr>
        <w:t>, recomienda la aprobación del P. de la C. 15</w:t>
      </w:r>
      <w:r w:rsidR="00595FB9">
        <w:rPr>
          <w:rFonts w:ascii="Book Antiqua" w:eastAsia="Times New Roman" w:hAnsi="Book Antiqua" w:cs="Times New Roman"/>
          <w:kern w:val="0"/>
          <w14:ligatures w14:val="none"/>
        </w:rPr>
        <w:t>6</w:t>
      </w:r>
      <w:r w:rsidR="000C5343" w:rsidRPr="00381915">
        <w:rPr>
          <w:rFonts w:ascii="Book Antiqua" w:eastAsia="Times New Roman" w:hAnsi="Book Antiqua" w:cs="Times New Roman"/>
          <w:kern w:val="0"/>
          <w14:ligatures w14:val="none"/>
        </w:rPr>
        <w:t>,</w:t>
      </w:r>
      <w:r w:rsidRPr="00381915">
        <w:rPr>
          <w:rFonts w:ascii="Book Antiqua" w:eastAsia="Times New Roman" w:hAnsi="Book Antiqua" w:cs="Times New Roman"/>
          <w:kern w:val="0"/>
          <w14:ligatures w14:val="none"/>
        </w:rPr>
        <w:t xml:space="preserve"> </w:t>
      </w:r>
      <w:r w:rsidR="000C5343" w:rsidRPr="00381915">
        <w:rPr>
          <w:rFonts w:ascii="Book Antiqua" w:eastAsia="Times New Roman" w:hAnsi="Book Antiqua" w:cs="Times New Roman"/>
          <w:kern w:val="0"/>
          <w14:ligatures w14:val="none"/>
        </w:rPr>
        <w:t>sin enmiendas,</w:t>
      </w:r>
    </w:p>
    <w:p w14:paraId="3639B984" w14:textId="77777777" w:rsidR="00A54AF0" w:rsidRPr="00381915" w:rsidRDefault="00A54AF0" w:rsidP="00A54AF0">
      <w:pPr>
        <w:spacing w:after="0" w:line="240" w:lineRule="auto"/>
        <w:jc w:val="both"/>
        <w:rPr>
          <w:rFonts w:ascii="Book Antiqua" w:eastAsia="Times New Roman" w:hAnsi="Book Antiqua" w:cs="Times New Roman"/>
          <w:kern w:val="0"/>
          <w14:ligatures w14:val="none"/>
        </w:rPr>
      </w:pPr>
    </w:p>
    <w:p w14:paraId="5F8ED6CA" w14:textId="77777777" w:rsidR="00A54AF0" w:rsidRPr="00381915" w:rsidRDefault="00A54AF0" w:rsidP="00A54AF0">
      <w:pPr>
        <w:keepNext/>
        <w:spacing w:after="0" w:line="240" w:lineRule="auto"/>
        <w:ind w:left="2160" w:firstLine="720"/>
        <w:jc w:val="both"/>
        <w:outlineLvl w:val="1"/>
        <w:rPr>
          <w:rFonts w:ascii="Book Antiqua" w:eastAsia="Times New Roman" w:hAnsi="Book Antiqua" w:cs="Times New Roman"/>
          <w:b/>
          <w:bCs/>
          <w:kern w:val="0"/>
          <w:lang w:eastAsia="x-none"/>
          <w14:ligatures w14:val="none"/>
        </w:rPr>
      </w:pPr>
      <w:r w:rsidRPr="00381915">
        <w:rPr>
          <w:rFonts w:ascii="Book Antiqua" w:eastAsia="Times New Roman" w:hAnsi="Book Antiqua" w:cs="Times New Roman"/>
          <w:b/>
          <w:bCs/>
          <w:kern w:val="0"/>
          <w:lang w:eastAsia="x-none"/>
          <w14:ligatures w14:val="none"/>
        </w:rPr>
        <w:t>ALCANCE DE LA MEDIDA</w:t>
      </w:r>
    </w:p>
    <w:p w14:paraId="05D2FB6C" w14:textId="77777777" w:rsidR="00A54AF0" w:rsidRPr="00381915" w:rsidRDefault="00A54AF0" w:rsidP="00A54AF0">
      <w:pPr>
        <w:spacing w:after="0" w:line="240" w:lineRule="auto"/>
        <w:rPr>
          <w:rFonts w:ascii="Book Antiqua" w:eastAsia="Times New Roman" w:hAnsi="Book Antiqua" w:cs="Times New Roman"/>
          <w:kern w:val="0"/>
          <w:lang w:eastAsia="x-none"/>
          <w14:ligatures w14:val="none"/>
        </w:rPr>
      </w:pPr>
    </w:p>
    <w:p w14:paraId="59170590" w14:textId="7BDD4D5E" w:rsidR="00A54AF0" w:rsidRPr="00381915" w:rsidRDefault="00254045" w:rsidP="003A1460">
      <w:pPr>
        <w:ind w:left="1260" w:right="720" w:hanging="540"/>
        <w:jc w:val="both"/>
        <w:rPr>
          <w:rFonts w:ascii="Book Antiqua" w:hAnsi="Book Antiqua"/>
          <w:lang w:val="es-ES_tradnl"/>
        </w:rPr>
      </w:pPr>
      <w:r w:rsidRPr="00381915">
        <w:rPr>
          <w:rFonts w:ascii="Book Antiqua" w:hAnsi="Book Antiqua"/>
          <w:lang w:val="es-ES_tradnl"/>
        </w:rPr>
        <w:t>Para derogar la Ley 209-2004, conocida como “Ley de la Corporación para la Revitalización de los Centros Urbanos y Áreas Urbanas”, la cual se creó con los propósitos principales de diseñar, tramitar, coordinar e implantar de manera ordenada, planes y mecanismos para la Revitalización de los Centros Urbanos, Áreas Urbanas y Áreas Especiales de Desarrollo Urbano establecidas en los Planes de Uso de Terrenos de la Junta de Planificación o los Planes Territoriales municipales, según sea el caso, por medio del proceso de adquisición de terrenos, inclusive por el método de expropiación forzosa, la emisión de solicitudes y adjudicación de propuestas de desarrollo de éstos, el desarrollo en conjunto de propiedades entre el sector público y privado, y la asistencia y participación en la obtención de las facilidades de financiamiento necesarias para dichos proyectos, por ser esta Ley obsoleta e inoficiosa.</w:t>
      </w:r>
      <w:r w:rsidRPr="00381915">
        <w:rPr>
          <w:rFonts w:ascii="Book Antiqua" w:hAnsi="Book Antiqua"/>
        </w:rPr>
        <w:t xml:space="preserve"> </w:t>
      </w:r>
      <w:r w:rsidRPr="00381915">
        <w:rPr>
          <w:rFonts w:ascii="Book Antiqua" w:hAnsi="Book Antiqua"/>
          <w:lang w:val="es-ES_tradnl"/>
        </w:rPr>
        <w:t xml:space="preserve"> </w:t>
      </w:r>
    </w:p>
    <w:p w14:paraId="633D576D" w14:textId="77777777" w:rsidR="00A54AF0" w:rsidRPr="00381915" w:rsidRDefault="00A54AF0" w:rsidP="00A54AF0">
      <w:pPr>
        <w:spacing w:after="0" w:line="240" w:lineRule="auto"/>
        <w:jc w:val="center"/>
        <w:rPr>
          <w:rFonts w:ascii="Book Antiqua" w:eastAsia="Times New Roman" w:hAnsi="Book Antiqua" w:cs="Times New Roman"/>
          <w:b/>
          <w:bCs/>
          <w:kern w:val="0"/>
          <w14:ligatures w14:val="none"/>
        </w:rPr>
      </w:pPr>
      <w:r w:rsidRPr="00381915">
        <w:rPr>
          <w:rFonts w:ascii="Book Antiqua" w:eastAsia="Times New Roman" w:hAnsi="Book Antiqua" w:cs="Times New Roman"/>
          <w:b/>
          <w:bCs/>
          <w:kern w:val="0"/>
          <w14:ligatures w14:val="none"/>
        </w:rPr>
        <w:lastRenderedPageBreak/>
        <w:t>INTRODUCCIÓN</w:t>
      </w:r>
    </w:p>
    <w:p w14:paraId="434FE2F0" w14:textId="77777777" w:rsidR="00A54AF0" w:rsidRPr="00381915" w:rsidRDefault="00A54AF0" w:rsidP="00A54AF0">
      <w:pPr>
        <w:spacing w:after="0" w:line="240" w:lineRule="auto"/>
        <w:rPr>
          <w:rFonts w:ascii="Book Antiqua" w:eastAsia="Times New Roman" w:hAnsi="Book Antiqua" w:cs="Times New Roman"/>
          <w:kern w:val="0"/>
          <w14:ligatures w14:val="none"/>
        </w:rPr>
      </w:pPr>
    </w:p>
    <w:p w14:paraId="003C0386" w14:textId="21A6176C" w:rsidR="00133655" w:rsidRPr="00381915" w:rsidRDefault="000C5343" w:rsidP="00647DED">
      <w:pPr>
        <w:spacing w:after="0" w:line="240" w:lineRule="auto"/>
        <w:ind w:firstLine="360"/>
        <w:jc w:val="both"/>
        <w:rPr>
          <w:rFonts w:ascii="Book Antiqua" w:eastAsia="Times New Roman" w:hAnsi="Book Antiqua" w:cs="Times New Roman"/>
          <w:kern w:val="0"/>
          <w:lang w:val="es-ES_tradnl"/>
          <w14:ligatures w14:val="none"/>
        </w:rPr>
      </w:pPr>
      <w:r w:rsidRPr="00381915">
        <w:rPr>
          <w:rFonts w:ascii="Book Antiqua" w:eastAsia="Times New Roman" w:hAnsi="Book Antiqua" w:cs="Times New Roman"/>
          <w:kern w:val="0"/>
          <w:lang w:val="es-ES_tradnl"/>
          <w14:ligatures w14:val="none"/>
        </w:rPr>
        <w:t>El P. de la C. 15</w:t>
      </w:r>
      <w:r w:rsidR="00254045" w:rsidRPr="00381915">
        <w:rPr>
          <w:rFonts w:ascii="Book Antiqua" w:eastAsia="Times New Roman" w:hAnsi="Book Antiqua" w:cs="Times New Roman"/>
          <w:kern w:val="0"/>
          <w:lang w:val="es-ES_tradnl"/>
          <w14:ligatures w14:val="none"/>
        </w:rPr>
        <w:t>6</w:t>
      </w:r>
      <w:r w:rsidRPr="00381915">
        <w:rPr>
          <w:rFonts w:ascii="Book Antiqua" w:eastAsia="Times New Roman" w:hAnsi="Book Antiqua" w:cs="Times New Roman"/>
          <w:kern w:val="0"/>
          <w:lang w:val="es-ES_tradnl"/>
          <w14:ligatures w14:val="none"/>
        </w:rPr>
        <w:t xml:space="preserve"> propone derogar la Ley Núm. </w:t>
      </w:r>
      <w:r w:rsidR="00254045" w:rsidRPr="00381915">
        <w:rPr>
          <w:rFonts w:ascii="Book Antiqua" w:eastAsia="Times New Roman" w:hAnsi="Book Antiqua" w:cs="Times New Roman"/>
          <w:kern w:val="0"/>
          <w:lang w:val="es-ES_tradnl"/>
          <w14:ligatures w14:val="none"/>
        </w:rPr>
        <w:t xml:space="preserve">209-2004, </w:t>
      </w:r>
      <w:r w:rsidR="00254045" w:rsidRPr="00381915">
        <w:rPr>
          <w:rFonts w:ascii="Book Antiqua" w:eastAsia="Times New Roman" w:hAnsi="Book Antiqua" w:cs="Times New Roman"/>
          <w:i/>
          <w:iCs/>
          <w:kern w:val="0"/>
          <w:lang w:val="es-ES_tradnl"/>
          <w14:ligatures w14:val="none"/>
        </w:rPr>
        <w:t>supra</w:t>
      </w:r>
      <w:r w:rsidR="00254045" w:rsidRPr="00381915">
        <w:rPr>
          <w:rFonts w:ascii="Book Antiqua" w:eastAsia="Times New Roman" w:hAnsi="Book Antiqua" w:cs="Times New Roman"/>
          <w:kern w:val="0"/>
          <w:lang w:val="es-ES_tradnl"/>
          <w14:ligatures w14:val="none"/>
        </w:rPr>
        <w:t xml:space="preserve">, fundamentado en el </w:t>
      </w:r>
      <w:r w:rsidR="006A5396" w:rsidRPr="00381915">
        <w:rPr>
          <w:rFonts w:ascii="Book Antiqua" w:eastAsia="Times New Roman" w:hAnsi="Book Antiqua" w:cs="Times New Roman"/>
          <w:kern w:val="0"/>
          <w:lang w:val="es-ES_tradnl"/>
          <w14:ligatures w14:val="none"/>
        </w:rPr>
        <w:t xml:space="preserve">en que ésta surgió como secuela de la Ley Núm. 212-2002, </w:t>
      </w:r>
      <w:r w:rsidR="006A5396" w:rsidRPr="00381915">
        <w:rPr>
          <w:rFonts w:ascii="Book Antiqua" w:eastAsia="Times New Roman" w:hAnsi="Book Antiqua" w:cs="Times New Roman"/>
          <w:i/>
          <w:iCs/>
          <w:kern w:val="0"/>
          <w:lang w:val="es-ES_tradnl"/>
          <w14:ligatures w14:val="none"/>
        </w:rPr>
        <w:t>según enmendada</w:t>
      </w:r>
      <w:r w:rsidR="006A5396" w:rsidRPr="00381915">
        <w:rPr>
          <w:rFonts w:ascii="Book Antiqua" w:eastAsia="Times New Roman" w:hAnsi="Book Antiqua" w:cs="Times New Roman"/>
          <w:kern w:val="0"/>
          <w:lang w:val="es-ES_tradnl"/>
          <w14:ligatures w14:val="none"/>
        </w:rPr>
        <w:t>, conocida como “Ley de Revitalización de los Centros Urbanos”, la cual fue</w:t>
      </w:r>
      <w:r w:rsidR="00133655" w:rsidRPr="00381915">
        <w:rPr>
          <w:rFonts w:ascii="Book Antiqua" w:eastAsia="Times New Roman" w:hAnsi="Book Antiqua" w:cs="Times New Roman"/>
          <w:kern w:val="0"/>
          <w:lang w:val="es-ES_tradnl"/>
          <w14:ligatures w14:val="none"/>
        </w:rPr>
        <w:t xml:space="preserve"> expresamente</w:t>
      </w:r>
      <w:r w:rsidR="006A5396" w:rsidRPr="00381915">
        <w:rPr>
          <w:rFonts w:ascii="Book Antiqua" w:eastAsia="Times New Roman" w:hAnsi="Book Antiqua" w:cs="Times New Roman"/>
          <w:kern w:val="0"/>
          <w:lang w:val="es-ES_tradnl"/>
          <w14:ligatures w14:val="none"/>
        </w:rPr>
        <w:t xml:space="preserve"> derogada por la Ley Núm. 40-2020</w:t>
      </w:r>
      <w:r w:rsidR="00133655" w:rsidRPr="00381915">
        <w:rPr>
          <w:rStyle w:val="FootnoteReference"/>
          <w:rFonts w:ascii="Book Antiqua" w:eastAsia="Times New Roman" w:hAnsi="Book Antiqua"/>
          <w:kern w:val="0"/>
          <w:lang w:val="es-ES_tradnl"/>
          <w14:ligatures w14:val="none"/>
        </w:rPr>
        <w:footnoteReference w:id="1"/>
      </w:r>
      <w:r w:rsidR="006A5396" w:rsidRPr="00381915">
        <w:rPr>
          <w:rFonts w:ascii="Book Antiqua" w:eastAsia="Times New Roman" w:hAnsi="Book Antiqua" w:cs="Times New Roman"/>
          <w:kern w:val="0"/>
          <w:lang w:val="es-ES_tradnl"/>
          <w14:ligatures w14:val="none"/>
        </w:rPr>
        <w:t xml:space="preserve">. </w:t>
      </w:r>
      <w:r w:rsidR="00133655" w:rsidRPr="00381915">
        <w:rPr>
          <w:rFonts w:ascii="Book Antiqua" w:eastAsia="Times New Roman" w:hAnsi="Book Antiqua" w:cs="Times New Roman"/>
          <w:kern w:val="0"/>
          <w:lang w:val="es-ES_tradnl"/>
          <w14:ligatures w14:val="none"/>
        </w:rPr>
        <w:t xml:space="preserve">Ello </w:t>
      </w:r>
      <w:bookmarkStart w:id="0" w:name="_Hlk192001740"/>
      <w:r w:rsidR="00133655" w:rsidRPr="00381915">
        <w:rPr>
          <w:rFonts w:ascii="Book Antiqua" w:eastAsia="Times New Roman" w:hAnsi="Book Antiqua" w:cs="Times New Roman"/>
          <w:kern w:val="0"/>
          <w:lang w:val="es-ES_tradnl"/>
          <w14:ligatures w14:val="none"/>
        </w:rPr>
        <w:t>amparado en que no hace sentido mantener vigente una Ley creada al amparo de una “política pública promulgada al amparo de una ley derogada”</w:t>
      </w:r>
      <w:r w:rsidR="00133655" w:rsidRPr="00381915">
        <w:rPr>
          <w:rStyle w:val="FootnoteReference"/>
          <w:rFonts w:ascii="Book Antiqua" w:eastAsia="Times New Roman" w:hAnsi="Book Antiqua"/>
          <w:kern w:val="0"/>
          <w:lang w:val="es-ES_tradnl"/>
          <w14:ligatures w14:val="none"/>
        </w:rPr>
        <w:footnoteReference w:id="2"/>
      </w:r>
      <w:r w:rsidR="00133655" w:rsidRPr="00381915">
        <w:rPr>
          <w:rFonts w:ascii="Book Antiqua" w:eastAsia="Times New Roman" w:hAnsi="Book Antiqua" w:cs="Times New Roman"/>
          <w:kern w:val="0"/>
          <w:lang w:val="es-ES_tradnl"/>
          <w14:ligatures w14:val="none"/>
        </w:rPr>
        <w:t xml:space="preserve"> y cuyo impacto al erario era de un retorno de inversión de negativo setent</w:t>
      </w:r>
      <w:r w:rsidR="005F6F00" w:rsidRPr="00381915">
        <w:rPr>
          <w:rFonts w:ascii="Book Antiqua" w:eastAsia="Times New Roman" w:hAnsi="Book Antiqua" w:cs="Times New Roman"/>
          <w:kern w:val="0"/>
          <w:lang w:val="es-ES_tradnl"/>
          <w14:ligatures w14:val="none"/>
        </w:rPr>
        <w:t>a</w:t>
      </w:r>
      <w:r w:rsidR="00133655" w:rsidRPr="00381915">
        <w:rPr>
          <w:rFonts w:ascii="Book Antiqua" w:eastAsia="Times New Roman" w:hAnsi="Book Antiqua" w:cs="Times New Roman"/>
          <w:kern w:val="0"/>
          <w:lang w:val="es-ES_tradnl"/>
          <w14:ligatures w14:val="none"/>
        </w:rPr>
        <w:t xml:space="preserve"> y ocho </w:t>
      </w:r>
      <w:r w:rsidR="003A1460" w:rsidRPr="00381915">
        <w:rPr>
          <w:rFonts w:ascii="Book Antiqua" w:eastAsia="Times New Roman" w:hAnsi="Book Antiqua" w:cs="Times New Roman"/>
          <w:kern w:val="0"/>
          <w:lang w:val="es-ES_tradnl"/>
          <w14:ligatures w14:val="none"/>
        </w:rPr>
        <w:t>por ciento</w:t>
      </w:r>
      <w:r w:rsidR="00133655" w:rsidRPr="00381915">
        <w:rPr>
          <w:rFonts w:ascii="Book Antiqua" w:eastAsia="Times New Roman" w:hAnsi="Book Antiqua" w:cs="Times New Roman"/>
          <w:kern w:val="0"/>
          <w:lang w:val="es-ES_tradnl"/>
          <w14:ligatures w14:val="none"/>
        </w:rPr>
        <w:t xml:space="preserve"> (78%)</w:t>
      </w:r>
      <w:r w:rsidR="00133655" w:rsidRPr="00381915">
        <w:rPr>
          <w:rStyle w:val="FootnoteReference"/>
          <w:rFonts w:ascii="Book Antiqua" w:eastAsia="Times New Roman" w:hAnsi="Book Antiqua"/>
          <w:kern w:val="0"/>
          <w:lang w:val="es-ES_tradnl"/>
          <w14:ligatures w14:val="none"/>
        </w:rPr>
        <w:footnoteReference w:id="3"/>
      </w:r>
      <w:r w:rsidR="00133655" w:rsidRPr="00381915">
        <w:rPr>
          <w:rFonts w:ascii="Book Antiqua" w:eastAsia="Times New Roman" w:hAnsi="Book Antiqua" w:cs="Times New Roman"/>
          <w:kern w:val="0"/>
          <w:lang w:val="es-ES_tradnl"/>
          <w14:ligatures w14:val="none"/>
        </w:rPr>
        <w:t>.</w:t>
      </w:r>
      <w:bookmarkEnd w:id="0"/>
    </w:p>
    <w:p w14:paraId="5C78D861" w14:textId="77777777" w:rsidR="00133655" w:rsidRPr="00381915" w:rsidRDefault="00133655" w:rsidP="00647DED">
      <w:pPr>
        <w:spacing w:after="0" w:line="240" w:lineRule="auto"/>
        <w:ind w:firstLine="360"/>
        <w:jc w:val="both"/>
        <w:rPr>
          <w:rFonts w:ascii="Book Antiqua" w:eastAsia="Times New Roman" w:hAnsi="Book Antiqua" w:cs="Times New Roman"/>
          <w:kern w:val="0"/>
          <w:lang w:val="es-ES_tradnl"/>
          <w14:ligatures w14:val="none"/>
        </w:rPr>
      </w:pPr>
    </w:p>
    <w:p w14:paraId="002CEC0D" w14:textId="2F9E60DE" w:rsidR="00A54AF0" w:rsidRPr="00381915" w:rsidRDefault="00A54AF0" w:rsidP="00114076">
      <w:pPr>
        <w:spacing w:after="0" w:line="240" w:lineRule="auto"/>
        <w:ind w:firstLine="360"/>
        <w:jc w:val="both"/>
        <w:rPr>
          <w:rFonts w:ascii="Book Antiqua" w:eastAsia="Times New Roman" w:hAnsi="Book Antiqua" w:cs="Times New Roman"/>
          <w:kern w:val="0"/>
          <w:lang w:val="es-ES_tradnl"/>
          <w14:ligatures w14:val="none"/>
        </w:rPr>
      </w:pPr>
      <w:r w:rsidRPr="00381915">
        <w:rPr>
          <w:rFonts w:ascii="Book Antiqua" w:eastAsia="Times New Roman" w:hAnsi="Book Antiqua" w:cs="Times New Roman"/>
          <w:kern w:val="0"/>
          <w:lang w:val="es-ES_tradnl"/>
          <w14:ligatures w14:val="none"/>
        </w:rPr>
        <w:t>Referido el asunto a la</w:t>
      </w:r>
      <w:r w:rsidR="000C5343" w:rsidRPr="00381915">
        <w:rPr>
          <w:rFonts w:ascii="Book Antiqua" w:eastAsia="Times New Roman" w:hAnsi="Book Antiqua" w:cs="Times New Roman"/>
          <w:kern w:val="0"/>
          <w:lang w:val="es-ES_tradnl"/>
          <w14:ligatures w14:val="none"/>
        </w:rPr>
        <w:t xml:space="preserve"> </w:t>
      </w:r>
      <w:r w:rsidR="000C5343" w:rsidRPr="00381915">
        <w:rPr>
          <w:rFonts w:ascii="Book Antiqua" w:eastAsia="Times New Roman" w:hAnsi="Book Antiqua" w:cs="Times New Roman"/>
          <w:i/>
          <w:iCs/>
          <w:kern w:val="0"/>
          <w:lang w:val="es-ES_tradnl"/>
          <w14:ligatures w14:val="none"/>
        </w:rPr>
        <w:t>Comisión de Reorganización, Eficiencia y Diligencia</w:t>
      </w:r>
      <w:r w:rsidRPr="00381915">
        <w:rPr>
          <w:rFonts w:ascii="Book Antiqua" w:eastAsia="Times New Roman" w:hAnsi="Book Antiqua" w:cs="Times New Roman"/>
          <w:kern w:val="0"/>
          <w:lang w:val="es-ES_tradnl"/>
          <w14:ligatures w14:val="none"/>
        </w:rPr>
        <w:t xml:space="preserve"> </w:t>
      </w:r>
      <w:r w:rsidR="000C5343" w:rsidRPr="00381915">
        <w:rPr>
          <w:rFonts w:ascii="Book Antiqua" w:eastAsia="Times New Roman" w:hAnsi="Book Antiqua" w:cs="Times New Roman"/>
          <w:i/>
          <w:iCs/>
          <w:kern w:val="0"/>
          <w:lang w:val="es-ES_tradnl"/>
          <w14:ligatures w14:val="none"/>
        </w:rPr>
        <w:t>(</w:t>
      </w:r>
      <w:r w:rsidRPr="00381915">
        <w:rPr>
          <w:rFonts w:ascii="Book Antiqua" w:eastAsia="Times New Roman" w:hAnsi="Book Antiqua" w:cs="Times New Roman"/>
          <w:i/>
          <w:iCs/>
          <w:kern w:val="0"/>
          <w:lang w:val="es-ES_tradnl"/>
          <w14:ligatures w14:val="none"/>
        </w:rPr>
        <w:t>CRED</w:t>
      </w:r>
      <w:r w:rsidR="000C5343" w:rsidRPr="00381915">
        <w:rPr>
          <w:rFonts w:ascii="Book Antiqua" w:eastAsia="Times New Roman" w:hAnsi="Book Antiqua" w:cs="Times New Roman"/>
          <w:kern w:val="0"/>
          <w:lang w:val="es-ES_tradnl"/>
          <w14:ligatures w14:val="none"/>
        </w:rPr>
        <w:t>)</w:t>
      </w:r>
      <w:r w:rsidRPr="00381915">
        <w:rPr>
          <w:rFonts w:ascii="Book Antiqua" w:eastAsia="Times New Roman" w:hAnsi="Book Antiqua" w:cs="Times New Roman"/>
          <w:kern w:val="0"/>
          <w:lang w:val="es-ES_tradnl"/>
          <w14:ligatures w14:val="none"/>
        </w:rPr>
        <w:t xml:space="preserve">, remitimos </w:t>
      </w:r>
      <w:r w:rsidR="00D12BCF" w:rsidRPr="00381915">
        <w:rPr>
          <w:rFonts w:ascii="Book Antiqua" w:eastAsia="Times New Roman" w:hAnsi="Book Antiqua" w:cs="Times New Roman"/>
          <w:kern w:val="0"/>
          <w:lang w:val="es-ES_tradnl"/>
          <w14:ligatures w14:val="none"/>
        </w:rPr>
        <w:t xml:space="preserve">una solicitud de </w:t>
      </w:r>
      <w:r w:rsidR="00D12BCF" w:rsidRPr="00381915">
        <w:rPr>
          <w:rFonts w:ascii="Book Antiqua" w:eastAsia="Times New Roman" w:hAnsi="Book Antiqua" w:cs="Times New Roman"/>
          <w:i/>
          <w:iCs/>
          <w:kern w:val="0"/>
          <w:lang w:val="es-ES_tradnl"/>
          <w14:ligatures w14:val="none"/>
        </w:rPr>
        <w:t>Memorial Explicativo</w:t>
      </w:r>
      <w:r w:rsidR="00D12BCF" w:rsidRPr="00381915">
        <w:rPr>
          <w:rFonts w:ascii="Book Antiqua" w:eastAsia="Times New Roman" w:hAnsi="Book Antiqua" w:cs="Times New Roman"/>
          <w:kern w:val="0"/>
          <w:lang w:val="es-ES_tradnl"/>
          <w14:ligatures w14:val="none"/>
        </w:rPr>
        <w:t xml:space="preserve"> al Departamento de la Viviend</w:t>
      </w:r>
      <w:r w:rsidR="005F6F00" w:rsidRPr="00381915">
        <w:rPr>
          <w:rFonts w:ascii="Book Antiqua" w:eastAsia="Times New Roman" w:hAnsi="Book Antiqua" w:cs="Times New Roman"/>
          <w:kern w:val="0"/>
          <w:lang w:val="es-ES_tradnl"/>
          <w14:ligatures w14:val="none"/>
        </w:rPr>
        <w:t xml:space="preserve">a, </w:t>
      </w:r>
      <w:r w:rsidR="003A1460" w:rsidRPr="00381915">
        <w:rPr>
          <w:rFonts w:ascii="Book Antiqua" w:eastAsia="Times New Roman" w:hAnsi="Book Antiqua" w:cs="Times New Roman"/>
          <w:kern w:val="0"/>
          <w:lang w:val="es-ES_tradnl"/>
          <w14:ligatures w14:val="none"/>
        </w:rPr>
        <w:t xml:space="preserve">el cual se presentó el 26 de febrero de 2025. </w:t>
      </w:r>
    </w:p>
    <w:p w14:paraId="3F2425E8" w14:textId="77777777" w:rsidR="00114076" w:rsidRPr="00381915" w:rsidRDefault="00114076" w:rsidP="00114076">
      <w:pPr>
        <w:spacing w:after="0" w:line="240" w:lineRule="auto"/>
        <w:ind w:firstLine="360"/>
        <w:jc w:val="both"/>
        <w:rPr>
          <w:rFonts w:ascii="Book Antiqua" w:eastAsia="Times New Roman" w:hAnsi="Book Antiqua" w:cs="Times New Roman"/>
          <w:kern w:val="0"/>
          <w:lang w:val="es-ES_tradnl"/>
          <w14:ligatures w14:val="none"/>
        </w:rPr>
      </w:pPr>
    </w:p>
    <w:p w14:paraId="6D3F4264" w14:textId="7B51B0DB" w:rsidR="00A54AF0" w:rsidRPr="00381915" w:rsidRDefault="00647DED" w:rsidP="00A54AF0">
      <w:pPr>
        <w:spacing w:after="0" w:line="240" w:lineRule="auto"/>
        <w:jc w:val="center"/>
        <w:rPr>
          <w:rFonts w:ascii="Book Antiqua" w:eastAsia="Times New Roman" w:hAnsi="Book Antiqua" w:cs="Times New Roman"/>
          <w:b/>
          <w:kern w:val="0"/>
          <w14:ligatures w14:val="none"/>
        </w:rPr>
      </w:pPr>
      <w:r w:rsidRPr="00381915">
        <w:rPr>
          <w:rFonts w:ascii="Book Antiqua" w:eastAsia="Times New Roman" w:hAnsi="Book Antiqua" w:cs="Times New Roman"/>
          <w:b/>
          <w:kern w:val="0"/>
          <w14:ligatures w14:val="none"/>
        </w:rPr>
        <w:t xml:space="preserve">PONENCIAS O </w:t>
      </w:r>
      <w:r w:rsidR="00A54AF0" w:rsidRPr="00381915">
        <w:rPr>
          <w:rFonts w:ascii="Book Antiqua" w:eastAsia="Times New Roman" w:hAnsi="Book Antiqua" w:cs="Times New Roman"/>
          <w:b/>
          <w:kern w:val="0"/>
          <w14:ligatures w14:val="none"/>
        </w:rPr>
        <w:t>MEMORIALES RECIBID</w:t>
      </w:r>
      <w:r w:rsidRPr="00381915">
        <w:rPr>
          <w:rFonts w:ascii="Book Antiqua" w:eastAsia="Times New Roman" w:hAnsi="Book Antiqua" w:cs="Times New Roman"/>
          <w:b/>
          <w:kern w:val="0"/>
          <w14:ligatures w14:val="none"/>
        </w:rPr>
        <w:t>O</w:t>
      </w:r>
      <w:r w:rsidR="00A54AF0" w:rsidRPr="00381915">
        <w:rPr>
          <w:rFonts w:ascii="Book Antiqua" w:eastAsia="Times New Roman" w:hAnsi="Book Antiqua" w:cs="Times New Roman"/>
          <w:b/>
          <w:kern w:val="0"/>
          <w14:ligatures w14:val="none"/>
        </w:rPr>
        <w:t>S</w:t>
      </w:r>
    </w:p>
    <w:p w14:paraId="2EE2EDEA" w14:textId="77777777" w:rsidR="00A54AF0" w:rsidRPr="00381915" w:rsidRDefault="00A54AF0" w:rsidP="00A54AF0">
      <w:pPr>
        <w:spacing w:after="0" w:line="240" w:lineRule="auto"/>
        <w:jc w:val="center"/>
        <w:rPr>
          <w:rFonts w:ascii="Book Antiqua" w:eastAsia="Times New Roman" w:hAnsi="Book Antiqua" w:cs="Times New Roman"/>
          <w:b/>
          <w:kern w:val="0"/>
          <w14:ligatures w14:val="none"/>
        </w:rPr>
      </w:pPr>
    </w:p>
    <w:p w14:paraId="52CDFFF3" w14:textId="77777777" w:rsidR="00A54AF0" w:rsidRPr="00381915" w:rsidRDefault="00A54AF0" w:rsidP="00A54AF0">
      <w:pPr>
        <w:numPr>
          <w:ilvl w:val="0"/>
          <w:numId w:val="2"/>
        </w:numPr>
        <w:spacing w:after="200" w:line="276" w:lineRule="auto"/>
        <w:contextualSpacing/>
        <w:jc w:val="center"/>
        <w:rPr>
          <w:rFonts w:ascii="Book Antiqua" w:eastAsia="Times New Roman" w:hAnsi="Book Antiqua" w:cs="Times New Roman"/>
          <w:bCs/>
          <w:kern w:val="0"/>
          <w:sz w:val="22"/>
          <w:szCs w:val="22"/>
          <w14:ligatures w14:val="none"/>
        </w:rPr>
      </w:pPr>
      <w:r w:rsidRPr="00381915">
        <w:rPr>
          <w:rFonts w:ascii="Book Antiqua" w:eastAsia="Times New Roman" w:hAnsi="Book Antiqua" w:cs="Times New Roman"/>
          <w:bCs/>
          <w:kern w:val="0"/>
          <w:sz w:val="22"/>
          <w:szCs w:val="22"/>
          <w14:ligatures w14:val="none"/>
        </w:rPr>
        <w:t>Memoriales Explicativos</w:t>
      </w:r>
    </w:p>
    <w:p w14:paraId="43E0F43B" w14:textId="77777777" w:rsidR="00A54AF0" w:rsidRPr="00381915" w:rsidRDefault="00A54AF0" w:rsidP="00A54AF0">
      <w:pPr>
        <w:spacing w:after="200" w:line="276" w:lineRule="auto"/>
        <w:ind w:left="720"/>
        <w:contextualSpacing/>
        <w:rPr>
          <w:rFonts w:ascii="Book Antiqua" w:eastAsia="Times New Roman" w:hAnsi="Book Antiqua" w:cs="Times New Roman"/>
          <w:bCs/>
          <w:kern w:val="0"/>
          <w:sz w:val="22"/>
          <w:szCs w:val="22"/>
          <w14:ligatures w14:val="none"/>
        </w:rPr>
      </w:pPr>
    </w:p>
    <w:p w14:paraId="280644F1" w14:textId="2766A587" w:rsidR="00A54AF0" w:rsidRPr="00381915" w:rsidRDefault="003A1460" w:rsidP="00A54AF0">
      <w:pPr>
        <w:numPr>
          <w:ilvl w:val="0"/>
          <w:numId w:val="1"/>
        </w:numPr>
        <w:spacing w:after="200" w:line="276" w:lineRule="auto"/>
        <w:contextualSpacing/>
        <w:jc w:val="center"/>
        <w:rPr>
          <w:rFonts w:ascii="Book Antiqua" w:eastAsia="Times New Roman" w:hAnsi="Book Antiqua" w:cs="Times New Roman"/>
          <w:bCs/>
          <w:kern w:val="0"/>
          <w:sz w:val="22"/>
          <w:szCs w:val="22"/>
          <w:u w:val="single"/>
          <w:lang w:val="en-US"/>
          <w14:ligatures w14:val="none"/>
        </w:rPr>
      </w:pPr>
      <w:r w:rsidRPr="00381915">
        <w:rPr>
          <w:rFonts w:ascii="Book Antiqua" w:eastAsia="Times New Roman" w:hAnsi="Book Antiqua" w:cs="Times New Roman"/>
          <w:i/>
          <w:iCs/>
          <w:kern w:val="0"/>
          <w:sz w:val="22"/>
          <w:szCs w:val="22"/>
          <w:u w:val="single"/>
          <w:lang w:val="en-US"/>
          <w14:ligatures w14:val="none"/>
        </w:rPr>
        <w:t>Departamento de la Vivienda</w:t>
      </w:r>
    </w:p>
    <w:p w14:paraId="32F44F57" w14:textId="77777777" w:rsidR="003A1460" w:rsidRPr="00381915" w:rsidRDefault="003A1460" w:rsidP="003A1460">
      <w:pPr>
        <w:spacing w:after="200" w:line="276" w:lineRule="auto"/>
        <w:ind w:left="720"/>
        <w:contextualSpacing/>
        <w:rPr>
          <w:rFonts w:ascii="Book Antiqua" w:eastAsia="Times New Roman" w:hAnsi="Book Antiqua" w:cs="Times New Roman"/>
          <w:bCs/>
          <w:kern w:val="0"/>
          <w:sz w:val="22"/>
          <w:szCs w:val="22"/>
          <w:u w:val="single"/>
          <w:lang w:val="en-US"/>
          <w14:ligatures w14:val="none"/>
        </w:rPr>
      </w:pPr>
    </w:p>
    <w:p w14:paraId="48E65B59" w14:textId="6BB1BC5A" w:rsidR="003A1460" w:rsidRPr="00381915" w:rsidRDefault="003A1460" w:rsidP="00852B05">
      <w:pPr>
        <w:spacing w:after="200" w:line="276" w:lineRule="auto"/>
        <w:ind w:firstLine="360"/>
        <w:contextualSpacing/>
        <w:jc w:val="both"/>
        <w:rPr>
          <w:rFonts w:ascii="Book Antiqua" w:eastAsia="Times New Roman" w:hAnsi="Book Antiqua" w:cs="Times New Roman"/>
          <w:kern w:val="0"/>
          <w:sz w:val="22"/>
          <w:szCs w:val="22"/>
          <w14:ligatures w14:val="none"/>
        </w:rPr>
      </w:pPr>
      <w:r w:rsidRPr="00381915">
        <w:rPr>
          <w:rFonts w:ascii="Book Antiqua" w:eastAsia="Times New Roman" w:hAnsi="Book Antiqua" w:cs="Times New Roman"/>
          <w:kern w:val="0"/>
          <w:sz w:val="22"/>
          <w:szCs w:val="22"/>
          <w14:ligatures w14:val="none"/>
        </w:rPr>
        <w:t xml:space="preserve">El 26 de febrero de 2025 el Departamento de la Vivienda presentó ante la CRED el </w:t>
      </w:r>
      <w:r w:rsidRPr="00381915">
        <w:rPr>
          <w:rFonts w:ascii="Book Antiqua" w:eastAsia="Times New Roman" w:hAnsi="Book Antiqua" w:cs="Times New Roman"/>
          <w:i/>
          <w:iCs/>
          <w:kern w:val="0"/>
          <w:sz w:val="22"/>
          <w:szCs w:val="22"/>
          <w14:ligatures w14:val="none"/>
        </w:rPr>
        <w:t>Memorial Explicativo sobre el Proyecto de la Cámara 156 (P. de la C. 156)</w:t>
      </w:r>
      <w:r w:rsidR="00852B05" w:rsidRPr="00381915">
        <w:rPr>
          <w:rFonts w:ascii="Book Antiqua" w:eastAsia="Times New Roman" w:hAnsi="Book Antiqua" w:cs="Times New Roman"/>
          <w:kern w:val="0"/>
          <w:sz w:val="22"/>
          <w:szCs w:val="22"/>
          <w14:ligatures w14:val="none"/>
        </w:rPr>
        <w:t xml:space="preserve">. Como primer acercamiento, el Departamento de la Vivienda efectuó un trasfondo histórico de la Ley </w:t>
      </w:r>
      <w:r w:rsidR="00114076" w:rsidRPr="00381915">
        <w:rPr>
          <w:rFonts w:ascii="Book Antiqua" w:eastAsia="Times New Roman" w:hAnsi="Book Antiqua" w:cs="Times New Roman"/>
          <w:kern w:val="0"/>
          <w:sz w:val="22"/>
          <w:szCs w:val="22"/>
          <w14:ligatures w14:val="none"/>
        </w:rPr>
        <w:t>N</w:t>
      </w:r>
      <w:r w:rsidR="00852B05" w:rsidRPr="00381915">
        <w:rPr>
          <w:rFonts w:ascii="Book Antiqua" w:eastAsia="Times New Roman" w:hAnsi="Book Antiqua" w:cs="Times New Roman"/>
          <w:kern w:val="0"/>
          <w:sz w:val="22"/>
          <w:szCs w:val="22"/>
          <w14:ligatures w14:val="none"/>
        </w:rPr>
        <w:t xml:space="preserve">úm. 212-2002, </w:t>
      </w:r>
      <w:r w:rsidR="00852B05" w:rsidRPr="00381915">
        <w:rPr>
          <w:rFonts w:ascii="Book Antiqua" w:eastAsia="Times New Roman" w:hAnsi="Book Antiqua" w:cs="Times New Roman"/>
          <w:i/>
          <w:iCs/>
          <w:kern w:val="0"/>
          <w:sz w:val="22"/>
          <w:szCs w:val="22"/>
          <w14:ligatures w14:val="none"/>
        </w:rPr>
        <w:t>supra</w:t>
      </w:r>
      <w:r w:rsidR="00852B05" w:rsidRPr="00381915">
        <w:rPr>
          <w:rFonts w:ascii="Book Antiqua" w:eastAsia="Times New Roman" w:hAnsi="Book Antiqua" w:cs="Times New Roman"/>
          <w:kern w:val="0"/>
          <w:sz w:val="22"/>
          <w:szCs w:val="22"/>
          <w14:ligatures w14:val="none"/>
        </w:rPr>
        <w:t xml:space="preserve"> y la Ley 209-2004, </w:t>
      </w:r>
      <w:r w:rsidR="00852B05" w:rsidRPr="00381915">
        <w:rPr>
          <w:rFonts w:ascii="Book Antiqua" w:eastAsia="Times New Roman" w:hAnsi="Book Antiqua" w:cs="Times New Roman"/>
          <w:i/>
          <w:iCs/>
          <w:kern w:val="0"/>
          <w:sz w:val="22"/>
          <w:szCs w:val="22"/>
          <w14:ligatures w14:val="none"/>
        </w:rPr>
        <w:t>supra</w:t>
      </w:r>
      <w:r w:rsidR="00852B05" w:rsidRPr="00381915">
        <w:rPr>
          <w:rFonts w:ascii="Book Antiqua" w:eastAsia="Times New Roman" w:hAnsi="Book Antiqua" w:cs="Times New Roman"/>
          <w:kern w:val="0"/>
          <w:sz w:val="22"/>
          <w:szCs w:val="22"/>
          <w14:ligatures w14:val="none"/>
        </w:rPr>
        <w:t>.</w:t>
      </w:r>
      <w:r w:rsidR="00625A5D" w:rsidRPr="00381915">
        <w:rPr>
          <w:rStyle w:val="FootnoteReference"/>
          <w:rFonts w:ascii="Book Antiqua" w:eastAsia="Times New Roman" w:hAnsi="Book Antiqua"/>
          <w:kern w:val="0"/>
          <w:sz w:val="22"/>
          <w:szCs w:val="22"/>
          <w14:ligatures w14:val="none"/>
        </w:rPr>
        <w:footnoteReference w:id="4"/>
      </w:r>
      <w:r w:rsidR="00852B05" w:rsidRPr="00381915">
        <w:rPr>
          <w:rFonts w:ascii="Book Antiqua" w:eastAsia="Times New Roman" w:hAnsi="Book Antiqua" w:cs="Times New Roman"/>
          <w:kern w:val="0"/>
          <w:sz w:val="22"/>
          <w:szCs w:val="22"/>
          <w14:ligatures w14:val="none"/>
        </w:rPr>
        <w:t xml:space="preserve"> Acto seguido, describió como varios programas existentes y administrados por el Departamento de la Vivienda podrían incidir sobre aspectos considerados por la Ley 2009-2004, </w:t>
      </w:r>
      <w:r w:rsidR="00852B05" w:rsidRPr="00381915">
        <w:rPr>
          <w:rFonts w:ascii="Book Antiqua" w:eastAsia="Times New Roman" w:hAnsi="Book Antiqua" w:cs="Times New Roman"/>
          <w:i/>
          <w:iCs/>
          <w:kern w:val="0"/>
          <w:sz w:val="22"/>
          <w:szCs w:val="22"/>
          <w14:ligatures w14:val="none"/>
        </w:rPr>
        <w:t>supra</w:t>
      </w:r>
      <w:r w:rsidR="00852B05" w:rsidRPr="00381915">
        <w:rPr>
          <w:rFonts w:ascii="Book Antiqua" w:eastAsia="Times New Roman" w:hAnsi="Book Antiqua" w:cs="Times New Roman"/>
          <w:kern w:val="0"/>
          <w:sz w:val="22"/>
          <w:szCs w:val="22"/>
          <w14:ligatures w14:val="none"/>
        </w:rPr>
        <w:t>.</w:t>
      </w:r>
      <w:r w:rsidR="00625A5D" w:rsidRPr="00381915">
        <w:rPr>
          <w:rStyle w:val="FootnoteReference"/>
          <w:rFonts w:ascii="Book Antiqua" w:eastAsia="Times New Roman" w:hAnsi="Book Antiqua"/>
          <w:kern w:val="0"/>
          <w:sz w:val="22"/>
          <w:szCs w:val="22"/>
          <w14:ligatures w14:val="none"/>
        </w:rPr>
        <w:footnoteReference w:id="5"/>
      </w:r>
      <w:r w:rsidR="00852B05" w:rsidRPr="00381915">
        <w:rPr>
          <w:rFonts w:ascii="Book Antiqua" w:eastAsia="Times New Roman" w:hAnsi="Book Antiqua" w:cs="Times New Roman"/>
          <w:kern w:val="0"/>
          <w:sz w:val="22"/>
          <w:szCs w:val="22"/>
          <w14:ligatures w14:val="none"/>
        </w:rPr>
        <w:t xml:space="preserve"> Finalmente, </w:t>
      </w:r>
      <w:r w:rsidRPr="00381915">
        <w:rPr>
          <w:rFonts w:ascii="Book Antiqua" w:eastAsia="Times New Roman" w:hAnsi="Book Antiqua" w:cs="Times New Roman"/>
          <w:kern w:val="0"/>
          <w:sz w:val="22"/>
          <w:szCs w:val="22"/>
          <w14:ligatures w14:val="none"/>
        </w:rPr>
        <w:t>indicó no tener objeción con la aprobación del P. de la C. Núm. 156.</w:t>
      </w:r>
      <w:r w:rsidR="00625A5D" w:rsidRPr="00381915">
        <w:rPr>
          <w:rStyle w:val="FootnoteReference"/>
          <w:rFonts w:ascii="Book Antiqua" w:eastAsia="Times New Roman" w:hAnsi="Book Antiqua"/>
          <w:kern w:val="0"/>
          <w:sz w:val="22"/>
          <w:szCs w:val="22"/>
          <w14:ligatures w14:val="none"/>
        </w:rPr>
        <w:footnoteReference w:id="6"/>
      </w:r>
    </w:p>
    <w:p w14:paraId="11B61067" w14:textId="77777777" w:rsidR="00A54AF0" w:rsidRPr="00381915" w:rsidRDefault="00A54AF0" w:rsidP="00A54AF0">
      <w:pPr>
        <w:spacing w:after="200" w:line="276" w:lineRule="auto"/>
        <w:ind w:left="720"/>
        <w:contextualSpacing/>
        <w:rPr>
          <w:rFonts w:ascii="Book Antiqua" w:eastAsia="Times New Roman" w:hAnsi="Book Antiqua" w:cs="Times New Roman"/>
          <w:bCs/>
          <w:kern w:val="0"/>
          <w:sz w:val="22"/>
          <w:szCs w:val="22"/>
          <w:u w:val="single"/>
          <w14:ligatures w14:val="none"/>
        </w:rPr>
      </w:pPr>
    </w:p>
    <w:p w14:paraId="1FB3A56A" w14:textId="77777777" w:rsidR="00A54AF0" w:rsidRPr="00381915" w:rsidRDefault="00A54AF0" w:rsidP="00A54AF0">
      <w:pPr>
        <w:spacing w:after="0" w:line="240" w:lineRule="auto"/>
        <w:jc w:val="center"/>
        <w:rPr>
          <w:rFonts w:ascii="Book Antiqua" w:eastAsia="Times New Roman" w:hAnsi="Book Antiqua" w:cs="Times New Roman"/>
          <w:b/>
          <w:kern w:val="0"/>
          <w14:ligatures w14:val="none"/>
        </w:rPr>
      </w:pPr>
      <w:r w:rsidRPr="00381915">
        <w:rPr>
          <w:rFonts w:ascii="Book Antiqua" w:eastAsia="Times New Roman" w:hAnsi="Book Antiqua" w:cs="Times New Roman"/>
          <w:b/>
          <w:kern w:val="0"/>
          <w14:ligatures w14:val="none"/>
        </w:rPr>
        <w:t>VISTA PÚBLICA</w:t>
      </w:r>
    </w:p>
    <w:p w14:paraId="523D9D94" w14:textId="77777777" w:rsidR="00A54AF0" w:rsidRPr="00381915" w:rsidRDefault="00A54AF0" w:rsidP="00A54AF0">
      <w:pPr>
        <w:spacing w:after="0" w:line="240" w:lineRule="auto"/>
        <w:jc w:val="center"/>
        <w:rPr>
          <w:rFonts w:ascii="Book Antiqua" w:eastAsia="Times New Roman" w:hAnsi="Book Antiqua" w:cs="Times New Roman"/>
          <w:b/>
          <w:kern w:val="0"/>
          <w14:ligatures w14:val="none"/>
        </w:rPr>
      </w:pPr>
    </w:p>
    <w:p w14:paraId="41BB334A" w14:textId="77777777" w:rsidR="00A54AF0" w:rsidRPr="00381915" w:rsidRDefault="00A54AF0" w:rsidP="002741D8">
      <w:pPr>
        <w:spacing w:after="0" w:line="276" w:lineRule="auto"/>
        <w:ind w:firstLine="360"/>
        <w:jc w:val="both"/>
        <w:rPr>
          <w:rFonts w:ascii="Book Antiqua" w:eastAsia="Times New Roman" w:hAnsi="Book Antiqua" w:cs="Times New Roman"/>
          <w:kern w:val="0"/>
          <w14:ligatures w14:val="none"/>
        </w:rPr>
      </w:pPr>
      <w:r w:rsidRPr="00381915">
        <w:rPr>
          <w:rFonts w:ascii="Book Antiqua" w:eastAsia="Times New Roman" w:hAnsi="Book Antiqua" w:cs="Times New Roman"/>
          <w:kern w:val="0"/>
          <w14:ligatures w14:val="none"/>
        </w:rPr>
        <w:t xml:space="preserve">Esta Comisión decidió no realizar Vistas Públicas, toda vez que la información proporcionada por las entidades antes mencionadas resultó suficiente para ponderar el alcance del proyecto de ley, aprovechando y utilizando así los recursos del Gobierno de Puerto Rico, y en particular la Asamblea Legislativa, de la manera más eficiente y costo-efectiva posible. </w:t>
      </w:r>
    </w:p>
    <w:p w14:paraId="4C745D19" w14:textId="77777777" w:rsidR="00A54AF0" w:rsidRPr="00381915" w:rsidRDefault="00A54AF0" w:rsidP="00A54AF0">
      <w:pPr>
        <w:spacing w:after="0" w:line="276" w:lineRule="auto"/>
        <w:jc w:val="both"/>
        <w:rPr>
          <w:rFonts w:ascii="Book Antiqua" w:eastAsia="Times New Roman" w:hAnsi="Book Antiqua" w:cs="Times New Roman"/>
          <w:kern w:val="0"/>
          <w14:ligatures w14:val="none"/>
        </w:rPr>
      </w:pPr>
    </w:p>
    <w:p w14:paraId="27245D47" w14:textId="77777777" w:rsidR="00A54AF0" w:rsidRPr="00381915" w:rsidRDefault="00A54AF0" w:rsidP="00A54AF0">
      <w:pPr>
        <w:spacing w:after="0" w:line="240" w:lineRule="auto"/>
        <w:jc w:val="center"/>
        <w:rPr>
          <w:rFonts w:ascii="Book Antiqua" w:eastAsia="Times New Roman" w:hAnsi="Book Antiqua" w:cs="Times New Roman"/>
          <w:b/>
          <w:kern w:val="0"/>
          <w14:ligatures w14:val="none"/>
        </w:rPr>
      </w:pPr>
      <w:r w:rsidRPr="00381915">
        <w:rPr>
          <w:rFonts w:ascii="Book Antiqua" w:eastAsia="Times New Roman" w:hAnsi="Book Antiqua" w:cs="Times New Roman"/>
          <w:b/>
          <w:kern w:val="0"/>
          <w14:ligatures w14:val="none"/>
        </w:rPr>
        <w:t>ANÁLISIS DE LA MEDIDA</w:t>
      </w:r>
    </w:p>
    <w:p w14:paraId="391B346D" w14:textId="77777777" w:rsidR="00A54AF0" w:rsidRPr="00381915" w:rsidRDefault="00A54AF0" w:rsidP="00A54AF0">
      <w:pPr>
        <w:spacing w:after="0" w:line="240" w:lineRule="auto"/>
        <w:jc w:val="center"/>
        <w:rPr>
          <w:rFonts w:ascii="Book Antiqua" w:eastAsia="Times New Roman" w:hAnsi="Book Antiqua" w:cs="Times New Roman"/>
          <w:b/>
          <w:kern w:val="0"/>
          <w14:ligatures w14:val="none"/>
        </w:rPr>
      </w:pPr>
    </w:p>
    <w:p w14:paraId="24733DD3" w14:textId="042BE461" w:rsidR="007F203D" w:rsidRPr="00381915" w:rsidRDefault="00235F37" w:rsidP="00482CA1">
      <w:pPr>
        <w:spacing w:after="0" w:line="276" w:lineRule="auto"/>
        <w:ind w:firstLine="360"/>
        <w:jc w:val="both"/>
        <w:rPr>
          <w:rFonts w:ascii="Book Antiqua" w:eastAsia="Times New Roman" w:hAnsi="Book Antiqua" w:cs="Times New Roman"/>
          <w:kern w:val="0"/>
          <w:lang w:val="es-ES_tradnl"/>
          <w14:ligatures w14:val="none"/>
        </w:rPr>
      </w:pPr>
      <w:r w:rsidRPr="00381915">
        <w:rPr>
          <w:rFonts w:ascii="Book Antiqua" w:eastAsia="Times New Roman" w:hAnsi="Book Antiqua" w:cs="Times New Roman"/>
          <w:bCs/>
          <w:kern w:val="0"/>
          <w14:ligatures w14:val="none"/>
        </w:rPr>
        <w:t xml:space="preserve">La Ley 212-2002, </w:t>
      </w:r>
      <w:r w:rsidRPr="00381915">
        <w:rPr>
          <w:rFonts w:ascii="Book Antiqua" w:eastAsia="Times New Roman" w:hAnsi="Book Antiqua" w:cs="Times New Roman"/>
          <w:bCs/>
          <w:i/>
          <w:iCs/>
          <w:kern w:val="0"/>
          <w14:ligatures w14:val="none"/>
        </w:rPr>
        <w:t>supra</w:t>
      </w:r>
      <w:r w:rsidRPr="00381915">
        <w:rPr>
          <w:rFonts w:ascii="Book Antiqua" w:eastAsia="Times New Roman" w:hAnsi="Book Antiqua" w:cs="Times New Roman"/>
          <w:bCs/>
          <w:kern w:val="0"/>
          <w14:ligatures w14:val="none"/>
        </w:rPr>
        <w:t xml:space="preserve">, se promulga </w:t>
      </w:r>
      <w:r w:rsidR="00381915" w:rsidRPr="00381915">
        <w:rPr>
          <w:rFonts w:ascii="Book Antiqua" w:eastAsia="Times New Roman" w:hAnsi="Book Antiqua" w:cs="Times New Roman"/>
          <w:bCs/>
          <w:kern w:val="0"/>
          <w14:ligatures w14:val="none"/>
        </w:rPr>
        <w:t>bajo el entendido de</w:t>
      </w:r>
      <w:r w:rsidRPr="00381915">
        <w:rPr>
          <w:rFonts w:ascii="Book Antiqua" w:eastAsia="Times New Roman" w:hAnsi="Book Antiqua" w:cs="Times New Roman"/>
          <w:bCs/>
          <w:kern w:val="0"/>
          <w14:ligatures w14:val="none"/>
        </w:rPr>
        <w:t xml:space="preserve"> que los cascos o centros urbanos se encontraban en un profundo deterioro físico y ambiental, con una despoblación patente que incidía sobre la actividad económica y social de las diferentes áre</w:t>
      </w:r>
      <w:r w:rsidR="007F203D" w:rsidRPr="00381915">
        <w:rPr>
          <w:rFonts w:ascii="Book Antiqua" w:eastAsia="Times New Roman" w:hAnsi="Book Antiqua" w:cs="Times New Roman"/>
          <w:bCs/>
          <w:kern w:val="0"/>
          <w14:ligatures w14:val="none"/>
        </w:rPr>
        <w:t>a</w:t>
      </w:r>
      <w:r w:rsidRPr="00381915">
        <w:rPr>
          <w:rFonts w:ascii="Book Antiqua" w:eastAsia="Times New Roman" w:hAnsi="Book Antiqua" w:cs="Times New Roman"/>
          <w:bCs/>
          <w:kern w:val="0"/>
          <w14:ligatures w14:val="none"/>
        </w:rPr>
        <w:t>s</w:t>
      </w:r>
      <w:r w:rsidR="007F203D" w:rsidRPr="00381915">
        <w:rPr>
          <w:rFonts w:ascii="Book Antiqua" w:eastAsia="Times New Roman" w:hAnsi="Book Antiqua" w:cs="Times New Roman"/>
          <w:bCs/>
          <w:kern w:val="0"/>
          <w14:ligatures w14:val="none"/>
        </w:rPr>
        <w:t>, así como una percepción general de inseguridad por parte de la ciudadanía.</w:t>
      </w:r>
      <w:r w:rsidR="007F203D" w:rsidRPr="00381915">
        <w:rPr>
          <w:rStyle w:val="FootnoteReference"/>
          <w:rFonts w:ascii="Book Antiqua" w:eastAsia="Times New Roman" w:hAnsi="Book Antiqua"/>
          <w:bCs/>
          <w:kern w:val="0"/>
          <w14:ligatures w14:val="none"/>
        </w:rPr>
        <w:footnoteReference w:id="7"/>
      </w:r>
      <w:r w:rsidR="007F203D" w:rsidRPr="00381915">
        <w:rPr>
          <w:rFonts w:ascii="Book Antiqua" w:eastAsia="Times New Roman" w:hAnsi="Book Antiqua" w:cs="Times New Roman"/>
          <w:bCs/>
          <w:kern w:val="0"/>
          <w14:ligatures w14:val="none"/>
        </w:rPr>
        <w:t xml:space="preserve"> A tenor con ello, y con la realidad legal de la época, el Gobierno de turno expresó su </w:t>
      </w:r>
      <w:r w:rsidR="00704340" w:rsidRPr="00381915">
        <w:rPr>
          <w:rFonts w:ascii="Book Antiqua" w:eastAsia="Times New Roman" w:hAnsi="Book Antiqua" w:cs="Times New Roman"/>
          <w:bCs/>
          <w:kern w:val="0"/>
          <w14:ligatures w14:val="none"/>
        </w:rPr>
        <w:t>“</w:t>
      </w:r>
      <w:r w:rsidR="007F203D" w:rsidRPr="00381915">
        <w:rPr>
          <w:rFonts w:ascii="Book Antiqua" w:eastAsia="Times New Roman" w:hAnsi="Book Antiqua" w:cs="Times New Roman"/>
          <w:bCs/>
          <w:kern w:val="0"/>
          <w14:ligatures w14:val="none"/>
        </w:rPr>
        <w:t xml:space="preserve">objetivo de </w:t>
      </w:r>
      <w:r w:rsidR="00704340" w:rsidRPr="00381915">
        <w:rPr>
          <w:rFonts w:ascii="Book Antiqua" w:eastAsia="Times New Roman" w:hAnsi="Book Antiqua" w:cs="Times New Roman"/>
          <w:bCs/>
          <w:kern w:val="0"/>
          <w14:ligatures w14:val="none"/>
        </w:rPr>
        <w:t>p</w:t>
      </w:r>
      <w:r w:rsidR="007F203D" w:rsidRPr="00381915">
        <w:rPr>
          <w:rFonts w:ascii="Book Antiqua" w:eastAsia="Times New Roman" w:hAnsi="Book Antiqua" w:cs="Times New Roman"/>
          <w:bCs/>
          <w:kern w:val="0"/>
          <w14:ligatures w14:val="none"/>
        </w:rPr>
        <w:t xml:space="preserve">olítica pública de </w:t>
      </w:r>
      <w:r w:rsidR="00704340" w:rsidRPr="00381915">
        <w:rPr>
          <w:rFonts w:ascii="Book Antiqua" w:eastAsia="Times New Roman" w:hAnsi="Book Antiqua" w:cs="Times New Roman"/>
          <w:bCs/>
          <w:kern w:val="0"/>
          <w14:ligatures w14:val="none"/>
        </w:rPr>
        <w:t>fortalecer, revitalizar y repoblar nuestros centros urbanos.”</w:t>
      </w:r>
      <w:r w:rsidR="008C2DCC" w:rsidRPr="00381915">
        <w:rPr>
          <w:rStyle w:val="FootnoteReference"/>
          <w:rFonts w:ascii="Book Antiqua" w:eastAsia="Times New Roman" w:hAnsi="Book Antiqua"/>
          <w:bCs/>
          <w:kern w:val="0"/>
          <w14:ligatures w14:val="none"/>
        </w:rPr>
        <w:footnoteReference w:id="8"/>
      </w:r>
      <w:r w:rsidR="00704340" w:rsidRPr="00381915">
        <w:rPr>
          <w:rFonts w:ascii="Book Antiqua" w:eastAsia="Times New Roman" w:hAnsi="Book Antiqua" w:cs="Times New Roman"/>
          <w:bCs/>
          <w:kern w:val="0"/>
          <w14:ligatures w14:val="none"/>
        </w:rPr>
        <w:t xml:space="preserve"> </w:t>
      </w:r>
      <w:r w:rsidR="009B7D4B" w:rsidRPr="00381915">
        <w:rPr>
          <w:rFonts w:ascii="Book Antiqua" w:eastAsia="Times New Roman" w:hAnsi="Book Antiqua" w:cs="Times New Roman"/>
          <w:bCs/>
          <w:kern w:val="0"/>
          <w14:ligatures w14:val="none"/>
        </w:rPr>
        <w:t xml:space="preserve">Con el propósito de complementar dicha política pública, se creó la Corporación para la Revitalización de los Centros Urbanas y Áreas Urbanas, mediante la Ley Núm. 209-2004, </w:t>
      </w:r>
      <w:r w:rsidR="009B7D4B" w:rsidRPr="00381915">
        <w:rPr>
          <w:rFonts w:ascii="Book Antiqua" w:eastAsia="Times New Roman" w:hAnsi="Book Antiqua" w:cs="Times New Roman"/>
          <w:bCs/>
          <w:i/>
          <w:iCs/>
          <w:kern w:val="0"/>
          <w14:ligatures w14:val="none"/>
        </w:rPr>
        <w:t>supra</w:t>
      </w:r>
      <w:r w:rsidR="009B7D4B" w:rsidRPr="00381915">
        <w:rPr>
          <w:rFonts w:ascii="Book Antiqua" w:eastAsia="Times New Roman" w:hAnsi="Book Antiqua" w:cs="Times New Roman"/>
          <w:bCs/>
          <w:kern w:val="0"/>
          <w14:ligatures w14:val="none"/>
        </w:rPr>
        <w:t>.</w:t>
      </w:r>
      <w:r w:rsidR="008C2DCC" w:rsidRPr="00381915">
        <w:rPr>
          <w:rStyle w:val="FootnoteReference"/>
          <w:rFonts w:ascii="Book Antiqua" w:eastAsia="Times New Roman" w:hAnsi="Book Antiqua"/>
          <w:bCs/>
          <w:kern w:val="0"/>
          <w14:ligatures w14:val="none"/>
        </w:rPr>
        <w:footnoteReference w:id="9"/>
      </w:r>
      <w:r w:rsidR="008C2DCC" w:rsidRPr="00381915">
        <w:rPr>
          <w:rFonts w:ascii="Book Antiqua" w:eastAsia="Times New Roman" w:hAnsi="Book Antiqua" w:cs="Times New Roman"/>
          <w:bCs/>
          <w:kern w:val="0"/>
          <w14:ligatures w14:val="none"/>
        </w:rPr>
        <w:t xml:space="preserve"> Sin embargo, </w:t>
      </w:r>
      <w:r w:rsidR="00381915" w:rsidRPr="00381915">
        <w:rPr>
          <w:rFonts w:ascii="Book Antiqua" w:eastAsia="Times New Roman" w:hAnsi="Book Antiqua" w:cs="Times New Roman"/>
          <w:bCs/>
          <w:kern w:val="0"/>
          <w14:ligatures w14:val="none"/>
        </w:rPr>
        <w:t xml:space="preserve">y posteriormente, </w:t>
      </w:r>
      <w:r w:rsidR="008C2DCC" w:rsidRPr="00381915">
        <w:rPr>
          <w:rFonts w:ascii="Book Antiqua" w:eastAsia="Times New Roman" w:hAnsi="Book Antiqua" w:cs="Times New Roman"/>
          <w:bCs/>
          <w:kern w:val="0"/>
          <w14:ligatures w14:val="none"/>
        </w:rPr>
        <w:t xml:space="preserve">la Ley 212-2002, </w:t>
      </w:r>
      <w:r w:rsidR="008C2DCC" w:rsidRPr="00381915">
        <w:rPr>
          <w:rFonts w:ascii="Book Antiqua" w:eastAsia="Times New Roman" w:hAnsi="Book Antiqua" w:cs="Times New Roman"/>
          <w:bCs/>
          <w:i/>
          <w:iCs/>
          <w:kern w:val="0"/>
          <w14:ligatures w14:val="none"/>
        </w:rPr>
        <w:t>supra</w:t>
      </w:r>
      <w:r w:rsidR="008C2DCC" w:rsidRPr="00381915">
        <w:rPr>
          <w:rFonts w:ascii="Book Antiqua" w:eastAsia="Times New Roman" w:hAnsi="Book Antiqua" w:cs="Times New Roman"/>
          <w:bCs/>
          <w:kern w:val="0"/>
          <w14:ligatures w14:val="none"/>
        </w:rPr>
        <w:t xml:space="preserve">, fue expresamente derogada mediante la Ley Núm. 40-2020, </w:t>
      </w:r>
      <w:r w:rsidR="008C2DCC" w:rsidRPr="00381915">
        <w:rPr>
          <w:rFonts w:ascii="Book Antiqua" w:eastAsia="Times New Roman" w:hAnsi="Book Antiqua" w:cs="Times New Roman"/>
          <w:bCs/>
          <w:i/>
          <w:iCs/>
          <w:kern w:val="0"/>
          <w14:ligatures w14:val="none"/>
        </w:rPr>
        <w:t>supra</w:t>
      </w:r>
      <w:r w:rsidR="008C2DCC" w:rsidRPr="00381915">
        <w:rPr>
          <w:rFonts w:ascii="Book Antiqua" w:eastAsia="Times New Roman" w:hAnsi="Book Antiqua" w:cs="Times New Roman"/>
          <w:bCs/>
          <w:kern w:val="0"/>
          <w14:ligatures w14:val="none"/>
        </w:rPr>
        <w:t xml:space="preserve">, </w:t>
      </w:r>
      <w:r w:rsidR="008C2DCC" w:rsidRPr="00381915">
        <w:rPr>
          <w:rFonts w:ascii="Book Antiqua" w:eastAsia="Times New Roman" w:hAnsi="Book Antiqua" w:cs="Times New Roman"/>
          <w:kern w:val="0"/>
          <w:lang w:val="es-ES_tradnl"/>
          <w14:ligatures w14:val="none"/>
        </w:rPr>
        <w:t xml:space="preserve">amparado ante otras cosas, en el incumplimiento de los objetivos trazados por la Ley 209-2004 y el hecho cuyo impacto al erario era de un retorno de inversión de negativo setenta y ocho por ciento </w:t>
      </w:r>
      <w:r w:rsidR="00917027">
        <w:rPr>
          <w:rFonts w:ascii="Book Antiqua" w:eastAsia="Times New Roman" w:hAnsi="Book Antiqua" w:cs="Times New Roman"/>
          <w:kern w:val="0"/>
          <w:lang w:val="es-ES_tradnl"/>
          <w14:ligatures w14:val="none"/>
        </w:rPr>
        <w:t xml:space="preserve">       </w:t>
      </w:r>
      <w:r w:rsidR="008C2DCC" w:rsidRPr="00381915">
        <w:rPr>
          <w:rFonts w:ascii="Book Antiqua" w:eastAsia="Times New Roman" w:hAnsi="Book Antiqua" w:cs="Times New Roman"/>
          <w:kern w:val="0"/>
          <w:lang w:val="es-ES_tradnl"/>
          <w14:ligatures w14:val="none"/>
        </w:rPr>
        <w:t>(</w:t>
      </w:r>
      <w:r w:rsidR="00917027">
        <w:rPr>
          <w:rFonts w:ascii="Book Antiqua" w:eastAsia="Times New Roman" w:hAnsi="Book Antiqua" w:cs="Times New Roman"/>
          <w:kern w:val="0"/>
          <w:lang w:val="es-ES_tradnl"/>
          <w14:ligatures w14:val="none"/>
        </w:rPr>
        <w:t>-</w:t>
      </w:r>
      <w:r w:rsidR="008C2DCC" w:rsidRPr="00381915">
        <w:rPr>
          <w:rFonts w:ascii="Book Antiqua" w:eastAsia="Times New Roman" w:hAnsi="Book Antiqua" w:cs="Times New Roman"/>
          <w:kern w:val="0"/>
          <w:lang w:val="es-ES_tradnl"/>
          <w14:ligatures w14:val="none"/>
        </w:rPr>
        <w:t>78%).</w:t>
      </w:r>
      <w:r w:rsidR="0058030F" w:rsidRPr="00381915">
        <w:rPr>
          <w:rStyle w:val="FootnoteReference"/>
          <w:rFonts w:ascii="Book Antiqua" w:eastAsia="Times New Roman" w:hAnsi="Book Antiqua"/>
          <w:kern w:val="0"/>
          <w:lang w:val="es-ES_tradnl"/>
          <w14:ligatures w14:val="none"/>
        </w:rPr>
        <w:footnoteReference w:id="10"/>
      </w:r>
      <w:r w:rsidR="0058030F" w:rsidRPr="00381915">
        <w:rPr>
          <w:rFonts w:ascii="Book Antiqua" w:eastAsia="Times New Roman" w:hAnsi="Book Antiqua" w:cs="Times New Roman"/>
          <w:kern w:val="0"/>
          <w:lang w:val="es-ES_tradnl"/>
          <w14:ligatures w14:val="none"/>
        </w:rPr>
        <w:t xml:space="preserve"> </w:t>
      </w:r>
      <w:r w:rsidR="008C2DCC" w:rsidRPr="00381915">
        <w:rPr>
          <w:rFonts w:ascii="Book Antiqua" w:eastAsia="Times New Roman" w:hAnsi="Book Antiqua" w:cs="Times New Roman"/>
          <w:kern w:val="0"/>
          <w:lang w:val="es-ES_tradnl"/>
          <w14:ligatures w14:val="none"/>
        </w:rPr>
        <w:t xml:space="preserve">Asimismo, </w:t>
      </w:r>
      <w:r w:rsidR="0058030F" w:rsidRPr="00381915">
        <w:rPr>
          <w:rFonts w:ascii="Book Antiqua" w:eastAsia="Times New Roman" w:hAnsi="Book Antiqua" w:cs="Times New Roman"/>
          <w:kern w:val="0"/>
          <w:lang w:val="es-ES_tradnl"/>
          <w14:ligatures w14:val="none"/>
        </w:rPr>
        <w:t xml:space="preserve">expresó que la Ley 212-2002, </w:t>
      </w:r>
      <w:r w:rsidR="0058030F" w:rsidRPr="00381915">
        <w:rPr>
          <w:rFonts w:ascii="Book Antiqua" w:eastAsia="Times New Roman" w:hAnsi="Book Antiqua" w:cs="Times New Roman"/>
          <w:i/>
          <w:iCs/>
          <w:kern w:val="0"/>
          <w:lang w:val="es-ES_tradnl"/>
          <w14:ligatures w14:val="none"/>
        </w:rPr>
        <w:t>supra</w:t>
      </w:r>
      <w:r w:rsidR="0058030F" w:rsidRPr="00381915">
        <w:rPr>
          <w:rFonts w:ascii="Book Antiqua" w:eastAsia="Times New Roman" w:hAnsi="Book Antiqua" w:cs="Times New Roman"/>
          <w:kern w:val="0"/>
          <w:lang w:val="es-ES_tradnl"/>
          <w14:ligatures w14:val="none"/>
        </w:rPr>
        <w:t>, tuvo el efecto de que el Gobierno subsidiar una operación empresarial que no contribuía al crecimiento económico de Puerto Rico, en lugar de incentivar actividades empresariales productivas.</w:t>
      </w:r>
      <w:r w:rsidR="0058030F" w:rsidRPr="00381915">
        <w:rPr>
          <w:rStyle w:val="FootnoteReference"/>
          <w:rFonts w:ascii="Book Antiqua" w:eastAsia="Times New Roman" w:hAnsi="Book Antiqua"/>
          <w:kern w:val="0"/>
          <w:lang w:val="es-ES_tradnl"/>
          <w14:ligatures w14:val="none"/>
        </w:rPr>
        <w:footnoteReference w:id="11"/>
      </w:r>
      <w:r w:rsidR="00381915" w:rsidRPr="00381915">
        <w:rPr>
          <w:rFonts w:ascii="Book Antiqua" w:eastAsia="Times New Roman" w:hAnsi="Book Antiqua" w:cs="Times New Roman"/>
          <w:kern w:val="0"/>
          <w:lang w:val="es-ES_tradnl"/>
          <w14:ligatures w14:val="none"/>
        </w:rPr>
        <w:t xml:space="preserve"> No empero la derogación de la Ley 212-2002, supra, la Ley 209-2004, </w:t>
      </w:r>
      <w:r w:rsidR="00381915" w:rsidRPr="00381915">
        <w:rPr>
          <w:rFonts w:ascii="Book Antiqua" w:eastAsia="Times New Roman" w:hAnsi="Book Antiqua" w:cs="Times New Roman"/>
          <w:i/>
          <w:iCs/>
          <w:kern w:val="0"/>
          <w:lang w:val="es-ES_tradnl"/>
          <w14:ligatures w14:val="none"/>
        </w:rPr>
        <w:t>supra</w:t>
      </w:r>
      <w:r w:rsidR="00381915" w:rsidRPr="00381915">
        <w:rPr>
          <w:rFonts w:ascii="Book Antiqua" w:eastAsia="Times New Roman" w:hAnsi="Book Antiqua" w:cs="Times New Roman"/>
          <w:kern w:val="0"/>
          <w:lang w:val="es-ES_tradnl"/>
          <w14:ligatures w14:val="none"/>
        </w:rPr>
        <w:t xml:space="preserve">, quedó vigente. </w:t>
      </w:r>
    </w:p>
    <w:p w14:paraId="40F8CC6A" w14:textId="77777777" w:rsidR="00482CA1" w:rsidRPr="00381915" w:rsidRDefault="00482CA1" w:rsidP="00482CA1">
      <w:pPr>
        <w:spacing w:after="0" w:line="276" w:lineRule="auto"/>
        <w:ind w:firstLine="360"/>
        <w:jc w:val="both"/>
        <w:rPr>
          <w:rFonts w:ascii="Book Antiqua" w:eastAsia="Times New Roman" w:hAnsi="Book Antiqua" w:cs="Times New Roman"/>
          <w:kern w:val="0"/>
          <w:lang w:val="es-ES_tradnl"/>
          <w14:ligatures w14:val="none"/>
        </w:rPr>
      </w:pPr>
    </w:p>
    <w:p w14:paraId="649CFFFD" w14:textId="7E5E36E5" w:rsidR="00B127C4" w:rsidRPr="00381915" w:rsidRDefault="00B127C4" w:rsidP="00482CA1">
      <w:pPr>
        <w:spacing w:after="0" w:line="276" w:lineRule="auto"/>
        <w:ind w:firstLine="360"/>
        <w:jc w:val="both"/>
        <w:rPr>
          <w:rFonts w:ascii="Book Antiqua" w:eastAsia="Times New Roman" w:hAnsi="Book Antiqua" w:cs="Times New Roman"/>
          <w:bCs/>
          <w:kern w:val="0"/>
          <w14:ligatures w14:val="none"/>
        </w:rPr>
      </w:pPr>
      <w:r w:rsidRPr="00381915">
        <w:rPr>
          <w:rFonts w:ascii="Book Antiqua" w:eastAsia="Times New Roman" w:hAnsi="Book Antiqua" w:cs="Times New Roman"/>
          <w:kern w:val="0"/>
          <w:lang w:val="es-ES_tradnl"/>
          <w14:ligatures w14:val="none"/>
        </w:rPr>
        <w:t>Por otra parte, de la información suministrada por el Departamento de la Vivienda, podemos entender que existen varios programas de dicha entidad que han ocupado el lugar</w:t>
      </w:r>
      <w:r w:rsidR="00482CA1" w:rsidRPr="00381915">
        <w:rPr>
          <w:rFonts w:ascii="Book Antiqua" w:eastAsia="Times New Roman" w:hAnsi="Book Antiqua" w:cs="Times New Roman"/>
          <w:kern w:val="0"/>
          <w:lang w:val="es-ES_tradnl"/>
          <w14:ligatures w14:val="none"/>
        </w:rPr>
        <w:t xml:space="preserve"> -</w:t>
      </w:r>
      <w:r w:rsidRPr="00381915">
        <w:rPr>
          <w:rFonts w:ascii="Book Antiqua" w:eastAsia="Times New Roman" w:hAnsi="Book Antiqua" w:cs="Times New Roman"/>
          <w:kern w:val="0"/>
          <w:lang w:val="es-ES_tradnl"/>
          <w14:ligatures w14:val="none"/>
        </w:rPr>
        <w:t>de manera direct</w:t>
      </w:r>
      <w:r w:rsidR="00482CA1" w:rsidRPr="00381915">
        <w:rPr>
          <w:rFonts w:ascii="Book Antiqua" w:eastAsia="Times New Roman" w:hAnsi="Book Antiqua" w:cs="Times New Roman"/>
          <w:kern w:val="0"/>
          <w:lang w:val="es-ES_tradnl"/>
          <w14:ligatures w14:val="none"/>
        </w:rPr>
        <w:t>a o</w:t>
      </w:r>
      <w:r w:rsidRPr="00381915">
        <w:rPr>
          <w:rFonts w:ascii="Book Antiqua" w:eastAsia="Times New Roman" w:hAnsi="Book Antiqua" w:cs="Times New Roman"/>
          <w:kern w:val="0"/>
          <w:lang w:val="es-ES_tradnl"/>
          <w14:ligatures w14:val="none"/>
        </w:rPr>
        <w:t xml:space="preserve"> indirecta</w:t>
      </w:r>
      <w:r w:rsidR="00482CA1" w:rsidRPr="00381915">
        <w:rPr>
          <w:rFonts w:ascii="Book Antiqua" w:eastAsia="Times New Roman" w:hAnsi="Book Antiqua" w:cs="Times New Roman"/>
          <w:kern w:val="0"/>
          <w:lang w:val="es-ES_tradnl"/>
          <w14:ligatures w14:val="none"/>
        </w:rPr>
        <w:t>-</w:t>
      </w:r>
      <w:r w:rsidRPr="00381915">
        <w:rPr>
          <w:rFonts w:ascii="Book Antiqua" w:eastAsia="Times New Roman" w:hAnsi="Book Antiqua" w:cs="Times New Roman"/>
          <w:kern w:val="0"/>
          <w:lang w:val="es-ES_tradnl"/>
          <w14:ligatures w14:val="none"/>
        </w:rPr>
        <w:t xml:space="preserve"> de la </w:t>
      </w:r>
      <w:r w:rsidRPr="00381915">
        <w:rPr>
          <w:rFonts w:ascii="Book Antiqua" w:eastAsia="Times New Roman" w:hAnsi="Book Antiqua" w:cs="Times New Roman"/>
          <w:bCs/>
          <w:kern w:val="0"/>
          <w14:ligatures w14:val="none"/>
        </w:rPr>
        <w:t xml:space="preserve">Corporación para la Revitalización de los Centros Urbanas y Áreas Urbanas. Asimismo, el Departamento de la Vivienda no se opone a la derogación de la Ley Núm. 209-2004, tal como propone el P. de la C. 156. </w:t>
      </w:r>
    </w:p>
    <w:p w14:paraId="209726CA" w14:textId="77777777" w:rsidR="00482CA1" w:rsidRPr="00381915" w:rsidRDefault="00482CA1" w:rsidP="00482CA1">
      <w:pPr>
        <w:spacing w:after="0" w:line="276" w:lineRule="auto"/>
        <w:ind w:firstLine="360"/>
        <w:jc w:val="both"/>
        <w:rPr>
          <w:rFonts w:ascii="Book Antiqua" w:eastAsia="Times New Roman" w:hAnsi="Book Antiqua" w:cs="Times New Roman"/>
          <w:bCs/>
          <w:kern w:val="0"/>
          <w14:ligatures w14:val="none"/>
        </w:rPr>
      </w:pPr>
    </w:p>
    <w:p w14:paraId="7DAAB6F1" w14:textId="61B7C86E" w:rsidR="00482CA1" w:rsidRPr="00381915" w:rsidRDefault="00B127C4" w:rsidP="00482CA1">
      <w:pPr>
        <w:spacing w:after="0" w:line="276" w:lineRule="auto"/>
        <w:ind w:firstLine="360"/>
        <w:jc w:val="both"/>
        <w:rPr>
          <w:rFonts w:ascii="Book Antiqua" w:eastAsia="Times New Roman" w:hAnsi="Book Antiqua" w:cs="Times New Roman"/>
          <w:bCs/>
          <w:kern w:val="0"/>
          <w14:ligatures w14:val="none"/>
        </w:rPr>
      </w:pPr>
      <w:r w:rsidRPr="00381915">
        <w:rPr>
          <w:rFonts w:ascii="Book Antiqua" w:eastAsia="Times New Roman" w:hAnsi="Book Antiqua" w:cs="Times New Roman"/>
          <w:bCs/>
          <w:kern w:val="0"/>
          <w14:ligatures w14:val="none"/>
        </w:rPr>
        <w:t xml:space="preserve">Evaluado el texto de derogación propuesto; el propósito de éste; el desarrollo normativo tanto de la Ley 212-2002, </w:t>
      </w:r>
      <w:r w:rsidRPr="00381915">
        <w:rPr>
          <w:rFonts w:ascii="Book Antiqua" w:eastAsia="Times New Roman" w:hAnsi="Book Antiqua" w:cs="Times New Roman"/>
          <w:bCs/>
          <w:i/>
          <w:iCs/>
          <w:kern w:val="0"/>
          <w14:ligatures w14:val="none"/>
        </w:rPr>
        <w:t>supra</w:t>
      </w:r>
      <w:r w:rsidRPr="00381915">
        <w:rPr>
          <w:rFonts w:ascii="Book Antiqua" w:eastAsia="Times New Roman" w:hAnsi="Book Antiqua" w:cs="Times New Roman"/>
          <w:bCs/>
          <w:kern w:val="0"/>
          <w14:ligatures w14:val="none"/>
        </w:rPr>
        <w:t xml:space="preserve">, como de la Ley núm. 209-2004, </w:t>
      </w:r>
      <w:r w:rsidRPr="00381915">
        <w:rPr>
          <w:rFonts w:ascii="Book Antiqua" w:eastAsia="Times New Roman" w:hAnsi="Book Antiqua" w:cs="Times New Roman"/>
          <w:bCs/>
          <w:i/>
          <w:iCs/>
          <w:kern w:val="0"/>
          <w14:ligatures w14:val="none"/>
        </w:rPr>
        <w:t>supra</w:t>
      </w:r>
      <w:r w:rsidR="00482CA1" w:rsidRPr="00381915">
        <w:rPr>
          <w:rFonts w:ascii="Book Antiqua" w:eastAsia="Times New Roman" w:hAnsi="Book Antiqua" w:cs="Times New Roman"/>
          <w:bCs/>
          <w:kern w:val="0"/>
          <w14:ligatures w14:val="none"/>
        </w:rPr>
        <w:t xml:space="preserve">; la posición del Departamento de la Vivienda, y la existencia de programas que de modo directo o indirecto ocupan el lugar y las funciones de la Corporación para la Revitalización de los Centros Urbanas y Áreas Urbanas, entendemos que el curso a seguir presentado por el P. de la C. 156 es el correcto. </w:t>
      </w:r>
    </w:p>
    <w:p w14:paraId="6AA413CC" w14:textId="67047936" w:rsidR="00A54AF0" w:rsidRPr="00381915" w:rsidRDefault="00A54AF0" w:rsidP="00A54AF0">
      <w:pPr>
        <w:keepNext/>
        <w:spacing w:after="0" w:line="240" w:lineRule="auto"/>
        <w:jc w:val="center"/>
        <w:outlineLvl w:val="2"/>
        <w:rPr>
          <w:rFonts w:ascii="Book Antiqua" w:eastAsia="Times New Roman" w:hAnsi="Book Antiqua" w:cs="Times New Roman"/>
          <w:b/>
          <w:bCs/>
          <w:spacing w:val="-3"/>
          <w:kern w:val="0"/>
          <w:lang w:val="es-ES" w:eastAsia="x-none"/>
          <w14:ligatures w14:val="none"/>
        </w:rPr>
      </w:pPr>
      <w:r w:rsidRPr="00381915">
        <w:rPr>
          <w:rFonts w:ascii="Book Antiqua" w:eastAsia="Times New Roman" w:hAnsi="Book Antiqua" w:cs="Times New Roman"/>
          <w:b/>
          <w:bCs/>
          <w:spacing w:val="-3"/>
          <w:kern w:val="0"/>
          <w:lang w:val="es-ES" w:eastAsia="x-none"/>
          <w14:ligatures w14:val="none"/>
        </w:rPr>
        <w:lastRenderedPageBreak/>
        <w:t>CONCLUSIÓN</w:t>
      </w:r>
    </w:p>
    <w:p w14:paraId="339877AA" w14:textId="77777777" w:rsidR="00A54AF0" w:rsidRPr="00381915" w:rsidRDefault="00A54AF0" w:rsidP="00A54AF0">
      <w:pPr>
        <w:spacing w:after="0" w:line="240" w:lineRule="auto"/>
        <w:jc w:val="both"/>
        <w:rPr>
          <w:rFonts w:ascii="Book Antiqua" w:eastAsia="Times New Roman" w:hAnsi="Book Antiqua" w:cs="Times New Roman"/>
          <w:kern w:val="0"/>
          <w:sz w:val="22"/>
          <w14:ligatures w14:val="none"/>
        </w:rPr>
      </w:pPr>
    </w:p>
    <w:p w14:paraId="7B338694" w14:textId="0DD3BA87" w:rsidR="00A54AF0" w:rsidRPr="00381915" w:rsidRDefault="00A54AF0" w:rsidP="00482CA1">
      <w:pPr>
        <w:spacing w:after="0" w:line="276" w:lineRule="auto"/>
        <w:ind w:firstLine="360"/>
        <w:jc w:val="both"/>
        <w:rPr>
          <w:rFonts w:ascii="Book Antiqua" w:eastAsia="Times New Roman" w:hAnsi="Book Antiqua" w:cs="Times New Roman"/>
          <w:kern w:val="0"/>
          <w14:ligatures w14:val="none"/>
        </w:rPr>
      </w:pPr>
      <w:r w:rsidRPr="00381915">
        <w:rPr>
          <w:rFonts w:ascii="Book Antiqua" w:eastAsia="Times New Roman" w:hAnsi="Book Antiqua" w:cs="Times New Roman"/>
          <w:kern w:val="0"/>
          <w14:ligatures w14:val="none"/>
        </w:rPr>
        <w:t xml:space="preserve">Por los fundamentos antes expuestos, la </w:t>
      </w:r>
      <w:r w:rsidRPr="00381915">
        <w:rPr>
          <w:rFonts w:ascii="Book Antiqua" w:eastAsia="Times New Roman" w:hAnsi="Book Antiqua" w:cs="Times New Roman"/>
          <w:i/>
          <w:iCs/>
          <w:kern w:val="0"/>
          <w:lang w:val="es-ES"/>
          <w14:ligatures w14:val="none"/>
        </w:rPr>
        <w:t>Comisión de Reorganización, Eficiencia y Diligencia</w:t>
      </w:r>
      <w:r w:rsidR="00482CA1" w:rsidRPr="00381915">
        <w:rPr>
          <w:rFonts w:ascii="Book Antiqua" w:eastAsia="Times New Roman" w:hAnsi="Book Antiqua" w:cs="Times New Roman"/>
          <w:i/>
          <w:iCs/>
          <w:kern w:val="0"/>
          <w:lang w:val="es-ES"/>
          <w14:ligatures w14:val="none"/>
        </w:rPr>
        <w:t xml:space="preserve"> (CRED)</w:t>
      </w:r>
      <w:r w:rsidRPr="00381915">
        <w:rPr>
          <w:rFonts w:ascii="Book Antiqua" w:eastAsia="Times New Roman" w:hAnsi="Book Antiqua" w:cs="Times New Roman"/>
          <w:kern w:val="0"/>
          <w14:ligatures w14:val="none"/>
        </w:rPr>
        <w:t xml:space="preserve"> somete el presente </w:t>
      </w:r>
      <w:r w:rsidRPr="00381915">
        <w:rPr>
          <w:rFonts w:ascii="Book Antiqua" w:eastAsia="Times New Roman" w:hAnsi="Book Antiqua" w:cs="Times New Roman"/>
          <w:b/>
          <w:bCs/>
          <w:kern w:val="0"/>
          <w:u w:val="single"/>
          <w14:ligatures w14:val="none"/>
        </w:rPr>
        <w:t>Informe Positivo</w:t>
      </w:r>
      <w:r w:rsidRPr="00381915">
        <w:rPr>
          <w:rFonts w:ascii="Book Antiqua" w:eastAsia="Times New Roman" w:hAnsi="Book Antiqua" w:cs="Times New Roman"/>
          <w:kern w:val="0"/>
          <w14:ligatures w14:val="none"/>
        </w:rPr>
        <w:t xml:space="preserve"> en el que </w:t>
      </w:r>
      <w:r w:rsidRPr="00381915">
        <w:rPr>
          <w:rFonts w:ascii="Book Antiqua" w:eastAsia="Times New Roman" w:hAnsi="Book Antiqua" w:cs="Times New Roman"/>
          <w:kern w:val="0"/>
          <w:u w:val="single"/>
          <w14:ligatures w14:val="none"/>
        </w:rPr>
        <w:t>recomiendan</w:t>
      </w:r>
      <w:r w:rsidRPr="00381915">
        <w:rPr>
          <w:rFonts w:ascii="Book Antiqua" w:eastAsia="Times New Roman" w:hAnsi="Book Antiqua" w:cs="Times New Roman"/>
          <w:kern w:val="0"/>
          <w14:ligatures w14:val="none"/>
        </w:rPr>
        <w:t xml:space="preserve"> a esta Cámara de Representantes que </w:t>
      </w:r>
      <w:r w:rsidRPr="00381915">
        <w:rPr>
          <w:rFonts w:ascii="Book Antiqua" w:eastAsia="Times New Roman" w:hAnsi="Book Antiqua" w:cs="Times New Roman"/>
          <w:kern w:val="0"/>
          <w:u w:val="single"/>
          <w14:ligatures w14:val="none"/>
        </w:rPr>
        <w:t>apruebe</w:t>
      </w:r>
      <w:r w:rsidRPr="00381915">
        <w:rPr>
          <w:rFonts w:ascii="Book Antiqua" w:eastAsia="Times New Roman" w:hAnsi="Book Antiqua" w:cs="Times New Roman"/>
          <w:kern w:val="0"/>
          <w14:ligatures w14:val="none"/>
        </w:rPr>
        <w:t xml:space="preserve"> el Proyecto de la Cámara 15</w:t>
      </w:r>
      <w:r w:rsidR="003A1460" w:rsidRPr="00381915">
        <w:rPr>
          <w:rFonts w:ascii="Book Antiqua" w:eastAsia="Times New Roman" w:hAnsi="Book Antiqua" w:cs="Times New Roman"/>
          <w:kern w:val="0"/>
          <w14:ligatures w14:val="none"/>
        </w:rPr>
        <w:t>6</w:t>
      </w:r>
      <w:r w:rsidRPr="00381915">
        <w:rPr>
          <w:rFonts w:ascii="Book Antiqua" w:eastAsia="Times New Roman" w:hAnsi="Book Antiqua" w:cs="Times New Roman"/>
          <w:kern w:val="0"/>
          <w14:ligatures w14:val="none"/>
        </w:rPr>
        <w:t xml:space="preserve">, </w:t>
      </w:r>
      <w:r w:rsidRPr="00381915">
        <w:rPr>
          <w:rFonts w:ascii="Book Antiqua" w:eastAsia="Times New Roman" w:hAnsi="Book Antiqua" w:cs="Times New Roman"/>
          <w:kern w:val="0"/>
          <w:u w:val="single"/>
          <w14:ligatures w14:val="none"/>
        </w:rPr>
        <w:t>sin enmiendas</w:t>
      </w:r>
      <w:r w:rsidRPr="00381915">
        <w:rPr>
          <w:rFonts w:ascii="Book Antiqua" w:eastAsia="Times New Roman" w:hAnsi="Book Antiqua" w:cs="Times New Roman"/>
          <w:kern w:val="0"/>
          <w14:ligatures w14:val="none"/>
        </w:rPr>
        <w:t xml:space="preserve"> al texto propuesto. </w:t>
      </w:r>
    </w:p>
    <w:p w14:paraId="02BEC319" w14:textId="77777777" w:rsidR="00A54AF0" w:rsidRPr="00381915" w:rsidRDefault="00A54AF0" w:rsidP="00A54AF0">
      <w:pPr>
        <w:spacing w:after="0" w:line="240" w:lineRule="auto"/>
        <w:rPr>
          <w:rFonts w:ascii="Book Antiqua" w:eastAsia="Times New Roman" w:hAnsi="Book Antiqua" w:cs="Times New Roman"/>
          <w:kern w:val="0"/>
          <w:sz w:val="22"/>
          <w:lang w:eastAsia="x-none"/>
          <w14:ligatures w14:val="none"/>
        </w:rPr>
      </w:pPr>
    </w:p>
    <w:p w14:paraId="6B4F35C6" w14:textId="77777777" w:rsidR="00A54AF0" w:rsidRPr="00381915" w:rsidRDefault="00A54AF0" w:rsidP="00482CA1">
      <w:pPr>
        <w:spacing w:after="0" w:line="240" w:lineRule="auto"/>
        <w:ind w:firstLine="360"/>
        <w:rPr>
          <w:rFonts w:ascii="Book Antiqua" w:eastAsia="Times New Roman" w:hAnsi="Book Antiqua" w:cs="Times New Roman"/>
          <w:kern w:val="0"/>
          <w:lang w:eastAsia="x-none"/>
          <w14:ligatures w14:val="none"/>
        </w:rPr>
      </w:pPr>
      <w:r w:rsidRPr="00381915">
        <w:rPr>
          <w:rFonts w:ascii="Book Antiqua" w:eastAsia="Times New Roman" w:hAnsi="Book Antiqua" w:cs="Times New Roman"/>
          <w:kern w:val="0"/>
          <w:lang w:eastAsia="x-none"/>
          <w14:ligatures w14:val="none"/>
        </w:rPr>
        <w:t>Respetuosamente sometido,</w:t>
      </w:r>
    </w:p>
    <w:p w14:paraId="58CEE6C4" w14:textId="77777777" w:rsidR="00A54AF0" w:rsidRPr="00381915" w:rsidRDefault="00A54AF0" w:rsidP="00A54AF0">
      <w:pPr>
        <w:spacing w:after="0" w:line="240" w:lineRule="auto"/>
        <w:rPr>
          <w:rFonts w:ascii="Book Antiqua" w:eastAsia="Times New Roman" w:hAnsi="Book Antiqua" w:cs="Times New Roman"/>
          <w:kern w:val="0"/>
          <w:lang w:eastAsia="x-none"/>
          <w14:ligatures w14:val="none"/>
        </w:rPr>
      </w:pPr>
    </w:p>
    <w:p w14:paraId="51D10608" w14:textId="77777777" w:rsidR="00A54AF0" w:rsidRPr="00381915" w:rsidRDefault="00A54AF0" w:rsidP="00A54AF0">
      <w:pPr>
        <w:spacing w:after="0" w:line="240" w:lineRule="auto"/>
        <w:rPr>
          <w:rFonts w:ascii="Book Antiqua" w:eastAsia="Times New Roman" w:hAnsi="Book Antiqua" w:cs="Times New Roman"/>
          <w:kern w:val="0"/>
          <w:lang w:eastAsia="x-none"/>
          <w14:ligatures w14:val="none"/>
        </w:rPr>
      </w:pPr>
    </w:p>
    <w:p w14:paraId="32D798A3" w14:textId="77777777" w:rsidR="00647DED" w:rsidRPr="00381915" w:rsidRDefault="00647DED" w:rsidP="00A54AF0">
      <w:pPr>
        <w:spacing w:after="0" w:line="240" w:lineRule="auto"/>
        <w:rPr>
          <w:rFonts w:ascii="Book Antiqua" w:eastAsia="Times New Roman" w:hAnsi="Book Antiqua" w:cs="Times New Roman"/>
          <w:kern w:val="0"/>
          <w:lang w:eastAsia="x-none"/>
          <w14:ligatures w14:val="none"/>
        </w:rPr>
      </w:pPr>
    </w:p>
    <w:p w14:paraId="5AE1325A" w14:textId="77777777" w:rsidR="00A54AF0" w:rsidRPr="00381915" w:rsidRDefault="00A54AF0" w:rsidP="00AC29DB">
      <w:pPr>
        <w:spacing w:after="0" w:line="240" w:lineRule="auto"/>
        <w:jc w:val="both"/>
        <w:rPr>
          <w:rFonts w:ascii="Book Antiqua" w:eastAsia="Times New Roman" w:hAnsi="Book Antiqua" w:cs="Times New Roman"/>
          <w:b/>
          <w:bCs/>
          <w:kern w:val="0"/>
          <w:lang w:eastAsia="x-none"/>
          <w14:ligatures w14:val="none"/>
        </w:rPr>
      </w:pPr>
      <w:proofErr w:type="spellStart"/>
      <w:r w:rsidRPr="00381915">
        <w:rPr>
          <w:rFonts w:ascii="Book Antiqua" w:eastAsia="Times New Roman" w:hAnsi="Book Antiqua" w:cs="Times New Roman"/>
          <w:b/>
          <w:bCs/>
          <w:kern w:val="0"/>
          <w:lang w:eastAsia="x-none"/>
          <w14:ligatures w14:val="none"/>
        </w:rPr>
        <w:t>Hon</w:t>
      </w:r>
      <w:proofErr w:type="spellEnd"/>
      <w:r w:rsidRPr="00381915">
        <w:rPr>
          <w:rFonts w:ascii="Book Antiqua" w:eastAsia="Times New Roman" w:hAnsi="Book Antiqua" w:cs="Times New Roman"/>
          <w:b/>
          <w:bCs/>
          <w:kern w:val="0"/>
          <w:lang w:eastAsia="x-none"/>
          <w14:ligatures w14:val="none"/>
        </w:rPr>
        <w:t>. Ángel A. Morey Noble</w:t>
      </w:r>
      <w:r w:rsidRPr="00381915">
        <w:rPr>
          <w:rFonts w:ascii="Book Antiqua" w:eastAsia="Times New Roman" w:hAnsi="Book Antiqua" w:cs="Times New Roman"/>
          <w:b/>
          <w:bCs/>
          <w:kern w:val="0"/>
          <w:lang w:eastAsia="x-none"/>
          <w14:ligatures w14:val="none"/>
        </w:rPr>
        <w:tab/>
        <w:t xml:space="preserve"> </w:t>
      </w:r>
    </w:p>
    <w:p w14:paraId="0C55918C" w14:textId="77777777" w:rsidR="00A54AF0" w:rsidRPr="00381915" w:rsidRDefault="00A54AF0" w:rsidP="00AC29DB">
      <w:pPr>
        <w:spacing w:after="0" w:line="240" w:lineRule="auto"/>
        <w:jc w:val="both"/>
        <w:rPr>
          <w:rFonts w:ascii="Book Antiqua" w:eastAsia="Times New Roman" w:hAnsi="Book Antiqua" w:cs="Times New Roman"/>
          <w:i/>
          <w:iCs/>
          <w:kern w:val="0"/>
          <w:lang w:eastAsia="x-none"/>
          <w14:ligatures w14:val="none"/>
        </w:rPr>
      </w:pPr>
      <w:r w:rsidRPr="00381915">
        <w:rPr>
          <w:rFonts w:ascii="Book Antiqua" w:eastAsia="Times New Roman" w:hAnsi="Book Antiqua" w:cs="Times New Roman"/>
          <w:i/>
          <w:iCs/>
          <w:kern w:val="0"/>
          <w:lang w:eastAsia="x-none"/>
          <w14:ligatures w14:val="none"/>
        </w:rPr>
        <w:t>Presidente</w:t>
      </w:r>
      <w:r w:rsidRPr="00381915">
        <w:rPr>
          <w:rFonts w:ascii="Book Antiqua" w:eastAsia="Times New Roman" w:hAnsi="Book Antiqua" w:cs="Times New Roman"/>
          <w:i/>
          <w:iCs/>
          <w:kern w:val="0"/>
          <w:lang w:eastAsia="x-none"/>
          <w14:ligatures w14:val="none"/>
        </w:rPr>
        <w:tab/>
      </w:r>
      <w:r w:rsidRPr="00381915">
        <w:rPr>
          <w:rFonts w:ascii="Book Antiqua" w:eastAsia="Times New Roman" w:hAnsi="Book Antiqua" w:cs="Times New Roman"/>
          <w:i/>
          <w:iCs/>
          <w:kern w:val="0"/>
          <w:lang w:eastAsia="x-none"/>
          <w14:ligatures w14:val="none"/>
        </w:rPr>
        <w:tab/>
      </w:r>
      <w:r w:rsidRPr="00381915">
        <w:rPr>
          <w:rFonts w:ascii="Book Antiqua" w:eastAsia="Times New Roman" w:hAnsi="Book Antiqua" w:cs="Times New Roman"/>
          <w:i/>
          <w:iCs/>
          <w:kern w:val="0"/>
          <w:lang w:eastAsia="x-none"/>
          <w14:ligatures w14:val="none"/>
        </w:rPr>
        <w:tab/>
      </w:r>
      <w:r w:rsidRPr="00381915">
        <w:rPr>
          <w:rFonts w:ascii="Book Antiqua" w:eastAsia="Times New Roman" w:hAnsi="Book Antiqua" w:cs="Times New Roman"/>
          <w:i/>
          <w:iCs/>
          <w:kern w:val="0"/>
          <w:lang w:eastAsia="x-none"/>
          <w14:ligatures w14:val="none"/>
        </w:rPr>
        <w:tab/>
      </w:r>
      <w:r w:rsidRPr="00381915">
        <w:rPr>
          <w:rFonts w:ascii="Book Antiqua" w:eastAsia="Times New Roman" w:hAnsi="Book Antiqua" w:cs="Times New Roman"/>
          <w:i/>
          <w:iCs/>
          <w:kern w:val="0"/>
          <w:lang w:eastAsia="x-none"/>
          <w14:ligatures w14:val="none"/>
        </w:rPr>
        <w:tab/>
      </w:r>
      <w:r w:rsidRPr="00381915">
        <w:rPr>
          <w:rFonts w:ascii="Book Antiqua" w:eastAsia="Times New Roman" w:hAnsi="Book Antiqua" w:cs="Times New Roman"/>
          <w:i/>
          <w:iCs/>
          <w:kern w:val="0"/>
          <w:lang w:eastAsia="x-none"/>
          <w14:ligatures w14:val="none"/>
        </w:rPr>
        <w:tab/>
      </w:r>
      <w:r w:rsidRPr="00381915">
        <w:rPr>
          <w:rFonts w:ascii="Book Antiqua" w:eastAsia="Times New Roman" w:hAnsi="Book Antiqua" w:cs="Times New Roman"/>
          <w:i/>
          <w:iCs/>
          <w:kern w:val="0"/>
          <w:lang w:eastAsia="x-none"/>
          <w14:ligatures w14:val="none"/>
        </w:rPr>
        <w:tab/>
      </w:r>
      <w:r w:rsidRPr="00381915">
        <w:rPr>
          <w:rFonts w:ascii="Book Antiqua" w:eastAsia="Times New Roman" w:hAnsi="Book Antiqua" w:cs="Times New Roman"/>
          <w:i/>
          <w:iCs/>
          <w:kern w:val="0"/>
          <w:lang w:eastAsia="x-none"/>
          <w14:ligatures w14:val="none"/>
        </w:rPr>
        <w:tab/>
      </w:r>
      <w:r w:rsidRPr="00381915">
        <w:rPr>
          <w:rFonts w:ascii="Book Antiqua" w:eastAsia="Times New Roman" w:hAnsi="Book Antiqua" w:cs="Times New Roman"/>
          <w:i/>
          <w:iCs/>
          <w:kern w:val="0"/>
          <w:lang w:eastAsia="x-none"/>
          <w14:ligatures w14:val="none"/>
        </w:rPr>
        <w:tab/>
      </w:r>
      <w:r w:rsidRPr="00381915">
        <w:rPr>
          <w:rFonts w:ascii="Book Antiqua" w:eastAsia="Times New Roman" w:hAnsi="Book Antiqua" w:cs="Times New Roman"/>
          <w:i/>
          <w:iCs/>
          <w:kern w:val="0"/>
          <w:lang w:eastAsia="x-none"/>
          <w14:ligatures w14:val="none"/>
        </w:rPr>
        <w:tab/>
      </w:r>
    </w:p>
    <w:p w14:paraId="60E9B1BB" w14:textId="047D4680" w:rsidR="00A54AF0" w:rsidRPr="00381915" w:rsidRDefault="00A54AF0" w:rsidP="00AC29DB">
      <w:pPr>
        <w:spacing w:after="0" w:line="240" w:lineRule="auto"/>
        <w:ind w:left="5760" w:hanging="5760"/>
        <w:jc w:val="both"/>
        <w:rPr>
          <w:rFonts w:ascii="Book Antiqua" w:eastAsia="Times New Roman" w:hAnsi="Book Antiqua" w:cs="Times New Roman"/>
          <w:kern w:val="0"/>
          <w:lang w:eastAsia="x-none"/>
          <w14:ligatures w14:val="none"/>
        </w:rPr>
      </w:pPr>
      <w:r w:rsidRPr="00381915">
        <w:rPr>
          <w:rFonts w:ascii="Book Antiqua" w:eastAsia="Times New Roman" w:hAnsi="Book Antiqua" w:cs="Times New Roman"/>
          <w:kern w:val="0"/>
          <w:lang w:val="es-ES" w:eastAsia="x-none"/>
          <w14:ligatures w14:val="none"/>
        </w:rPr>
        <w:t>Comisión de Reorganización Eficiencia y Diligencia</w:t>
      </w:r>
    </w:p>
    <w:sectPr w:rsidR="00A54AF0" w:rsidRPr="003819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22DE72" w14:textId="77777777" w:rsidR="00A54AF0" w:rsidRDefault="00A54AF0" w:rsidP="00A54AF0">
      <w:pPr>
        <w:spacing w:after="0" w:line="240" w:lineRule="auto"/>
      </w:pPr>
      <w:r>
        <w:separator/>
      </w:r>
    </w:p>
  </w:endnote>
  <w:endnote w:type="continuationSeparator" w:id="0">
    <w:p w14:paraId="1E7CDC70" w14:textId="77777777" w:rsidR="00A54AF0" w:rsidRDefault="00A54AF0" w:rsidP="00A54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651451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9CC3E1" w14:textId="26FDF672" w:rsidR="00E97F9B" w:rsidRDefault="00E97F9B">
        <w:pPr>
          <w:pStyle w:val="Footer"/>
          <w:jc w:val="center"/>
        </w:pPr>
        <w:r w:rsidRPr="00254045">
          <w:rPr>
            <w:rFonts w:ascii="Times New Roman" w:hAnsi="Times New Roman" w:cs="Times New Roman"/>
          </w:rPr>
          <w:fldChar w:fldCharType="begin"/>
        </w:r>
        <w:r w:rsidRPr="00254045">
          <w:rPr>
            <w:rFonts w:ascii="Times New Roman" w:hAnsi="Times New Roman" w:cs="Times New Roman"/>
          </w:rPr>
          <w:instrText xml:space="preserve"> PAGE   \* MERGEFORMAT </w:instrText>
        </w:r>
        <w:r w:rsidRPr="00254045">
          <w:rPr>
            <w:rFonts w:ascii="Times New Roman" w:hAnsi="Times New Roman" w:cs="Times New Roman"/>
          </w:rPr>
          <w:fldChar w:fldCharType="separate"/>
        </w:r>
        <w:r w:rsidRPr="00254045">
          <w:rPr>
            <w:rFonts w:ascii="Times New Roman" w:hAnsi="Times New Roman" w:cs="Times New Roman"/>
            <w:noProof/>
          </w:rPr>
          <w:t>2</w:t>
        </w:r>
        <w:r w:rsidRPr="00254045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1A90F815" w14:textId="77777777" w:rsidR="00E97F9B" w:rsidRDefault="00E97F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14106D" w14:textId="77777777" w:rsidR="00A54AF0" w:rsidRDefault="00A54AF0" w:rsidP="00A54AF0">
      <w:pPr>
        <w:spacing w:after="0" w:line="240" w:lineRule="auto"/>
      </w:pPr>
      <w:r>
        <w:separator/>
      </w:r>
    </w:p>
  </w:footnote>
  <w:footnote w:type="continuationSeparator" w:id="0">
    <w:p w14:paraId="27B8D503" w14:textId="77777777" w:rsidR="00A54AF0" w:rsidRDefault="00A54AF0" w:rsidP="00A54AF0">
      <w:pPr>
        <w:spacing w:after="0" w:line="240" w:lineRule="auto"/>
      </w:pPr>
      <w:r>
        <w:continuationSeparator/>
      </w:r>
    </w:p>
  </w:footnote>
  <w:footnote w:id="1">
    <w:p w14:paraId="44ECCAAE" w14:textId="036BD5E6" w:rsidR="00133655" w:rsidRPr="002741D8" w:rsidRDefault="00133655">
      <w:pPr>
        <w:pStyle w:val="FootnoteText"/>
        <w:rPr>
          <w:rFonts w:ascii="Book Antiqua" w:hAnsi="Book Antiqua" w:cs="Times New Roman"/>
        </w:rPr>
      </w:pPr>
      <w:r w:rsidRPr="002741D8">
        <w:rPr>
          <w:rStyle w:val="FootnoteReference"/>
          <w:rFonts w:ascii="Book Antiqua" w:hAnsi="Book Antiqua"/>
        </w:rPr>
        <w:footnoteRef/>
      </w:r>
      <w:r w:rsidRPr="002741D8">
        <w:rPr>
          <w:rFonts w:ascii="Book Antiqua" w:hAnsi="Book Antiqua" w:cs="Times New Roman"/>
        </w:rPr>
        <w:t xml:space="preserve"> </w:t>
      </w:r>
      <w:r w:rsidRPr="002741D8">
        <w:rPr>
          <w:rFonts w:ascii="Book Antiqua" w:hAnsi="Book Antiqua" w:cs="Times New Roman"/>
        </w:rPr>
        <w:tab/>
        <w:t xml:space="preserve">Véase, Art. 95 de la Ley Núm. 40-2020. </w:t>
      </w:r>
    </w:p>
  </w:footnote>
  <w:footnote w:id="2">
    <w:p w14:paraId="53DDFB49" w14:textId="5CD0283B" w:rsidR="00133655" w:rsidRPr="002741D8" w:rsidRDefault="00133655">
      <w:pPr>
        <w:pStyle w:val="FootnoteText"/>
        <w:rPr>
          <w:rFonts w:ascii="Book Antiqua" w:hAnsi="Book Antiqua" w:cs="Times New Roman"/>
        </w:rPr>
      </w:pPr>
      <w:r w:rsidRPr="002741D8">
        <w:rPr>
          <w:rStyle w:val="FootnoteReference"/>
          <w:rFonts w:ascii="Book Antiqua" w:hAnsi="Book Antiqua"/>
        </w:rPr>
        <w:footnoteRef/>
      </w:r>
      <w:r w:rsidRPr="002741D8">
        <w:rPr>
          <w:rFonts w:ascii="Book Antiqua" w:hAnsi="Book Antiqua" w:cs="Times New Roman"/>
        </w:rPr>
        <w:t xml:space="preserve"> </w:t>
      </w:r>
      <w:r w:rsidR="00852B05" w:rsidRPr="002741D8">
        <w:rPr>
          <w:rFonts w:ascii="Book Antiqua" w:hAnsi="Book Antiqua" w:cs="Times New Roman"/>
        </w:rPr>
        <w:tab/>
        <w:t xml:space="preserve">Véase </w:t>
      </w:r>
      <w:r w:rsidR="00D74A1B" w:rsidRPr="002741D8">
        <w:rPr>
          <w:rFonts w:ascii="Book Antiqua" w:hAnsi="Book Antiqua" w:cs="Times New Roman"/>
        </w:rPr>
        <w:t>Vigésima</w:t>
      </w:r>
      <w:r w:rsidR="00625A5D" w:rsidRPr="002741D8">
        <w:rPr>
          <w:rFonts w:ascii="Book Antiqua" w:hAnsi="Book Antiqua" w:cs="Times New Roman"/>
        </w:rPr>
        <w:t xml:space="preserve"> Asamblea Legislativa, </w:t>
      </w:r>
      <w:r w:rsidR="00852B05" w:rsidRPr="002741D8">
        <w:rPr>
          <w:rFonts w:ascii="Book Antiqua" w:hAnsi="Book Antiqua" w:cs="Times New Roman"/>
        </w:rPr>
        <w:t>P. de la C. 156, Exposición de Motivos, pág. 2.</w:t>
      </w:r>
    </w:p>
  </w:footnote>
  <w:footnote w:id="3">
    <w:p w14:paraId="2AB61727" w14:textId="172018E0" w:rsidR="00133655" w:rsidRPr="002741D8" w:rsidRDefault="00133655">
      <w:pPr>
        <w:pStyle w:val="FootnoteText"/>
        <w:rPr>
          <w:rFonts w:ascii="Book Antiqua" w:hAnsi="Book Antiqua" w:cs="Times New Roman"/>
        </w:rPr>
      </w:pPr>
      <w:r w:rsidRPr="002741D8">
        <w:rPr>
          <w:rStyle w:val="FootnoteReference"/>
          <w:rFonts w:ascii="Book Antiqua" w:hAnsi="Book Antiqua"/>
        </w:rPr>
        <w:footnoteRef/>
      </w:r>
      <w:r w:rsidRPr="002741D8">
        <w:rPr>
          <w:rFonts w:ascii="Book Antiqua" w:hAnsi="Book Antiqua" w:cs="Times New Roman"/>
        </w:rPr>
        <w:t xml:space="preserve"> </w:t>
      </w:r>
      <w:r w:rsidR="00852B05" w:rsidRPr="002741D8">
        <w:rPr>
          <w:rFonts w:ascii="Book Antiqua" w:hAnsi="Book Antiqua" w:cs="Times New Roman"/>
        </w:rPr>
        <w:tab/>
      </w:r>
      <w:r w:rsidR="00625A5D" w:rsidRPr="002741D8">
        <w:rPr>
          <w:rFonts w:ascii="Book Antiqua" w:hAnsi="Book Antiqua" w:cs="Times New Roman"/>
        </w:rPr>
        <w:t xml:space="preserve">Véase, Vigésima Asamblea Legislativa, P. de la C. 156, pág. 2. </w:t>
      </w:r>
      <w:proofErr w:type="gramStart"/>
      <w:r w:rsidR="00625A5D" w:rsidRPr="002741D8">
        <w:rPr>
          <w:rFonts w:ascii="Book Antiqua" w:hAnsi="Book Antiqua" w:cs="Times New Roman"/>
        </w:rPr>
        <w:t>Véase</w:t>
      </w:r>
      <w:proofErr w:type="gramEnd"/>
      <w:r w:rsidR="00625A5D" w:rsidRPr="002741D8">
        <w:rPr>
          <w:rFonts w:ascii="Book Antiqua" w:hAnsi="Book Antiqua" w:cs="Times New Roman"/>
        </w:rPr>
        <w:t xml:space="preserve"> además, Décimo Octava Asamblea Legislativa, P. de la C. 2419, </w:t>
      </w:r>
      <w:r w:rsidR="00625A5D" w:rsidRPr="002741D8">
        <w:rPr>
          <w:rFonts w:ascii="Book Antiqua" w:hAnsi="Book Antiqua" w:cs="Times New Roman"/>
          <w:i/>
          <w:iCs/>
        </w:rPr>
        <w:t>Exposición de Motivos</w:t>
      </w:r>
      <w:r w:rsidR="00625A5D" w:rsidRPr="002741D8">
        <w:rPr>
          <w:rFonts w:ascii="Book Antiqua" w:hAnsi="Book Antiqua" w:cs="Times New Roman"/>
        </w:rPr>
        <w:t>, pág. 3.</w:t>
      </w:r>
    </w:p>
  </w:footnote>
  <w:footnote w:id="4">
    <w:p w14:paraId="08555AEC" w14:textId="12585766" w:rsidR="00625A5D" w:rsidRPr="002741D8" w:rsidRDefault="00625A5D">
      <w:pPr>
        <w:pStyle w:val="FootnoteText"/>
        <w:rPr>
          <w:rFonts w:ascii="Book Antiqua" w:hAnsi="Book Antiqua" w:cs="Times New Roman"/>
        </w:rPr>
      </w:pPr>
      <w:r w:rsidRPr="002741D8">
        <w:rPr>
          <w:rStyle w:val="FootnoteReference"/>
          <w:rFonts w:ascii="Book Antiqua" w:hAnsi="Book Antiqua"/>
        </w:rPr>
        <w:footnoteRef/>
      </w:r>
      <w:r w:rsidRPr="002741D8">
        <w:rPr>
          <w:rFonts w:ascii="Book Antiqua" w:hAnsi="Book Antiqua" w:cs="Times New Roman"/>
        </w:rPr>
        <w:t xml:space="preserve"> </w:t>
      </w:r>
      <w:r w:rsidR="00D74A1B" w:rsidRPr="002741D8">
        <w:rPr>
          <w:rFonts w:ascii="Book Antiqua" w:hAnsi="Book Antiqua" w:cs="Times New Roman"/>
        </w:rPr>
        <w:tab/>
        <w:t xml:space="preserve">Departamento de la Vivienda, Memorial Explicativo sobre el Proyecto de la Cámara 156 (P. de la C. 156), págs. </w:t>
      </w:r>
      <w:r w:rsidR="002741D8" w:rsidRPr="002741D8">
        <w:rPr>
          <w:rFonts w:ascii="Book Antiqua" w:hAnsi="Book Antiqua" w:cs="Times New Roman"/>
        </w:rPr>
        <w:t>1-2.</w:t>
      </w:r>
    </w:p>
  </w:footnote>
  <w:footnote w:id="5">
    <w:p w14:paraId="285125C7" w14:textId="333AEEA9" w:rsidR="00625A5D" w:rsidRPr="002741D8" w:rsidRDefault="00625A5D">
      <w:pPr>
        <w:pStyle w:val="FootnoteText"/>
        <w:rPr>
          <w:rFonts w:ascii="Book Antiqua" w:hAnsi="Book Antiqua" w:cs="Times New Roman"/>
        </w:rPr>
      </w:pPr>
      <w:r w:rsidRPr="002741D8">
        <w:rPr>
          <w:rStyle w:val="FootnoteReference"/>
          <w:rFonts w:ascii="Book Antiqua" w:hAnsi="Book Antiqua"/>
        </w:rPr>
        <w:footnoteRef/>
      </w:r>
      <w:r w:rsidRPr="002741D8">
        <w:rPr>
          <w:rFonts w:ascii="Book Antiqua" w:hAnsi="Book Antiqua" w:cs="Times New Roman"/>
        </w:rPr>
        <w:t xml:space="preserve"> </w:t>
      </w:r>
      <w:r w:rsidR="002741D8" w:rsidRPr="002741D8">
        <w:rPr>
          <w:rFonts w:ascii="Book Antiqua" w:hAnsi="Book Antiqua" w:cs="Times New Roman"/>
        </w:rPr>
        <w:tab/>
      </w:r>
      <w:r w:rsidR="002741D8" w:rsidRPr="002741D8">
        <w:rPr>
          <w:rFonts w:ascii="Book Antiqua" w:hAnsi="Book Antiqua" w:cs="Times New Roman"/>
          <w:i/>
          <w:iCs/>
        </w:rPr>
        <w:t>Id</w:t>
      </w:r>
      <w:r w:rsidR="002741D8" w:rsidRPr="002741D8">
        <w:rPr>
          <w:rFonts w:ascii="Book Antiqua" w:hAnsi="Book Antiqua" w:cs="Times New Roman"/>
        </w:rPr>
        <w:t>., pág. 2-5.</w:t>
      </w:r>
    </w:p>
  </w:footnote>
  <w:footnote w:id="6">
    <w:p w14:paraId="36084411" w14:textId="6233BC13" w:rsidR="00625A5D" w:rsidRPr="00D74A1B" w:rsidRDefault="00625A5D">
      <w:pPr>
        <w:pStyle w:val="FootnoteText"/>
      </w:pPr>
      <w:r w:rsidRPr="002741D8">
        <w:rPr>
          <w:rStyle w:val="FootnoteReference"/>
          <w:rFonts w:ascii="Book Antiqua" w:hAnsi="Book Antiqua"/>
        </w:rPr>
        <w:footnoteRef/>
      </w:r>
      <w:r w:rsidRPr="002741D8">
        <w:rPr>
          <w:rFonts w:ascii="Book Antiqua" w:hAnsi="Book Antiqua" w:cs="Times New Roman"/>
        </w:rPr>
        <w:t xml:space="preserve"> </w:t>
      </w:r>
      <w:r w:rsidR="002741D8" w:rsidRPr="002741D8">
        <w:rPr>
          <w:rFonts w:ascii="Book Antiqua" w:hAnsi="Book Antiqua" w:cs="Times New Roman"/>
        </w:rPr>
        <w:tab/>
      </w:r>
      <w:r w:rsidR="002741D8" w:rsidRPr="002741D8">
        <w:rPr>
          <w:rFonts w:ascii="Book Antiqua" w:hAnsi="Book Antiqua" w:cs="Times New Roman"/>
          <w:i/>
          <w:iCs/>
        </w:rPr>
        <w:t>Íd</w:t>
      </w:r>
      <w:r w:rsidR="002741D8" w:rsidRPr="002741D8">
        <w:rPr>
          <w:rFonts w:ascii="Book Antiqua" w:hAnsi="Book Antiqua" w:cs="Times New Roman"/>
        </w:rPr>
        <w:t>., pág. 5.</w:t>
      </w:r>
    </w:p>
  </w:footnote>
  <w:footnote w:id="7">
    <w:p w14:paraId="5A44D657" w14:textId="0548458B" w:rsidR="007F203D" w:rsidRPr="0058030F" w:rsidRDefault="007F203D">
      <w:pPr>
        <w:pStyle w:val="FootnoteText"/>
        <w:rPr>
          <w:rFonts w:ascii="Book Antiqua" w:hAnsi="Book Antiqua" w:cs="Times New Roman"/>
        </w:rPr>
      </w:pPr>
      <w:r w:rsidRPr="0058030F">
        <w:rPr>
          <w:rStyle w:val="FootnoteReference"/>
          <w:rFonts w:ascii="Book Antiqua" w:hAnsi="Book Antiqua"/>
        </w:rPr>
        <w:footnoteRef/>
      </w:r>
      <w:r w:rsidRPr="0058030F">
        <w:rPr>
          <w:rFonts w:ascii="Book Antiqua" w:hAnsi="Book Antiqua" w:cs="Times New Roman"/>
        </w:rPr>
        <w:t xml:space="preserve"> </w:t>
      </w:r>
      <w:r w:rsidR="0058030F">
        <w:rPr>
          <w:rFonts w:ascii="Book Antiqua" w:hAnsi="Book Antiqua" w:cs="Times New Roman"/>
        </w:rPr>
        <w:tab/>
        <w:t xml:space="preserve">Ley Núm. 212-2002, </w:t>
      </w:r>
      <w:r w:rsidR="0058030F" w:rsidRPr="0058030F">
        <w:rPr>
          <w:rFonts w:ascii="Book Antiqua" w:hAnsi="Book Antiqua" w:cs="Times New Roman"/>
          <w:i/>
          <w:iCs/>
        </w:rPr>
        <w:t>supra</w:t>
      </w:r>
      <w:r w:rsidR="0058030F">
        <w:rPr>
          <w:rFonts w:ascii="Book Antiqua" w:hAnsi="Book Antiqua" w:cs="Times New Roman"/>
        </w:rPr>
        <w:t xml:space="preserve">, </w:t>
      </w:r>
      <w:r w:rsidR="0058030F" w:rsidRPr="0058030F">
        <w:rPr>
          <w:rFonts w:ascii="Book Antiqua" w:hAnsi="Book Antiqua" w:cs="Times New Roman"/>
          <w:i/>
          <w:iCs/>
        </w:rPr>
        <w:t>Exposición de Motivos</w:t>
      </w:r>
      <w:r w:rsidR="0058030F">
        <w:rPr>
          <w:rFonts w:ascii="Book Antiqua" w:hAnsi="Book Antiqua" w:cs="Times New Roman"/>
        </w:rPr>
        <w:t xml:space="preserve">, pág. </w:t>
      </w:r>
    </w:p>
  </w:footnote>
  <w:footnote w:id="8">
    <w:p w14:paraId="39F7545B" w14:textId="12DF86B4" w:rsidR="008C2DCC" w:rsidRPr="0058030F" w:rsidRDefault="008C2DCC">
      <w:pPr>
        <w:pStyle w:val="FootnoteText"/>
        <w:rPr>
          <w:rFonts w:ascii="Book Antiqua" w:hAnsi="Book Antiqua" w:cs="Times New Roman"/>
        </w:rPr>
      </w:pPr>
      <w:r w:rsidRPr="0058030F">
        <w:rPr>
          <w:rStyle w:val="FootnoteReference"/>
          <w:rFonts w:ascii="Book Antiqua" w:hAnsi="Book Antiqua"/>
        </w:rPr>
        <w:footnoteRef/>
      </w:r>
      <w:r w:rsidRPr="0058030F">
        <w:rPr>
          <w:rFonts w:ascii="Book Antiqua" w:hAnsi="Book Antiqua" w:cs="Times New Roman"/>
        </w:rPr>
        <w:t xml:space="preserve"> </w:t>
      </w:r>
      <w:r w:rsidR="0058030F" w:rsidRPr="0058030F">
        <w:rPr>
          <w:rFonts w:ascii="Book Antiqua" w:hAnsi="Book Antiqua" w:cs="Times New Roman"/>
        </w:rPr>
        <w:tab/>
        <w:t xml:space="preserve">Ley Núm. 20-2020, </w:t>
      </w:r>
      <w:r w:rsidR="0058030F" w:rsidRPr="0058030F">
        <w:rPr>
          <w:rFonts w:ascii="Book Antiqua" w:hAnsi="Book Antiqua" w:cs="Times New Roman"/>
          <w:i/>
          <w:iCs/>
        </w:rPr>
        <w:t>supra</w:t>
      </w:r>
      <w:r w:rsidR="0058030F" w:rsidRPr="0058030F">
        <w:rPr>
          <w:rFonts w:ascii="Book Antiqua" w:hAnsi="Book Antiqua" w:cs="Times New Roman"/>
        </w:rPr>
        <w:t xml:space="preserve">, </w:t>
      </w:r>
      <w:r w:rsidR="0058030F" w:rsidRPr="0058030F">
        <w:rPr>
          <w:rFonts w:ascii="Book Antiqua" w:hAnsi="Book Antiqua" w:cs="Times New Roman"/>
          <w:i/>
          <w:iCs/>
        </w:rPr>
        <w:t>Exposición de Motivos</w:t>
      </w:r>
      <w:r w:rsidR="0058030F" w:rsidRPr="0058030F">
        <w:rPr>
          <w:rFonts w:ascii="Book Antiqua" w:hAnsi="Book Antiqua" w:cs="Times New Roman"/>
        </w:rPr>
        <w:t>, pág. 3.</w:t>
      </w:r>
    </w:p>
  </w:footnote>
  <w:footnote w:id="9">
    <w:p w14:paraId="470DD863" w14:textId="52A9A0BD" w:rsidR="008C2DCC" w:rsidRPr="0058030F" w:rsidRDefault="008C2DCC">
      <w:pPr>
        <w:pStyle w:val="FootnoteText"/>
        <w:rPr>
          <w:rFonts w:ascii="Book Antiqua" w:hAnsi="Book Antiqua" w:cs="Times New Roman"/>
        </w:rPr>
      </w:pPr>
      <w:r w:rsidRPr="0058030F">
        <w:rPr>
          <w:rStyle w:val="FootnoteReference"/>
          <w:rFonts w:ascii="Book Antiqua" w:hAnsi="Book Antiqua"/>
        </w:rPr>
        <w:footnoteRef/>
      </w:r>
      <w:r w:rsidRPr="0058030F">
        <w:rPr>
          <w:rFonts w:ascii="Book Antiqua" w:hAnsi="Book Antiqua" w:cs="Times New Roman"/>
        </w:rPr>
        <w:t xml:space="preserve"> </w:t>
      </w:r>
      <w:r w:rsidR="0058030F" w:rsidRPr="0058030F">
        <w:rPr>
          <w:rFonts w:ascii="Book Antiqua" w:hAnsi="Book Antiqua" w:cs="Times New Roman"/>
        </w:rPr>
        <w:tab/>
      </w:r>
      <w:r w:rsidR="0058030F" w:rsidRPr="0058030F">
        <w:rPr>
          <w:rFonts w:ascii="Book Antiqua" w:hAnsi="Book Antiqua" w:cs="Times New Roman"/>
          <w:i/>
          <w:iCs/>
        </w:rPr>
        <w:t>Íd</w:t>
      </w:r>
      <w:r w:rsidR="0058030F" w:rsidRPr="0058030F">
        <w:rPr>
          <w:rFonts w:ascii="Book Antiqua" w:hAnsi="Book Antiqua" w:cs="Times New Roman"/>
        </w:rPr>
        <w:t xml:space="preserve">., pág. 3. </w:t>
      </w:r>
    </w:p>
  </w:footnote>
  <w:footnote w:id="10">
    <w:p w14:paraId="3CF585C0" w14:textId="6B9DF621" w:rsidR="0058030F" w:rsidRPr="0058030F" w:rsidRDefault="0058030F" w:rsidP="0058030F">
      <w:pPr>
        <w:pStyle w:val="FootnoteText"/>
        <w:rPr>
          <w:rFonts w:ascii="Book Antiqua" w:hAnsi="Book Antiqua" w:cs="Times New Roman"/>
        </w:rPr>
      </w:pPr>
      <w:r w:rsidRPr="0058030F">
        <w:rPr>
          <w:rStyle w:val="FootnoteReference"/>
          <w:rFonts w:ascii="Book Antiqua" w:hAnsi="Book Antiqua"/>
        </w:rPr>
        <w:footnoteRef/>
      </w:r>
      <w:r w:rsidRPr="0058030F">
        <w:rPr>
          <w:rFonts w:ascii="Book Antiqua" w:hAnsi="Book Antiqua" w:cs="Times New Roman"/>
        </w:rPr>
        <w:t xml:space="preserve"> </w:t>
      </w:r>
      <w:r w:rsidRPr="0058030F">
        <w:rPr>
          <w:rFonts w:ascii="Book Antiqua" w:hAnsi="Book Antiqua" w:cs="Times New Roman"/>
        </w:rPr>
        <w:tab/>
      </w:r>
      <w:r w:rsidRPr="0058030F">
        <w:rPr>
          <w:rFonts w:ascii="Book Antiqua" w:hAnsi="Book Antiqua" w:cs="Times New Roman"/>
          <w:i/>
          <w:iCs/>
        </w:rPr>
        <w:t>Íd</w:t>
      </w:r>
      <w:r>
        <w:rPr>
          <w:rFonts w:ascii="Book Antiqua" w:hAnsi="Book Antiqua" w:cs="Times New Roman"/>
        </w:rPr>
        <w:t>.</w:t>
      </w:r>
    </w:p>
  </w:footnote>
  <w:footnote w:id="11">
    <w:p w14:paraId="796B17C4" w14:textId="34D009EC" w:rsidR="0058030F" w:rsidRPr="0058030F" w:rsidRDefault="0058030F">
      <w:pPr>
        <w:pStyle w:val="FootnoteText"/>
        <w:rPr>
          <w:rFonts w:ascii="Book Antiqua" w:hAnsi="Book Antiqua"/>
          <w:lang w:val="en-US"/>
        </w:rPr>
      </w:pPr>
      <w:r w:rsidRPr="0058030F">
        <w:rPr>
          <w:rStyle w:val="FootnoteReference"/>
          <w:rFonts w:ascii="Book Antiqua" w:hAnsi="Book Antiqua"/>
        </w:rPr>
        <w:footnoteRef/>
      </w:r>
      <w:r w:rsidRPr="0058030F">
        <w:rPr>
          <w:rFonts w:ascii="Book Antiqua" w:hAnsi="Book Antiqua"/>
        </w:rPr>
        <w:t xml:space="preserve"> </w:t>
      </w:r>
      <w:r w:rsidRPr="0058030F">
        <w:rPr>
          <w:rFonts w:ascii="Book Antiqua" w:hAnsi="Book Antiqua"/>
        </w:rPr>
        <w:tab/>
      </w:r>
      <w:r w:rsidRPr="0058030F">
        <w:rPr>
          <w:rFonts w:ascii="Book Antiqua" w:hAnsi="Book Antiqua"/>
          <w:i/>
          <w:iCs/>
        </w:rPr>
        <w:t>Íd</w:t>
      </w:r>
      <w:r w:rsidRPr="0058030F">
        <w:rPr>
          <w:rFonts w:ascii="Book Antiqua" w:hAnsi="Book Antiqua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2411CB"/>
    <w:multiLevelType w:val="hybridMultilevel"/>
    <w:tmpl w:val="B7CEE1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54F6D"/>
    <w:multiLevelType w:val="hybridMultilevel"/>
    <w:tmpl w:val="923A3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4961873">
    <w:abstractNumId w:val="1"/>
  </w:num>
  <w:num w:numId="2" w16cid:durableId="1796752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AF0"/>
    <w:rsid w:val="00053B4D"/>
    <w:rsid w:val="0006112D"/>
    <w:rsid w:val="000C5343"/>
    <w:rsid w:val="00114076"/>
    <w:rsid w:val="00133655"/>
    <w:rsid w:val="001B4EAF"/>
    <w:rsid w:val="00220D48"/>
    <w:rsid w:val="00235F37"/>
    <w:rsid w:val="00254045"/>
    <w:rsid w:val="002741D8"/>
    <w:rsid w:val="00304481"/>
    <w:rsid w:val="00381915"/>
    <w:rsid w:val="003A1460"/>
    <w:rsid w:val="00482CA1"/>
    <w:rsid w:val="00485951"/>
    <w:rsid w:val="00492967"/>
    <w:rsid w:val="004D15CE"/>
    <w:rsid w:val="00580043"/>
    <w:rsid w:val="0058030F"/>
    <w:rsid w:val="00595FB9"/>
    <w:rsid w:val="005F6F00"/>
    <w:rsid w:val="00625A5D"/>
    <w:rsid w:val="00647DED"/>
    <w:rsid w:val="00692EDA"/>
    <w:rsid w:val="006A5396"/>
    <w:rsid w:val="006F61CA"/>
    <w:rsid w:val="00704340"/>
    <w:rsid w:val="00793305"/>
    <w:rsid w:val="007A354B"/>
    <w:rsid w:val="007E23F0"/>
    <w:rsid w:val="007F203D"/>
    <w:rsid w:val="00852B05"/>
    <w:rsid w:val="008C2DCC"/>
    <w:rsid w:val="00917027"/>
    <w:rsid w:val="009B7D4B"/>
    <w:rsid w:val="00A54AF0"/>
    <w:rsid w:val="00A7082D"/>
    <w:rsid w:val="00AC29DB"/>
    <w:rsid w:val="00B127C4"/>
    <w:rsid w:val="00CE4CF6"/>
    <w:rsid w:val="00D12BCF"/>
    <w:rsid w:val="00D36E37"/>
    <w:rsid w:val="00D74A1B"/>
    <w:rsid w:val="00E97F9B"/>
    <w:rsid w:val="00EE614E"/>
    <w:rsid w:val="00F4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FEEC3"/>
  <w15:chartTrackingRefBased/>
  <w15:docId w15:val="{B1F25BE9-FB9C-4A2C-ACF4-6EB953A52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AF0"/>
    <w:rPr>
      <w:lang w:val="es-P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4A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A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A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A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A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A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A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A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A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AF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P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AF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P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AF0"/>
    <w:rPr>
      <w:rFonts w:eastAsiaTheme="majorEastAsia" w:cstheme="majorBidi"/>
      <w:color w:val="0F4761" w:themeColor="accent1" w:themeShade="BF"/>
      <w:sz w:val="28"/>
      <w:szCs w:val="28"/>
      <w:lang w:val="es-P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AF0"/>
    <w:rPr>
      <w:rFonts w:eastAsiaTheme="majorEastAsia" w:cstheme="majorBidi"/>
      <w:i/>
      <w:iCs/>
      <w:color w:val="0F4761" w:themeColor="accent1" w:themeShade="BF"/>
      <w:lang w:val="es-P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AF0"/>
    <w:rPr>
      <w:rFonts w:eastAsiaTheme="majorEastAsia" w:cstheme="majorBidi"/>
      <w:color w:val="0F4761" w:themeColor="accent1" w:themeShade="BF"/>
      <w:lang w:val="es-P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AF0"/>
    <w:rPr>
      <w:rFonts w:eastAsiaTheme="majorEastAsia" w:cstheme="majorBidi"/>
      <w:i/>
      <w:iCs/>
      <w:color w:val="595959" w:themeColor="text1" w:themeTint="A6"/>
      <w:lang w:val="es-P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AF0"/>
    <w:rPr>
      <w:rFonts w:eastAsiaTheme="majorEastAsia" w:cstheme="majorBidi"/>
      <w:color w:val="595959" w:themeColor="text1" w:themeTint="A6"/>
      <w:lang w:val="es-P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AF0"/>
    <w:rPr>
      <w:rFonts w:eastAsiaTheme="majorEastAsia" w:cstheme="majorBidi"/>
      <w:i/>
      <w:iCs/>
      <w:color w:val="272727" w:themeColor="text1" w:themeTint="D8"/>
      <w:lang w:val="es-P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AF0"/>
    <w:rPr>
      <w:rFonts w:eastAsiaTheme="majorEastAsia" w:cstheme="majorBidi"/>
      <w:color w:val="272727" w:themeColor="text1" w:themeTint="D8"/>
      <w:lang w:val="es-PR"/>
    </w:rPr>
  </w:style>
  <w:style w:type="paragraph" w:styleId="Title">
    <w:name w:val="Title"/>
    <w:basedOn w:val="Normal"/>
    <w:next w:val="Normal"/>
    <w:link w:val="TitleChar"/>
    <w:uiPriority w:val="10"/>
    <w:qFormat/>
    <w:rsid w:val="00A54A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AF0"/>
    <w:rPr>
      <w:rFonts w:asciiTheme="majorHAnsi" w:eastAsiaTheme="majorEastAsia" w:hAnsiTheme="majorHAnsi" w:cstheme="majorBidi"/>
      <w:spacing w:val="-10"/>
      <w:kern w:val="28"/>
      <w:sz w:val="56"/>
      <w:szCs w:val="56"/>
      <w:lang w:val="es-PR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A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AF0"/>
    <w:rPr>
      <w:rFonts w:eastAsiaTheme="majorEastAsia" w:cstheme="majorBidi"/>
      <w:color w:val="595959" w:themeColor="text1" w:themeTint="A6"/>
      <w:spacing w:val="15"/>
      <w:sz w:val="28"/>
      <w:szCs w:val="28"/>
      <w:lang w:val="es-PR"/>
    </w:rPr>
  </w:style>
  <w:style w:type="paragraph" w:styleId="Quote">
    <w:name w:val="Quote"/>
    <w:basedOn w:val="Normal"/>
    <w:next w:val="Normal"/>
    <w:link w:val="QuoteChar"/>
    <w:uiPriority w:val="29"/>
    <w:qFormat/>
    <w:rsid w:val="00A54A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AF0"/>
    <w:rPr>
      <w:i/>
      <w:iCs/>
      <w:color w:val="404040" w:themeColor="text1" w:themeTint="BF"/>
      <w:lang w:val="es-PR"/>
    </w:rPr>
  </w:style>
  <w:style w:type="paragraph" w:styleId="ListParagraph">
    <w:name w:val="List Paragraph"/>
    <w:basedOn w:val="Normal"/>
    <w:uiPriority w:val="34"/>
    <w:qFormat/>
    <w:rsid w:val="00A54A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A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A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AF0"/>
    <w:rPr>
      <w:i/>
      <w:iCs/>
      <w:color w:val="0F4761" w:themeColor="accent1" w:themeShade="BF"/>
      <w:lang w:val="es-PR"/>
    </w:rPr>
  </w:style>
  <w:style w:type="character" w:styleId="IntenseReference">
    <w:name w:val="Intense Reference"/>
    <w:basedOn w:val="DefaultParagraphFont"/>
    <w:uiPriority w:val="32"/>
    <w:qFormat/>
    <w:rsid w:val="00A54AF0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54AF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4AF0"/>
    <w:rPr>
      <w:sz w:val="20"/>
      <w:szCs w:val="20"/>
      <w:lang w:val="es-PR"/>
    </w:rPr>
  </w:style>
  <w:style w:type="character" w:styleId="FootnoteReference">
    <w:name w:val="footnote reference"/>
    <w:uiPriority w:val="99"/>
    <w:semiHidden/>
    <w:unhideWhenUsed/>
    <w:rsid w:val="00A54AF0"/>
    <w:rPr>
      <w:rFonts w:cs="Times New Roman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97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9B"/>
    <w:rPr>
      <w:lang w:val="es-PR"/>
    </w:rPr>
  </w:style>
  <w:style w:type="paragraph" w:styleId="Footer">
    <w:name w:val="footer"/>
    <w:basedOn w:val="Normal"/>
    <w:link w:val="FooterChar"/>
    <w:uiPriority w:val="99"/>
    <w:unhideWhenUsed/>
    <w:rsid w:val="00E97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9B"/>
    <w:rPr>
      <w:lang w:val="es-P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E0AC3-4C95-47B0-82E4-98CDB22DA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860</Words>
  <Characters>4904</Characters>
  <Application>Microsoft Office Word</Application>
  <DocSecurity>4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E. González Ramos</dc:creator>
  <cp:keywords/>
  <dc:description/>
  <cp:lastModifiedBy>Camyl Moreno Pantojas</cp:lastModifiedBy>
  <cp:revision>2</cp:revision>
  <cp:lastPrinted>2025-03-18T15:21:00Z</cp:lastPrinted>
  <dcterms:created xsi:type="dcterms:W3CDTF">2025-03-18T15:38:00Z</dcterms:created>
  <dcterms:modified xsi:type="dcterms:W3CDTF">2025-03-18T15:38:00Z</dcterms:modified>
</cp:coreProperties>
</file>