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b7280"/>
          <w:sz w:val="22"/>
          <w:szCs w:val="22"/>
        </w:rPr>
        <w:t xml:space="preserve">IIS "Leonardo da Vinci" — Chiavenna</w:t>
      </w:r>
    </w:p>
    <w:p>
      <w:pPr>
        <w:spacing w:after="40" w:before="80"/>
      </w:pPr>
      <w:r>
        <w:rPr>
          <w:b/>
          <w:bCs/>
          <w:color w:val="1e3a5f"/>
          <w:sz w:val="44"/>
          <w:szCs w:val="44"/>
        </w:rPr>
        <w:t xml:space="preserve">CaronteApp</w:t>
      </w:r>
    </w:p>
    <w:p>
      <w:pPr>
        <w:spacing w:after="300"/>
      </w:pPr>
      <w:r>
        <w:rPr>
          <w:color w:val="6b7280"/>
          <w:sz w:val="22"/>
          <w:szCs w:val="22"/>
        </w:rPr>
        <w:t xml:space="preserve">Sistema di gestione supplenze, orario, assenze e variazioni orario</w:t>
      </w:r>
    </w:p>
    <w:p>
      <w:pPr>
        <w:spacing w:after="160"/>
      </w:pPr>
      <w:r>
        <w:rPr>
          <w:b/>
          <w:bCs/>
          <w:sz w:val="26"/>
          <w:szCs w:val="26"/>
        </w:rPr>
        <w:t xml:space="preserve">DOCUMENTO DI VALUTAZIONE CONFORMITÀ GDPR</w:t>
      </w:r>
    </w:p>
    <w:p>
      <w:pPr>
        <w:spacing w:after="160"/>
      </w:pPr>
      <w:r>
        <w:rPr>
          <w:b w:val="false"/>
          <w:bCs w:val="false"/>
          <w:i w:val="false"/>
          <w:iCs w:val="false"/>
        </w:rPr>
        <w:t xml:space="preserve">Redatto il 26 maggio 2026 — Versione 1.0</w:t>
      </w:r>
    </w:p>
    <w:p>
      <w:pPr>
        <w:spacing w:after="160"/>
      </w:pPr>
      <w:r>
        <w:rPr>
          <w:b w:val="false"/>
          <w:bCs w:val="false"/>
          <w:i w:val="false"/>
          <w:iCs w:val="false"/>
        </w:rPr>
        <w:t xml:space="preserve">Revisionato e aggiornato il 1 agosto 2026 — Versione 2.0</w:t>
      </w:r>
    </w:p>
    <w:p>
      <w:pPr>
        <w:spacing w:after="160"/>
      </w:pPr>
      <w:r>
        <w:rPr>
          <w:b w:val="false"/>
          <w:bCs w:val="false"/>
          <w:i w:val="false"/>
          <w:iCs w:val="false"/>
        </w:rPr>
        <w:t xml:space="preserve">Aggiornato lo stesso giorno a seguito delle correzioni tecniche implementate — Versione 2.1</w:t>
      </w:r>
    </w:p>
    <w:p>
      <w:pPr>
        <w:spacing w:after="160"/>
      </w:pPr>
      <w:r>
        <w:rPr>
          <w:b w:val="false"/>
          <w:bCs w:val="false"/>
          <w:i w:val="false"/>
          <w:iCs w:val="false"/>
        </w:rPr>
        <w:t xml:space="preserve">Aggiornato lo stesso giorno con un audit di minimizzazione dei dati — Versione 2.2</w:t>
      </w:r>
    </w:p>
    <w:p>
      <w:pPr>
        <w:spacing w:after="160"/>
      </w:pPr>
      <w:r>
        <w:rPr>
          <w:b w:val="false"/>
          <w:bCs w:val="false"/>
          <w:i/>
          <w:iCs/>
          <w:color w:val="6b7280"/>
        </w:rPr>
        <w:t xml:space="preserve">Da sottoporre a revisione del DPO</w:t>
      </w:r>
    </w:p>
    <w:p>
      <w:pPr>
        <w:pStyle w:val="Heading1"/>
        <w:spacing w:after="160" w:before="320"/>
      </w:pPr>
      <w:r>
        <w:t xml:space="preserve">1. Identificazione del sistema</w:t>
      </w:r>
    </w:p>
    <w:p>
      <w:pPr>
        <w:spacing w:after="160"/>
      </w:pPr>
      <w:r>
        <w:rPr>
          <w:b w:val="false"/>
          <w:bCs w:val="false"/>
          <w:i w:val="false"/>
          <w:iCs w:val="false"/>
        </w:rPr>
        <w:t xml:space="preserve">Nome del sistema: CaronteApp (già SupplenzeApp — rinominato nel giugno 2026; nessuna modifica di finalità o titolarità connessa al cambio di nome).</w:t>
      </w:r>
    </w:p>
    <w:p>
      <w:pPr>
        <w:spacing w:after="160"/>
      </w:pPr>
      <w:r>
        <w:rPr>
          <w:b w:val="false"/>
          <w:bCs w:val="false"/>
          <w:i w:val="false"/>
          <w:iCs w:val="false"/>
        </w:rPr>
        <w:t xml:space="preserve">Titolare del trattamento: Dirigente Scolastico, IIS "Leonardo da Vinci" — Chiavenna.</w:t>
      </w:r>
    </w:p>
    <w:p>
      <w:pPr>
        <w:spacing w:after="160"/>
      </w:pPr>
      <w:r>
        <w:rPr>
          <w:b w:val="false"/>
          <w:bCs w:val="false"/>
          <w:i w:val="false"/>
          <w:iCs w:val="false"/>
        </w:rPr>
        <w:t xml:space="preserve">Finalità: gestione operativa di supplenze, orario (incluso l'orario dei docenti di sostegno), assenze e variazioni orario, banca ore docenti, assegnazioni classi/cattedre e potenziamento, corsi e prove di recupero, colloqui di rientro dall'estero, attività fuori aula, comunicazione interna di servizio.</w:t>
      </w:r>
    </w:p>
    <w:p>
      <w:pPr>
        <w:spacing w:after="160"/>
      </w:pPr>
      <w:r>
        <w:rPr>
          <w:b w:val="false"/>
          <w:bCs w:val="false"/>
          <w:i w:val="false"/>
          <w:iCs w:val="false"/>
        </w:rPr>
        <w:t xml:space="preserve">Ambito: uso interno al personale autorizzato dell'istituto (dirigenza, DSGA, collaboratori del DS, segreteria personale) — non accessibile a studenti o genitori. È presente una vista pubblica di sola consultazione ("display", pagina /display) pensata per essere mostrata su un monitor in sala docenti: mostra le variazioni orario del giorno corrente in forma aggregata, senza dati sanitari o motivazioni delle assenze.</w:t>
      </w:r>
    </w:p>
    <w:p>
      <w:pPr>
        <w:spacing w:after="160"/>
      </w:pPr>
      <w:r>
        <w:rPr>
          <w:b w:val="false"/>
          <w:bCs w:val="false"/>
          <w:i w:val="false"/>
          <w:iCs w:val="false"/>
        </w:rPr>
        <w:t xml:space="preserve">Infrastruttura: applicazione web Python/Flask con database SQLite, eseguita su hardware interno dell'istituto (nessun hosting su server esterni).</w:t>
      </w:r>
    </w:p>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dcfce7" w:val="clear"/>
            <w:tcMar>
              <w:top w:type="dxa" w:w="160"/>
              <w:left w:type="dxa" w:w="200"/>
              <w:bottom w:type="dxa" w:w="160"/>
              <w:right w:type="dxa" w:w="200"/>
            </w:tcMar>
          </w:tcPr>
          <w:p>
            <w:pPr>
              <w:spacing w:after="80"/>
            </w:pPr>
            <w:r>
              <w:rPr>
                <w:b/>
                <w:bCs/>
                <w:color w:val="15803d"/>
              </w:rPr>
              <w:t xml:space="preserve">Novità rispetto alla versione 1.0 — sincronizzazione cloud (risolto in v2.1)</w:t>
            </w:r>
          </w:p>
          <w:p>
            <w:r>
              <w:t xml:space="preserve">Da giugno 2026 il database può essere sincronizzato tramite Google Drive Desktop (script sync_db.py) per consentire l'uso dell'applicazione da più postazioni. La revisione v2.0 aveva rilevato che il file trasferito era in chiaro; con la v2.1 il canale è stato corretto — il file che transita e resta su Google Drive è ora sempre cifrato (stesso meccanismo del backup locale). Resta comunque da verificare l'esistenza di un accordo sul trattamento dati con Google per l'account usato: vedi sezione 7.</w:t>
            </w:r>
          </w:p>
        </w:tc>
      </w:tr>
    </w:tbl>
    <w:p>
      <w:pPr>
        <w:pStyle w:val="Heading1"/>
        <w:spacing w:after="160" w:before="320"/>
      </w:pPr>
      <w:r>
        <w:t xml:space="preserve">2. Base giuridica del trattamento</w:t>
      </w:r>
    </w:p>
    <w:p>
      <w:pPr>
        <w:spacing w:after="160"/>
      </w:pPr>
      <w:r>
        <w:rPr>
          <w:b w:val="false"/>
          <w:bCs w:val="false"/>
          <w:i w:val="false"/>
          <w:iCs w:val="false"/>
        </w:rPr>
        <w:t xml:space="preserve">Il trattamento dei dati personali dei docenti è fondato sulle seguenti basi giuridiche ai sensi dell'art. 6 GDPR: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700"/>
      </w:tblGrid>
      <w:tr>
        <w:trPr>
          <w:tblHeader/>
        </w:trPr>
        <w:tc>
          <w:tcPr>
            <w:tcW w:type="dxa" w:w="3600"/>
            <w:shd w:fill="1e3a5f" w:val="clear"/>
            <w:tcMar>
              <w:top w:type="dxa" w:w="100"/>
              <w:left w:type="dxa" w:w="120"/>
              <w:bottom w:type="dxa" w:w="100"/>
              <w:right w:type="dxa" w:w="120"/>
            </w:tcMar>
          </w:tcPr>
          <w:p>
            <w:r>
              <w:rPr>
                <w:b/>
                <w:bCs/>
                <w:color w:val="FFFFFF"/>
              </w:rPr>
              <w:t xml:space="preserve">Finalità</w:t>
            </w:r>
          </w:p>
        </w:tc>
        <w:tc>
          <w:tcPr>
            <w:tcW w:type="dxa" w:w="3200"/>
            <w:shd w:fill="1e3a5f" w:val="clear"/>
            <w:tcMar>
              <w:top w:type="dxa" w:w="100"/>
              <w:left w:type="dxa" w:w="120"/>
              <w:bottom w:type="dxa" w:w="100"/>
              <w:right w:type="dxa" w:w="120"/>
            </w:tcMar>
          </w:tcPr>
          <w:p>
            <w:r>
              <w:rPr>
                <w:b/>
                <w:bCs/>
                <w:color w:val="FFFFFF"/>
              </w:rPr>
              <w:t xml:space="preserve">Base giuridica</w:t>
            </w:r>
          </w:p>
        </w:tc>
        <w:tc>
          <w:tcPr>
            <w:tcW w:type="dxa" w:w="2700"/>
            <w:shd w:fill="1e3a5f" w:val="clear"/>
            <w:tcMar>
              <w:top w:type="dxa" w:w="100"/>
              <w:left w:type="dxa" w:w="120"/>
              <w:bottom w:type="dxa" w:w="100"/>
              <w:right w:type="dxa" w:w="120"/>
            </w:tcMar>
          </w:tcPr>
          <w:p>
            <w:r>
              <w:rPr>
                <w:b/>
                <w:bCs/>
                <w:color w:val="FFFFFF"/>
              </w:rPr>
              <w:t xml:space="preserve">Riferimento normativo</w:t>
            </w:r>
          </w:p>
        </w:tc>
      </w:tr>
      <w:tr>
        <w:tc>
          <w:tcPr>
            <w:tcW w:type="dxa" w:w="3600"/>
            <w:tcMar>
              <w:top w:type="dxa" w:w="100"/>
              <w:left w:type="dxa" w:w="120"/>
              <w:bottom w:type="dxa" w:w="100"/>
              <w:right w:type="dxa" w:w="120"/>
            </w:tcMar>
          </w:tcPr>
          <w:p>
            <w:r>
              <w:rPr>
                <w:b w:val="false"/>
                <w:bCs w:val="false"/>
                <w:sz w:val="19"/>
                <w:szCs w:val="19"/>
              </w:rPr>
              <w:t xml:space="preserve">Gestione supplenze e sostituzioni</w:t>
            </w:r>
          </w:p>
        </w:tc>
        <w:tc>
          <w:tcPr>
            <w:tcW w:type="dxa" w:w="3200"/>
            <w:tcMar>
              <w:top w:type="dxa" w:w="100"/>
              <w:left w:type="dxa" w:w="120"/>
              <w:bottom w:type="dxa" w:w="100"/>
              <w:right w:type="dxa" w:w="120"/>
            </w:tcMar>
          </w:tcPr>
          <w:p>
            <w:r>
              <w:rPr>
                <w:b w:val="false"/>
                <w:bCs w:val="false"/>
                <w:sz w:val="19"/>
                <w:szCs w:val="19"/>
              </w:rPr>
              <w:t xml:space="preserve">Art. 6(1)(c) — Obbligo legale</w:t>
            </w:r>
          </w:p>
        </w:tc>
        <w:tc>
          <w:tcPr>
            <w:tcW w:type="dxa" w:w="2700"/>
            <w:tcMar>
              <w:top w:type="dxa" w:w="100"/>
              <w:left w:type="dxa" w:w="120"/>
              <w:bottom w:type="dxa" w:w="100"/>
              <w:right w:type="dxa" w:w="120"/>
            </w:tcMar>
          </w:tcPr>
          <w:p>
            <w:r>
              <w:rPr>
                <w:b w:val="false"/>
                <w:bCs w:val="false"/>
                <w:sz w:val="19"/>
                <w:szCs w:val="19"/>
              </w:rPr>
              <w:t xml:space="preserve">D.Lgs. 297/1994, CCNL Comparto Scuola</w:t>
            </w:r>
          </w:p>
        </w:tc>
      </w:tr>
      <w:tr>
        <w:tc>
          <w:tcPr>
            <w:tcW w:type="dxa" w:w="3600"/>
            <w:shd w:fill="FAFAFA" w:val="clear"/>
            <w:tcMar>
              <w:top w:type="dxa" w:w="100"/>
              <w:left w:type="dxa" w:w="120"/>
              <w:bottom w:type="dxa" w:w="100"/>
              <w:right w:type="dxa" w:w="120"/>
            </w:tcMar>
          </w:tcPr>
          <w:p>
            <w:r>
              <w:rPr>
                <w:b w:val="false"/>
                <w:bCs w:val="false"/>
                <w:sz w:val="19"/>
                <w:szCs w:val="19"/>
              </w:rPr>
              <w:t xml:space="preserve">Gestione presenze e assenze</w:t>
            </w:r>
          </w:p>
        </w:tc>
        <w:tc>
          <w:tcPr>
            <w:tcW w:type="dxa" w:w="3200"/>
            <w:shd w:fill="FAFAFA" w:val="clear"/>
            <w:tcMar>
              <w:top w:type="dxa" w:w="100"/>
              <w:left w:type="dxa" w:w="120"/>
              <w:bottom w:type="dxa" w:w="100"/>
              <w:right w:type="dxa" w:w="120"/>
            </w:tcMar>
          </w:tcPr>
          <w:p>
            <w:r>
              <w:rPr>
                <w:b w:val="false"/>
                <w:bCs w:val="false"/>
                <w:sz w:val="19"/>
                <w:szCs w:val="19"/>
              </w:rPr>
              <w:t xml:space="preserve">Art. 6(1)(b) — Contratto</w:t>
            </w:r>
          </w:p>
        </w:tc>
        <w:tc>
          <w:tcPr>
            <w:tcW w:type="dxa" w:w="2700"/>
            <w:shd w:fill="FAFAFA" w:val="clear"/>
            <w:tcMar>
              <w:top w:type="dxa" w:w="100"/>
              <w:left w:type="dxa" w:w="120"/>
              <w:bottom w:type="dxa" w:w="100"/>
              <w:right w:type="dxa" w:w="120"/>
            </w:tcMar>
          </w:tcPr>
          <w:p>
            <w:r>
              <w:rPr>
                <w:b w:val="false"/>
                <w:bCs w:val="false"/>
                <w:sz w:val="19"/>
                <w:szCs w:val="19"/>
              </w:rPr>
              <w:t xml:space="preserve">Contratto di lavoro docente</w:t>
            </w:r>
          </w:p>
        </w:tc>
      </w:tr>
      <w:tr>
        <w:tc>
          <w:tcPr>
            <w:tcW w:type="dxa" w:w="3600"/>
            <w:tcMar>
              <w:top w:type="dxa" w:w="100"/>
              <w:left w:type="dxa" w:w="120"/>
              <w:bottom w:type="dxa" w:w="100"/>
              <w:right w:type="dxa" w:w="120"/>
            </w:tcMar>
          </w:tcPr>
          <w:p>
            <w:r>
              <w:rPr>
                <w:b w:val="false"/>
                <w:bCs w:val="false"/>
                <w:sz w:val="19"/>
                <w:szCs w:val="19"/>
              </w:rPr>
              <w:t xml:space="preserve">Banca ore e compensazioni</w:t>
            </w:r>
          </w:p>
        </w:tc>
        <w:tc>
          <w:tcPr>
            <w:tcW w:type="dxa" w:w="3200"/>
            <w:tcMar>
              <w:top w:type="dxa" w:w="100"/>
              <w:left w:type="dxa" w:w="120"/>
              <w:bottom w:type="dxa" w:w="100"/>
              <w:right w:type="dxa" w:w="120"/>
            </w:tcMar>
          </w:tcPr>
          <w:p>
            <w:r>
              <w:rPr>
                <w:b w:val="false"/>
                <w:bCs w:val="false"/>
                <w:sz w:val="19"/>
                <w:szCs w:val="19"/>
              </w:rPr>
              <w:t xml:space="preserve">Art. 6(1)(c)/(b) — Obbligo/Contratto</w:t>
            </w:r>
          </w:p>
        </w:tc>
        <w:tc>
          <w:tcPr>
            <w:tcW w:type="dxa" w:w="2700"/>
            <w:tcMar>
              <w:top w:type="dxa" w:w="100"/>
              <w:left w:type="dxa" w:w="120"/>
              <w:bottom w:type="dxa" w:w="100"/>
              <w:right w:type="dxa" w:w="120"/>
            </w:tcMar>
          </w:tcPr>
          <w:p>
            <w:r>
              <w:rPr>
                <w:b w:val="false"/>
                <w:bCs w:val="false"/>
                <w:sz w:val="19"/>
                <w:szCs w:val="19"/>
              </w:rPr>
              <w:t xml:space="preserve">CCNL art. 26 — Permessi e recuperi</w:t>
            </w:r>
          </w:p>
        </w:tc>
      </w:tr>
      <w:tr>
        <w:tc>
          <w:tcPr>
            <w:tcW w:type="dxa" w:w="3600"/>
            <w:shd w:fill="FAFAFA" w:val="clear"/>
            <w:tcMar>
              <w:top w:type="dxa" w:w="100"/>
              <w:left w:type="dxa" w:w="120"/>
              <w:bottom w:type="dxa" w:w="100"/>
              <w:right w:type="dxa" w:w="120"/>
            </w:tcMar>
          </w:tcPr>
          <w:p>
            <w:r>
              <w:rPr>
                <w:b w:val="false"/>
                <w:bCs w:val="false"/>
                <w:sz w:val="19"/>
                <w:szCs w:val="19"/>
              </w:rPr>
              <w:t xml:space="preserve">Assegnazione cattedre e ore di potenziamento</w:t>
            </w:r>
          </w:p>
        </w:tc>
        <w:tc>
          <w:tcPr>
            <w:tcW w:type="dxa" w:w="3200"/>
            <w:shd w:fill="FAFAFA" w:val="clear"/>
            <w:tcMar>
              <w:top w:type="dxa" w:w="100"/>
              <w:left w:type="dxa" w:w="120"/>
              <w:bottom w:type="dxa" w:w="100"/>
              <w:right w:type="dxa" w:w="120"/>
            </w:tcMar>
          </w:tcPr>
          <w:p>
            <w:r>
              <w:rPr>
                <w:b w:val="false"/>
                <w:bCs w:val="false"/>
                <w:sz w:val="19"/>
                <w:szCs w:val="19"/>
              </w:rPr>
              <w:t xml:space="preserve">Art. 6(1)(c) — Obbligo legale</w:t>
            </w:r>
          </w:p>
        </w:tc>
        <w:tc>
          <w:tcPr>
            <w:tcW w:type="dxa" w:w="2700"/>
            <w:shd w:fill="FAFAFA" w:val="clear"/>
            <w:tcMar>
              <w:top w:type="dxa" w:w="100"/>
              <w:left w:type="dxa" w:w="120"/>
              <w:bottom w:type="dxa" w:w="100"/>
              <w:right w:type="dxa" w:w="120"/>
            </w:tcMar>
          </w:tcPr>
          <w:p>
            <w:r>
              <w:rPr>
                <w:b w:val="false"/>
                <w:bCs w:val="false"/>
                <w:sz w:val="19"/>
                <w:szCs w:val="19"/>
              </w:rPr>
              <w:t xml:space="preserve">Organico di diritto/fatto, D.Lgs. 297/1994</w:t>
            </w:r>
          </w:p>
        </w:tc>
      </w:tr>
      <w:tr>
        <w:tc>
          <w:tcPr>
            <w:tcW w:type="dxa" w:w="3600"/>
            <w:tcMar>
              <w:top w:type="dxa" w:w="100"/>
              <w:left w:type="dxa" w:w="120"/>
              <w:bottom w:type="dxa" w:w="100"/>
              <w:right w:type="dxa" w:w="120"/>
            </w:tcMar>
          </w:tcPr>
          <w:p>
            <w:r>
              <w:rPr>
                <w:b w:val="false"/>
                <w:bCs w:val="false"/>
                <w:sz w:val="19"/>
                <w:szCs w:val="19"/>
              </w:rPr>
              <w:t xml:space="preserve">Corsi/prove di recupero, colloqui di rientro estero</w:t>
            </w:r>
          </w:p>
        </w:tc>
        <w:tc>
          <w:tcPr>
            <w:tcW w:type="dxa" w:w="3200"/>
            <w:tcMar>
              <w:top w:type="dxa" w:w="100"/>
              <w:left w:type="dxa" w:w="120"/>
              <w:bottom w:type="dxa" w:w="100"/>
              <w:right w:type="dxa" w:w="120"/>
            </w:tcMar>
          </w:tcPr>
          <w:p>
            <w:r>
              <w:rPr>
                <w:b w:val="false"/>
                <w:bCs w:val="false"/>
                <w:sz w:val="19"/>
                <w:szCs w:val="19"/>
              </w:rPr>
              <w:t xml:space="preserve">Art. 6(1)(b)/(c) — Contratto/Obbligo</w:t>
            </w:r>
          </w:p>
        </w:tc>
        <w:tc>
          <w:tcPr>
            <w:tcW w:type="dxa" w:w="2700"/>
            <w:tcMar>
              <w:top w:type="dxa" w:w="100"/>
              <w:left w:type="dxa" w:w="120"/>
              <w:bottom w:type="dxa" w:w="100"/>
              <w:right w:type="dxa" w:w="120"/>
            </w:tcMar>
          </w:tcPr>
          <w:p>
            <w:r>
              <w:rPr>
                <w:b w:val="false"/>
                <w:bCs w:val="false"/>
                <w:sz w:val="19"/>
                <w:szCs w:val="19"/>
              </w:rPr>
              <w:t xml:space="preserve">Normativa scolastica su recupero debiti formativi</w:t>
            </w:r>
          </w:p>
        </w:tc>
      </w:tr>
      <w:tr>
        <w:tc>
          <w:tcPr>
            <w:tcW w:type="dxa" w:w="3600"/>
            <w:shd w:fill="FAFAFA" w:val="clear"/>
            <w:tcMar>
              <w:top w:type="dxa" w:w="100"/>
              <w:left w:type="dxa" w:w="120"/>
              <w:bottom w:type="dxa" w:w="100"/>
              <w:right w:type="dxa" w:w="120"/>
            </w:tcMar>
          </w:tcPr>
          <w:p>
            <w:r>
              <w:rPr>
                <w:b w:val="false"/>
                <w:bCs w:val="false"/>
                <w:sz w:val="19"/>
                <w:szCs w:val="19"/>
              </w:rPr>
              <w:t xml:space="preserve">Log di accesso al sistema</w:t>
            </w:r>
          </w:p>
        </w:tc>
        <w:tc>
          <w:tcPr>
            <w:tcW w:type="dxa" w:w="3200"/>
            <w:shd w:fill="FAFAFA" w:val="clear"/>
            <w:tcMar>
              <w:top w:type="dxa" w:w="100"/>
              <w:left w:type="dxa" w:w="120"/>
              <w:bottom w:type="dxa" w:w="100"/>
              <w:right w:type="dxa" w:w="120"/>
            </w:tcMar>
          </w:tcPr>
          <w:p>
            <w:r>
              <w:rPr>
                <w:b w:val="false"/>
                <w:bCs w:val="false"/>
                <w:sz w:val="19"/>
                <w:szCs w:val="19"/>
              </w:rPr>
              <w:t xml:space="preserve">Art. 6(1)(f) — Legittimo interesse</w:t>
            </w:r>
          </w:p>
        </w:tc>
        <w:tc>
          <w:tcPr>
            <w:tcW w:type="dxa" w:w="2700"/>
            <w:shd w:fill="FAFAFA" w:val="clear"/>
            <w:tcMar>
              <w:top w:type="dxa" w:w="100"/>
              <w:left w:type="dxa" w:w="120"/>
              <w:bottom w:type="dxa" w:w="100"/>
              <w:right w:type="dxa" w:w="120"/>
            </w:tcMar>
          </w:tcPr>
          <w:p>
            <w:r>
              <w:rPr>
                <w:b w:val="false"/>
                <w:bCs w:val="false"/>
                <w:sz w:val="19"/>
                <w:szCs w:val="19"/>
              </w:rPr>
              <w:t xml:space="preserve">Provvedimento Garante 27/11/2008</w:t>
            </w:r>
          </w:p>
        </w:tc>
      </w:tr>
    </w:tbl>
    <w:p>
      <w:pPr>
        <w:pStyle w:val="Heading1"/>
        <w:spacing w:after="160" w:before="320"/>
      </w:pPr>
      <w:r>
        <w:t xml:space="preserve">3. Audit di minimizzazione (v2.2)</w:t>
      </w:r>
    </w:p>
    <w:p>
      <w:pPr>
        <w:spacing w:after="160"/>
      </w:pPr>
      <w:r>
        <w:rPr>
          <w:b w:val="false"/>
          <w:bCs w:val="false"/>
          <w:i w:val="false"/>
          <w:iCs w:val="false"/>
        </w:rPr>
        <w:t xml:space="preserve">Su richiesta specifica, è stato condotto un controllo sistematico di tutti i campi raccolti nelle tabelle collegate ai docenti (442 colonne complessive), verificando per ciascuno se sia effettivamente letto o scritto da qualche funzione dell'applicazione. L'obiettivo era rispondere concretamente a tre principi: la minimizzazione (dati pertinenti e limitati al necessario), lo scopo preciso (ogni dato deve servire a un fine dichiarato) e la liceità (dati raccolti in eccesso rendono il trattamento non conforme).</w:t>
      </w:r>
    </w:p>
    <w:p>
      <w:pPr>
        <w:spacing w:after="160"/>
      </w:pPr>
      <w:r>
        <w:rPr>
          <w:b w:val="false"/>
          <w:bCs w:val="false"/>
          <w:i w:val="false"/>
          <w:iCs w:val="false"/>
        </w:rPr>
        <w:t xml:space="preserve">Il risultato: la quasi totalità dei campi (437 su 442) è attivamente usata ed è riconducibile a una delle finalità dichiarate in sezione 2, con una base giuridica precisa. Sono stati individuati 5 campi/strutture non riconducibili a nessuno scopo attivo — residui di funzionalità modificate o mai completate nel tempo, non nuove raccolte dati:</w:t>
      </w:r>
    </w:p>
    <w:p>
      <w:pPr>
        <w:pStyle w:val="ListParagraph"/>
        <w:numPr>
          <w:ilvl w:val="0"/>
          <w:numId w:val="2"/>
        </w:numPr>
        <w:spacing w:after="90"/>
      </w:pPr>
      <w:r>
        <w:rPr>
          <w:b/>
          <w:bCs/>
        </w:rPr>
        <w:t xml:space="preserve">Rimosso — </w:t>
      </w:r>
      <w:r>
        <w:t xml:space="preserve">Una tabella intera (variazioni_orario) con riferimento a un docente coinvolto, creata nello schema ma mai popolata né consultata da nessuna funzione.</w:t>
      </w:r>
    </w:p>
    <w:p>
      <w:pPr>
        <w:pStyle w:val="ListParagraph"/>
        <w:numPr>
          <w:ilvl w:val="0"/>
          <w:numId w:val="2"/>
        </w:numPr>
        <w:spacing w:after="90"/>
      </w:pPr>
      <w:r>
        <w:rPr>
          <w:b/>
          <w:bCs/>
        </w:rPr>
        <w:t xml:space="preserve">Rimosso — </w:t>
      </w:r>
      <w:r>
        <w:t xml:space="preserve">Un campo note interne alternativo nelle assenze (motivo_interno), predisposto nel codice ma senza alcun campo del form che lo valorizzasse.</w:t>
      </w:r>
    </w:p>
    <w:p>
      <w:pPr>
        <w:pStyle w:val="ListParagraph"/>
        <w:numPr>
          <w:ilvl w:val="0"/>
          <w:numId w:val="2"/>
        </w:numPr>
        <w:spacing w:after="90"/>
      </w:pPr>
      <w:r>
        <w:rPr>
          <w:b/>
          <w:bCs/>
        </w:rPr>
        <w:t xml:space="preserve">Rimosso — </w:t>
      </w:r>
      <w:r>
        <w:t xml:space="preserve">Un riferimento a un "commissario" nei gruppi di recupero d'agosto, non più collegato a nessuna schermata (sostituito nei fatti dal solo "sorvegliante"). Riguardava 19 valori storici reali.</w:t>
      </w:r>
    </w:p>
    <w:p>
      <w:pPr>
        <w:pStyle w:val="ListParagraph"/>
        <w:numPr>
          <w:ilvl w:val="0"/>
          <w:numId w:val="2"/>
        </w:numPr>
        <w:spacing w:after="90"/>
      </w:pPr>
      <w:r>
        <w:rPr>
          <w:b/>
          <w:bCs/>
        </w:rPr>
        <w:t xml:space="preserve">Rimosso — </w:t>
      </w:r>
      <w:r>
        <w:t xml:space="preserve">Un riferimento al membro DS/vicario nei colloqui di rientro dall'estero, già segnalato nel codice come superato da un meccanismo più recente. Riguardava 7 valori storici reali.</w:t>
      </w:r>
    </w:p>
    <w:p>
      <w:pPr>
        <w:pStyle w:val="ListParagraph"/>
        <w:numPr>
          <w:ilvl w:val="0"/>
          <w:numId w:val="2"/>
        </w:numPr>
        <w:spacing w:after="90"/>
      </w:pPr>
      <w:r>
        <w:rPr>
          <w:b/>
          <w:bCs/>
        </w:rPr>
        <w:t xml:space="preserve">Rimosso — </w:t>
      </w:r>
      <w:r>
        <w:t xml:space="preserve">Un collegamento a categoria negli incarichi, mai realmente utilizzato perché la categoria è gestita altrove come semplice codice testuale. Riguardava 16 valori storici reali.</w:t>
      </w:r>
    </w:p>
    <w:p>
      <w:pPr>
        <w:spacing w:after="160"/>
      </w:pPr>
      <w:r>
        <w:rPr>
          <w:b w:val="false"/>
          <w:bCs w:val="false"/>
          <w:i w:val="false"/>
          <w:iCs w:val="false"/>
        </w:rPr>
        <w:t xml:space="preserve">I tre punti con dati storici reali (42 valori complessivi) sono stati rimossi in via definitiva, dopo backup cifrato preventivo del database e conferma esplicita del Titolare: trattandosi di dati che l'applicazione non usa più per alcuno scopo dichiarato, la loro conservazione non era più giustificabile. Le modifiche sono state applicate sia al modello dati sia allo schema del database, verificate con la suite di test automatici (51/51) e con controlli funzionali sulle pagine coinvolte.</w:t>
      </w:r>
    </w:p>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dcfce7" w:val="clear"/>
            <w:tcMar>
              <w:top w:type="dxa" w:w="160"/>
              <w:left w:type="dxa" w:w="200"/>
              <w:bottom w:type="dxa" w:w="160"/>
              <w:right w:type="dxa" w:w="200"/>
            </w:tcMar>
          </w:tcPr>
          <w:p>
            <w:pPr>
              <w:spacing w:after="80"/>
            </w:pPr>
            <w:r>
              <w:rPr>
                <w:b/>
                <w:bCs/>
                <w:color w:val="15803d"/>
              </w:rPr>
              <w:t xml:space="preserve">Esito dell'audit</w:t>
            </w:r>
          </w:p>
          <w:p>
            <w:r>
              <w:t xml:space="preserve">A valle di questa pulizia, ogni campo attualmente raccolto da CaronteApp per i docenti è riconducibile a una finalità dichiarata e a una base giuridica precisa (sezione 2). Si raccomanda di ripetere un controllo analogo periodicamente (es. una volta l'anno, o ad ogni evoluzione rilevante del sistema) per evitare che nuovi campi non più utilizzati si accumulino nel tempo.</w:t>
            </w:r>
          </w:p>
        </w:tc>
      </w:tr>
    </w:tbl>
    <w:p>
      <w:pPr>
        <w:pStyle w:val="Heading1"/>
        <w:spacing w:after="160" w:before="320"/>
      </w:pPr>
      <w:r>
        <w:t xml:space="preserve">4. Categorie di dati trattati</w:t>
      </w:r>
    </w:p>
    <w:p>
      <w:pPr>
        <w:spacing w:after="160"/>
      </w:pPr>
      <w:r>
        <w:rPr>
          <w:b w:val="false"/>
          <w:bCs w:val="false"/>
          <w:i w:val="false"/>
          <w:iCs w:val="false"/>
        </w:rPr>
        <w:t xml:space="preserve">Dati anagrafici e di servizio dei docenti: cognome, nome, email, ruolo didattico (titolare/ITP/sostegno), classe di concorso, ore di contratto, tipo di contratto, part-time, giorni di presenza, eventuale altra scuola di servizio, orario di cattedra, note libere inserite dalla segreteria.</w:t>
      </w:r>
    </w:p>
    <w:p>
      <w:pPr>
        <w:spacing w:after="160"/>
      </w:pPr>
      <w:r>
        <w:rPr>
          <w:b w:val="false"/>
          <w:bCs w:val="false"/>
          <w:i w:val="false"/>
          <w:iCs w:val="false"/>
        </w:rPr>
        <w:t xml:space="preserve">Dati orario e organizzativi: orario delle lezioni, orario di sostegno, cattedre e assegnazioni classi, ore di potenziamento, banca ore e movimenti di recupero, cambi quadro orario.</w:t>
      </w:r>
    </w:p>
    <w:tbl>
      <w:tblPr>
        <w:tblW w:type="pct" w:w="100%"/>
        <w:tblBorders>
          <w:top w:val="single" w:color="92400e" w:sz="4"/>
          <w:left w:val="single" w:color="92400e" w:sz="4"/>
          <w:bottom w:val="single" w:color="92400e" w:sz="4"/>
          <w:right w:val="single" w:color="92400e" w:sz="4"/>
          <w:insideH w:val="none"/>
          <w:insideV w:val="none"/>
        </w:tblBorders>
      </w:tblPr>
      <w:tblGrid>
        <w:gridCol w:w="100"/>
      </w:tblGrid>
      <w:tr>
        <w:tc>
          <w:tcPr>
            <w:shd w:fill="fef3c7" w:val="clear"/>
            <w:tcMar>
              <w:top w:type="dxa" w:w="160"/>
              <w:left w:type="dxa" w:w="200"/>
              <w:bottom w:type="dxa" w:w="160"/>
              <w:right w:type="dxa" w:w="200"/>
            </w:tcMar>
          </w:tcPr>
          <w:p>
            <w:pPr>
              <w:spacing w:after="80"/>
            </w:pPr>
            <w:r>
              <w:rPr>
                <w:b/>
                <w:bCs/>
                <w:color w:val="92400e"/>
              </w:rPr>
              <w:t xml:space="preserve">Dati particolari (art. 9 GDPR)</w:t>
            </w:r>
          </w:p>
          <w:p>
            <w:r>
              <w:t xml:space="preserve">Il campo "Assenze" registra, tra i vari motivi previsti, anche la "malattia" del personale docente — categoria particolare di dati relativa alla salute ai sensi dell'art. 9 GDPR. Il sistema NON registra diagnosi, prognosi o dettagli clinici: il campo motivo è un'etichetta amministrativa ("malattia"), coerente con quanto già dichiarato nella versione 1.0. Il campo libero "note interne" resta testo non strutturato e non impedisce tecnicamente l'inserimento di dettagli sanitari da parte dell'operatore; dalla v2.1 il modulo di inserimento/modifica assenza mostra un avviso esplicito sotto il campo ("non riportare qui diagnosi, prognosi o altri dettagli clinici") e il testo suggerito di esempio è stato cambiato da "certificato medico" a "numero protocollo". Resta comunque raccomandata una policy interna scritta, perché un avviso a video non sostituisce un vincolo formale (vedi sezione 9).</w:t>
            </w:r>
          </w:p>
        </w:tc>
      </w:tr>
    </w:tbl>
    <w:p>
      <w:pPr>
        <w:spacing w:after="160"/>
      </w:pPr>
      <w:r>
        <w:rPr>
          <w:b w:val="false"/>
          <w:bCs w:val="false"/>
          <w:i w:val="false"/>
          <w:iCs w:val="false"/>
        </w:rPr>
        <w:t xml:space="preserve">Dati di sicurezza/accesso: log di accesso al sistema (utente, ruolo, azione, esito, indirizzo IP, timestamp), conservati per finalità di sicurezza informatica.</w:t>
      </w:r>
    </w:p>
    <w:p>
      <w:pPr>
        <w:spacing w:after="160"/>
      </w:pPr>
      <w:r>
        <w:rPr>
          <w:b w:val="false"/>
          <w:bCs w:val="false"/>
          <w:i w:val="false"/>
          <w:iCs w:val="false"/>
        </w:rPr>
        <w:t xml:space="preserve">Non sono trattati dati di studenti o genitori: l'applicazione è ad uso esclusivamente interno al personale.</w:t>
      </w:r>
    </w:p>
    <w:p>
      <w:pPr>
        <w:pStyle w:val="Heading1"/>
        <w:spacing w:after="160" w:before="320"/>
      </w:pPr>
      <w:r>
        <w:t xml:space="preserve">5. Soggetti autorizzati al trattamento</w:t>
      </w:r>
    </w:p>
    <w:p>
      <w:pPr>
        <w:spacing w:after="160"/>
      </w:pPr>
      <w:r>
        <w:rPr>
          <w:b w:val="false"/>
          <w:bCs w:val="false"/>
          <w:i w:val="false"/>
          <w:iCs w:val="false"/>
        </w:rPr>
        <w:t xml:space="preserve">L'accesso è protetto da autenticazione (PIN personale) e regolato da un sistema di ruoli con permessi differenziati per sezione applicativa: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e3a5f" w:val="clear"/>
            <w:tcMar>
              <w:top w:type="dxa" w:w="100"/>
              <w:left w:type="dxa" w:w="120"/>
              <w:bottom w:type="dxa" w:w="100"/>
              <w:right w:type="dxa" w:w="120"/>
            </w:tcMar>
          </w:tcPr>
          <w:p>
            <w:r>
              <w:rPr>
                <w:b/>
                <w:bCs/>
                <w:color w:val="FFFFFF"/>
              </w:rPr>
              <w:t xml:space="preserve">Ruolo</w:t>
            </w:r>
          </w:p>
        </w:tc>
        <w:tc>
          <w:tcPr>
            <w:tcW w:type="dxa" w:w="6500"/>
            <w:shd w:fill="1e3a5f" w:val="clear"/>
            <w:tcMar>
              <w:top w:type="dxa" w:w="100"/>
              <w:left w:type="dxa" w:w="120"/>
              <w:bottom w:type="dxa" w:w="100"/>
              <w:right w:type="dxa" w:w="120"/>
            </w:tcMar>
          </w:tcPr>
          <w:p>
            <w:r>
              <w:rPr>
                <w:b/>
                <w:bCs/>
                <w:color w:val="FFFFFF"/>
              </w:rPr>
              <w:t xml:space="preserve">Permessi principali</w:t>
            </w:r>
          </w:p>
        </w:tc>
      </w:tr>
      <w:tr>
        <w:tc>
          <w:tcPr>
            <w:tcW w:type="dxa" w:w="3000"/>
            <w:tcMar>
              <w:top w:type="dxa" w:w="100"/>
              <w:left w:type="dxa" w:w="120"/>
              <w:bottom w:type="dxa" w:w="100"/>
              <w:right w:type="dxa" w:w="120"/>
            </w:tcMar>
          </w:tcPr>
          <w:p>
            <w:r>
              <w:rPr>
                <w:b w:val="false"/>
                <w:bCs w:val="false"/>
                <w:sz w:val="19"/>
                <w:szCs w:val="19"/>
              </w:rPr>
              <w:t xml:space="preserve">Dirigente Scolastico (ds)</w:t>
            </w:r>
          </w:p>
        </w:tc>
        <w:tc>
          <w:tcPr>
            <w:tcW w:type="dxa" w:w="6500"/>
            <w:tcMar>
              <w:top w:type="dxa" w:w="100"/>
              <w:left w:type="dxa" w:w="120"/>
              <w:bottom w:type="dxa" w:w="100"/>
              <w:right w:type="dxa" w:w="120"/>
            </w:tcMar>
          </w:tcPr>
          <w:p>
            <w:r>
              <w:rPr>
                <w:b w:val="false"/>
                <w:bCs w:val="false"/>
                <w:sz w:val="19"/>
                <w:szCs w:val="19"/>
              </w:rPr>
              <w:t xml:space="preserve">Sola lettura su report, supplenze, banca ore, anagrafica docenti, recupero/rientro estero, organico; gestione utenti e consultazione log accessi</w:t>
            </w:r>
          </w:p>
        </w:tc>
      </w:tr>
      <w:tr>
        <w:tc>
          <w:tcPr>
            <w:tcW w:type="dxa" w:w="3000"/>
            <w:shd w:fill="FAFAFA" w:val="clear"/>
            <w:tcMar>
              <w:top w:type="dxa" w:w="100"/>
              <w:left w:type="dxa" w:w="120"/>
              <w:bottom w:type="dxa" w:w="100"/>
              <w:right w:type="dxa" w:w="120"/>
            </w:tcMar>
          </w:tcPr>
          <w:p>
            <w:r>
              <w:rPr>
                <w:b w:val="false"/>
                <w:bCs w:val="false"/>
                <w:sz w:val="19"/>
                <w:szCs w:val="19"/>
              </w:rPr>
              <w:t xml:space="preserve">DSGA (dsga)</w:t>
            </w:r>
          </w:p>
        </w:tc>
        <w:tc>
          <w:tcPr>
            <w:tcW w:type="dxa" w:w="6500"/>
            <w:shd w:fill="FAFAFA" w:val="clear"/>
            <w:tcMar>
              <w:top w:type="dxa" w:w="100"/>
              <w:left w:type="dxa" w:w="120"/>
              <w:bottom w:type="dxa" w:w="100"/>
              <w:right w:type="dxa" w:w="120"/>
            </w:tcMar>
          </w:tcPr>
          <w:p>
            <w:r>
              <w:rPr>
                <w:b w:val="false"/>
                <w:bCs w:val="false"/>
                <w:sz w:val="19"/>
                <w:szCs w:val="19"/>
              </w:rPr>
              <w:t xml:space="preserve">Accesso completo a tutte le sezioni operative (supplenze, banca ore, docenti, orario, aule, assenze, attività), esclusa la gestione utenti e i log</w:t>
            </w:r>
          </w:p>
        </w:tc>
      </w:tr>
      <w:tr>
        <w:tc>
          <w:tcPr>
            <w:tcW w:type="dxa" w:w="3000"/>
            <w:tcMar>
              <w:top w:type="dxa" w:w="100"/>
              <w:left w:type="dxa" w:w="120"/>
              <w:bottom w:type="dxa" w:w="100"/>
              <w:right w:type="dxa" w:w="120"/>
            </w:tcMar>
          </w:tcPr>
          <w:p>
            <w:r>
              <w:rPr>
                <w:b w:val="false"/>
                <w:bCs w:val="false"/>
                <w:sz w:val="19"/>
                <w:szCs w:val="19"/>
              </w:rPr>
              <w:t xml:space="preserve">Collaboratore DS (collaboratore)</w:t>
            </w:r>
          </w:p>
        </w:tc>
        <w:tc>
          <w:tcPr>
            <w:tcW w:type="dxa" w:w="6500"/>
            <w:tcMar>
              <w:top w:type="dxa" w:w="100"/>
              <w:left w:type="dxa" w:w="120"/>
              <w:bottom w:type="dxa" w:w="100"/>
              <w:right w:type="dxa" w:w="120"/>
            </w:tcMar>
          </w:tcPr>
          <w:p>
            <w:r>
              <w:rPr>
                <w:b w:val="false"/>
                <w:bCs w:val="false"/>
                <w:sz w:val="19"/>
                <w:szCs w:val="19"/>
              </w:rPr>
              <w:t xml:space="preserve">Gestione supplenze, assenze, attività, indisponibilità, recupero/rientro estero; sola lettura su banca ore, report, anagrafica, orario, aule, organico</w:t>
            </w:r>
          </w:p>
        </w:tc>
      </w:tr>
      <w:tr>
        <w:tc>
          <w:tcPr>
            <w:tcW w:type="dxa" w:w="3000"/>
            <w:shd w:fill="FAFAFA" w:val="clear"/>
            <w:tcMar>
              <w:top w:type="dxa" w:w="100"/>
              <w:left w:type="dxa" w:w="120"/>
              <w:bottom w:type="dxa" w:w="100"/>
              <w:right w:type="dxa" w:w="120"/>
            </w:tcMar>
          </w:tcPr>
          <w:p>
            <w:r>
              <w:rPr>
                <w:b w:val="false"/>
                <w:bCs w:val="false"/>
                <w:sz w:val="19"/>
                <w:szCs w:val="19"/>
              </w:rPr>
              <w:t xml:space="preserve">Segreteria Personale (segreteria)</w:t>
            </w:r>
          </w:p>
        </w:tc>
        <w:tc>
          <w:tcPr>
            <w:tcW w:type="dxa" w:w="6500"/>
            <w:shd w:fill="FAFAFA" w:val="clear"/>
            <w:tcMar>
              <w:top w:type="dxa" w:w="100"/>
              <w:left w:type="dxa" w:w="120"/>
              <w:bottom w:type="dxa" w:w="100"/>
              <w:right w:type="dxa" w:w="120"/>
            </w:tcMar>
          </w:tcPr>
          <w:p>
            <w:r>
              <w:rPr>
                <w:b w:val="false"/>
                <w:bCs w:val="false"/>
                <w:sz w:val="19"/>
                <w:szCs w:val="19"/>
              </w:rPr>
              <w:t xml:space="preserve">Gestione assenze, attività, recupero/rientro estero, banca ore, report; sola lettura su supplenze, anagrafica docenti, aule</w:t>
            </w:r>
          </w:p>
        </w:tc>
      </w:tr>
      <w:tr>
        <w:tc>
          <w:tcPr>
            <w:tcW w:type="dxa" w:w="3000"/>
            <w:tcMar>
              <w:top w:type="dxa" w:w="100"/>
              <w:left w:type="dxa" w:w="120"/>
              <w:bottom w:type="dxa" w:w="100"/>
              <w:right w:type="dxa" w:w="120"/>
            </w:tcMar>
          </w:tcPr>
          <w:p>
            <w:r>
              <w:rPr>
                <w:b w:val="false"/>
                <w:bCs w:val="false"/>
                <w:sz w:val="19"/>
                <w:szCs w:val="19"/>
              </w:rPr>
              <w:t xml:space="preserve">Display (display)</w:t>
            </w:r>
          </w:p>
        </w:tc>
        <w:tc>
          <w:tcPr>
            <w:tcW w:type="dxa" w:w="6500"/>
            <w:tcMar>
              <w:top w:type="dxa" w:w="100"/>
              <w:left w:type="dxa" w:w="120"/>
              <w:bottom w:type="dxa" w:w="100"/>
              <w:right w:type="dxa" w:w="120"/>
            </w:tcMar>
          </w:tcPr>
          <w:p>
            <w:r>
              <w:rPr>
                <w:b w:val="false"/>
                <w:bCs w:val="false"/>
                <w:sz w:val="19"/>
                <w:szCs w:val="19"/>
              </w:rPr>
              <w:t xml:space="preserve">Sola consultazione della vista pubblica /display (variazioni orario del giorno, nessun dato sanitario)</w:t>
            </w:r>
          </w:p>
        </w:tc>
      </w:tr>
    </w:tbl>
    <w:p>
      <w:pPr>
        <w:spacing w:after="160"/>
      </w:pPr>
      <w:r>
        <w:rPr>
          <w:b w:val="false"/>
          <w:bCs w:val="false"/>
          <w:i w:val="false"/>
          <w:iCs w:val="false"/>
        </w:rPr>
        <w:t xml:space="preserve">Ogni accesso e azione rilevante (login, consultazioni, modifiche, accessi negati per permessi insufficienti) viene tracciato in un log di sicurezza (tabella log_accessi) con utente, ruolo, azione, esito e indirizzo IP.</w:t>
      </w:r>
    </w:p>
    <w:p>
      <w:pPr>
        <w:pStyle w:val="Heading1"/>
        <w:spacing w:after="160" w:before="320"/>
      </w:pPr>
      <w:r>
        <w:t xml:space="preserve">6. Misure di sicurezza tecniche e organizzative</w:t>
      </w:r>
    </w:p>
    <w:p>
      <w:pPr>
        <w:pStyle w:val="ListParagraph"/>
        <w:numPr>
          <w:ilvl w:val="0"/>
          <w:numId w:val="2"/>
        </w:numPr>
        <w:spacing w:after="90"/>
      </w:pPr>
      <w:r>
        <w:rPr>
          <w:b/>
          <w:bCs/>
        </w:rPr>
        <w:t xml:space="preserve">Autenticazione — </w:t>
      </w:r>
      <w:r>
        <w:t xml:space="preserve">PIN personale per l'accesso, con blocco temporaneo (15 minuti) dopo ripetuti tentativi falliti entro una finestra temporale, a mitigazione di attacchi a forza bruta.</w:t>
      </w:r>
    </w:p>
    <w:p>
      <w:pPr>
        <w:pStyle w:val="ListParagraph"/>
        <w:numPr>
          <w:ilvl w:val="0"/>
          <w:numId w:val="2"/>
        </w:numPr>
        <w:spacing w:after="90"/>
      </w:pPr>
      <w:r>
        <w:rPr>
          <w:b/>
          <w:bCs/>
        </w:rPr>
        <w:t xml:space="preserve">Protezione web — </w:t>
      </w:r>
      <w:r>
        <w:t xml:space="preserve">Protezione CSRF (Cross-Site Request Forgery) attiva su tutte le richieste di scrittura (POST/PUT/PATCH/DELETE) tramite Flask-WTF.</w:t>
      </w:r>
    </w:p>
    <w:p>
      <w:pPr>
        <w:pStyle w:val="ListParagraph"/>
        <w:numPr>
          <w:ilvl w:val="0"/>
          <w:numId w:val="2"/>
        </w:numPr>
        <w:spacing w:after="90"/>
      </w:pPr>
      <w:r>
        <w:rPr>
          <w:b/>
          <w:bCs/>
        </w:rPr>
        <w:t xml:space="preserve">Autorizzazione — </w:t>
      </w:r>
      <w:r>
        <w:t xml:space="preserve">Controllo permessi per sezione applicativa ad ogni richiesta, con log degli accessi negati.</w:t>
      </w:r>
    </w:p>
    <w:p>
      <w:pPr>
        <w:pStyle w:val="ListParagraph"/>
        <w:numPr>
          <w:ilvl w:val="0"/>
          <w:numId w:val="2"/>
        </w:numPr>
        <w:spacing w:after="90"/>
      </w:pPr>
      <w:r>
        <w:rPr>
          <w:b/>
          <w:bCs/>
        </w:rPr>
        <w:t xml:space="preserve">Backup locale — </w:t>
      </w:r>
      <w:r>
        <w:t xml:space="preserve">Backup giornaliero automatico del database, cifrato con Fernet (AES-128 in modalità CBC, autenticato con HMAC-SHA256); chiave di cifratura generata casualmente al primo avvio e conservata localmente con permessi ristretti al solo proprietario del file. Conservazione delle ultime 60 versioni cifrate in data/backup/.</w:t>
      </w:r>
    </w:p>
    <w:p>
      <w:pPr>
        <w:pStyle w:val="ListParagraph"/>
        <w:numPr>
          <w:ilvl w:val="0"/>
          <w:numId w:val="2"/>
        </w:numPr>
        <w:spacing w:after="90"/>
      </w:pPr>
      <w:r>
        <w:rPr>
          <w:b/>
          <w:bCs/>
        </w:rPr>
        <w:t xml:space="preserve">Integrità dei dati — </w:t>
      </w:r>
      <w:r>
        <w:t xml:space="preserve">Controllo di concorrenza ottimistico sulle schede più sensibili (es. anagrafica docente, supplenze): se due utenti modificano lo stesso record, chi salva per secondo viene avvisato invece di sovrascrivere in silenzio.</w:t>
      </w:r>
    </w:p>
    <w:p>
      <w:pPr>
        <w:pStyle w:val="ListParagraph"/>
        <w:numPr>
          <w:ilvl w:val="0"/>
          <w:numId w:val="2"/>
        </w:numPr>
        <w:spacing w:after="90"/>
      </w:pPr>
      <w:r>
        <w:rPr>
          <w:b/>
          <w:bCs/>
        </w:rPr>
        <w:t xml:space="preserve">Gestione chiavi — </w:t>
      </w:r>
      <w:r>
        <w:t xml:space="preserve">I file di chiave di cifratura (.backup_key, .backup_salt) sono esclusi dal controllo di versione (.gitignore) e non vengono mai distribuiti insieme al codice sorgente.</w:t>
      </w:r>
    </w:p>
    <w:p>
      <w:pPr>
        <w:pStyle w:val="Heading1"/>
        <w:spacing w:after="160" w:before="320"/>
      </w:pPr>
      <w:r>
        <w:t xml:space="preserve">7. Trasferimento dati a terzi e servizi cloud</w:t>
      </w:r>
    </w:p>
    <w:p>
      <w:pPr>
        <w:spacing w:after="160"/>
      </w:pPr>
      <w:r>
        <w:rPr>
          <w:b w:val="false"/>
          <w:bCs w:val="false"/>
          <w:i w:val="false"/>
          <w:iCs w:val="false"/>
        </w:rPr>
        <w:t xml:space="preserve">Questa sezione è la principale novità rispetto alla versione 1.0 del documento e richiede una valutazione specifica da parte del DPO.</w:t>
      </w:r>
    </w:p>
    <w:p>
      <w:pPr>
        <w:pStyle w:val="Heading2"/>
        <w:spacing w:after="120" w:before="260"/>
      </w:pPr>
      <w:r>
        <w:t xml:space="preserve">7.1 Sincronizzazione tramite Google Drive</w:t>
      </w:r>
    </w:p>
    <w:p>
      <w:pPr>
        <w:spacing w:after="160"/>
      </w:pPr>
      <w:r>
        <w:rPr>
          <w:b w:val="false"/>
          <w:bCs w:val="false"/>
          <w:i w:val="false"/>
          <w:iCs w:val="false"/>
        </w:rPr>
        <w:t xml:space="preserve">Dal giugno 2026 lo script sync_db.py consente di sincronizzare il database dell'applicazione tramite una cartella Google Drive locale (Google Drive for Desktop), per permettere l'uso da più postazioni con un unico database condiviso.</w:t>
      </w:r>
    </w:p>
    <w:p>
      <w:pPr>
        <w:spacing w:after="160"/>
      </w:pPr>
      <w:r>
        <w:rPr>
          <w:b w:val="false"/>
          <w:bCs w:val="false"/>
          <w:i w:val="false"/>
          <w:iCs w:val="false"/>
        </w:rPr>
        <w:t xml:space="preserve">Ad ogni sincronizzazione lo script copia il file database.db — contenente l'insieme dei dati personali descritti nella sezione 3, incluso il campo "malattia" nelle assenze — nella cartella Google Drive dell'utente, insieme a una copia storica timestampata (fino a 10 versioni conservate in un sottocartella "storico_db").</w:t>
      </w:r>
    </w:p>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dcfce7" w:val="clear"/>
            <w:tcMar>
              <w:top w:type="dxa" w:w="160"/>
              <w:left w:type="dxa" w:w="200"/>
              <w:bottom w:type="dxa" w:w="160"/>
              <w:right w:type="dxa" w:w="200"/>
            </w:tcMar>
          </w:tcPr>
          <w:p>
            <w:pPr>
              <w:spacing w:after="80"/>
            </w:pPr>
            <w:r>
              <w:rPr>
                <w:b/>
                <w:bCs/>
                <w:color w:val="15803d"/>
              </w:rPr>
              <w:t xml:space="preserve">Aggiornamento v2.1 — canale ora cifrato</w:t>
            </w:r>
          </w:p>
          <w:p>
            <w:r>
              <w:t xml:space="preserve">Il file caricato e conservato su Google Drive (database.db.enc, incluse le versioni storiche in storico_db/) è ora sempre cifrato con lo stesso meccanismo Fernet (AES-128-CBC + HMAC-SHA256) del backup locale, con migrazione automatica delle installazioni che avevano ancora il vecchio formato in chiaro. Google (o chiunque acceda alla cartella Drive) non vede quindi dati in chiaro.</w:t>
            </w:r>
          </w:p>
        </w:tc>
      </w:tr>
    </w:tbl>
    <w:tbl>
      <w:tblPr>
        <w:tblW w:type="pct" w:w="100%"/>
        <w:tblBorders>
          <w:top w:val="single" w:color="a5241f" w:sz="4"/>
          <w:left w:val="single" w:color="a5241f" w:sz="4"/>
          <w:bottom w:val="single" w:color="a5241f" w:sz="4"/>
          <w:right w:val="single" w:color="a5241f" w:sz="4"/>
          <w:insideH w:val="none"/>
          <w:insideV w:val="none"/>
        </w:tblBorders>
      </w:tblPr>
      <w:tblGrid>
        <w:gridCol w:w="100"/>
      </w:tblGrid>
      <w:tr>
        <w:tc>
          <w:tcPr>
            <w:shd w:fill="fdecea" w:val="clear"/>
            <w:tcMar>
              <w:top w:type="dxa" w:w="160"/>
              <w:left w:type="dxa" w:w="200"/>
              <w:bottom w:type="dxa" w:w="160"/>
              <w:right w:type="dxa" w:w="200"/>
            </w:tcMar>
          </w:tcPr>
          <w:p>
            <w:pPr>
              <w:spacing w:after="80"/>
            </w:pPr>
            <w:r>
              <w:rPr>
                <w:b/>
                <w:bCs/>
                <w:color w:val="a5241f"/>
              </w:rPr>
              <w:t xml:space="preserve">Punto di attenzione residuo per il DPO</w:t>
            </w:r>
          </w:p>
          <w:p>
            <w:r>
              <w:t xml:space="preserve">Anche con il file cifrato, la sincronizzazione resta un trasferimento di dati personali verso l'infrastruttura cloud di un fornitore terzo (Google), che agisce come responsabile del trattamento ai sensi dell'art. 28 GDPR. Occorre verificare: (1) l'esistenza di un accordo sul trattamento dei dati (Data Processing Addendum) con Google per l'account/dominio utilizzato, idealmente un account Google Workspace for Education dell'istituto e non un account Google personale; (2) la localizzazione dei server di elaborazione dati di Google (rilevante per i trasferimenti extra-UE). Questi sono punti organizzativi/contrattuali che restano da chiarire con Google e non sono risolvibili lato codice.</w:t>
            </w:r>
          </w:p>
        </w:tc>
      </w:tr>
    </w:tbl>
    <w:p>
      <w:pPr>
        <w:spacing w:after="160"/>
      </w:pPr>
      <w:r>
        <w:rPr>
          <w:b w:val="false"/>
          <w:bCs w:val="false"/>
          <w:i w:val="false"/>
          <w:iCs w:val="false"/>
        </w:rPr>
        <w:t xml:space="preserve">Il meccanismo prevede un lock file per evitare scritture concorrenti da più postazioni, ma questo è un accorgimento di integrità applicativa e non incide sulla valutazione di conformità del trasferimento dati.</w:t>
      </w:r>
    </w:p>
    <w:p>
      <w:pPr>
        <w:pStyle w:val="Heading2"/>
        <w:spacing w:after="120" w:before="260"/>
      </w:pPr>
      <w:r>
        <w:t xml:space="preserve">7.2 Altri servizi terzi</w:t>
      </w:r>
    </w:p>
    <w:p>
      <w:pPr>
        <w:spacing w:after="160"/>
      </w:pPr>
      <w:r>
        <w:rPr>
          <w:b w:val="false"/>
          <w:bCs w:val="false"/>
          <w:i w:val="false"/>
          <w:iCs w:val="false"/>
        </w:rPr>
        <w:t xml:space="preserve">Non risultano, alla data della presente revisione, altri invii automatici di dati personali verso servizi esterni. L'invio automatico di email via SMTP, presente in una versione precedente del sistema, è stato rimosso: eventuali comunicazioni via email sono oggi predisposte come bozze da inviare manualmente dall'operatore tramite il proprio client di posta, che resta comunque soggetto alle policy IT dell'istituto per la posta elettronica del personale.</w:t>
      </w:r>
    </w:p>
    <w:p>
      <w:pPr>
        <w:pStyle w:val="Heading1"/>
        <w:spacing w:after="160" w:before="320"/>
      </w:pPr>
      <w:r>
        <w:t xml:space="preserve">8. Conservazione e cancellazione dei dati</w:t>
      </w:r>
    </w:p>
    <w:p>
      <w:pPr>
        <w:spacing w:after="160"/>
      </w:pPr>
      <w:r>
        <w:rPr>
          <w:b w:val="false"/>
          <w:bCs w:val="false"/>
          <w:i w:val="false"/>
          <w:iCs w:val="false"/>
        </w:rPr>
        <w:t xml:space="preserve">I log di accesso al sistema vengono eliminati automaticamente oltre i 180 giorni di conservazione, in conformità al Provvedimento del Garante Privacy del 27/11/2008 in materia di amministratori di sistema.</w:t>
      </w:r>
    </w:p>
    <w:p>
      <w:pPr>
        <w:spacing w:after="160"/>
      </w:pPr>
      <w:r>
        <w:rPr>
          <w:b w:val="false"/>
          <w:bCs w:val="false"/>
          <w:i w:val="false"/>
          <w:iCs w:val="false"/>
        </w:rPr>
        <w:t xml:space="preserve">I dati anagrafici e di servizio dei docenti, i dati di orario, assenze e banca ore sono conservati per la durata del rapporto di servizio e per il periodo successivo previsto dagli obblighi di legge in materia di conservazione della documentazione amministrativa e contabile della Pubblica Amministrazione. Il sistema dispone di una funzione di anonimizzazione su richiesta (routes/docenti.py::anonimizza, riservata al ruolo Dirigente Scolastico), che sostituisce i dati identificativi con un codice anonimo mantenendo i dati operativi per gli obblighi contabili, oltre a una funzione di eliminazione definitiva con avviso sui dati collegati. Non è presente una procedura automatica che proponga l'anonimizzazione/cancellazione dopo un certo periodo dalla cessazione del servizio: l'iniziativa resta oggi manuale, a cura del Dirigente Scolastico.</w:t>
      </w:r>
    </w:p>
    <w:p>
      <w:pPr>
        <w:pStyle w:val="Heading1"/>
        <w:spacing w:after="160" w:before="320"/>
      </w:pPr>
      <w:r>
        <w:t xml:space="preserve">9. Diritti degli interessati</w:t>
      </w:r>
    </w:p>
    <w:p>
      <w:pPr>
        <w:spacing w:after="160"/>
      </w:pPr>
      <w:r>
        <w:rPr>
          <w:b w:val="false"/>
          <w:bCs w:val="false"/>
          <w:i w:val="false"/>
          <w:iCs w:val="false"/>
        </w:rPr>
        <w:t xml:space="preserve">I docenti, in quanto interessati, possono esercitare i diritti di accesso, rettifica, cancellazione (nei limiti degli obblighi di conservazione di legge), limitazione del trattamento e opposizione, rivolgendosi al Titolare del trattamento (Dirigente Scolastico).</w:t>
      </w:r>
    </w:p>
    <w:p>
      <w:pPr>
        <w:spacing w:after="160"/>
      </w:pPr>
      <w:r>
        <w:rPr>
          <w:b w:val="false"/>
          <w:bCs w:val="false"/>
          <w:i w:val="false"/>
          <w:iCs w:val="false"/>
        </w:rPr>
        <w:t xml:space="preserve">Dalla v2.1, il sistema dispone di una funzione di esportazione dati per singolo docente (routes/docenti.py::esporta_dati, pulsante nella lista docenti), che genera un documento PDF con tutti i dati personali collegati al docente presenti nelle tabelle principali dell'applicazione — anagrafica, orario, assenze, supplenze, banca ore, indisponibilità, assegnazioni cattedre/classi, eccezioni colloqui — a supporto diretto delle richieste di accesso ex art. 15 GDPR. Ogni esportazione viene registrata nel log di sicurezza.</w:t>
      </w:r>
    </w:p>
    <w:p>
      <w:pPr>
        <w:pStyle w:val="Heading1"/>
        <w:spacing w:after="160" w:before="320"/>
      </w:pPr>
      <w:r>
        <w:t xml:space="preserve">10. Sintesi delle raccomandazioni</w:t>
      </w:r>
    </w:p>
    <w:p>
      <w:pPr>
        <w:spacing w:after="160"/>
      </w:pPr>
      <w:r>
        <w:rPr>
          <w:b w:val="false"/>
          <w:bCs w:val="false"/>
          <w:i w:val="false"/>
          <w:iCs w:val="false"/>
        </w:rPr>
        <w:t xml:space="preserve">Elenco delle azioni ancora aperte dopo questa revisione, in ordine di priorità:</w:t>
      </w:r>
    </w:p>
    <w:p>
      <w:pPr>
        <w:pStyle w:val="ListParagraph"/>
        <w:numPr>
          <w:ilvl w:val="0"/>
          <w:numId w:val="2"/>
        </w:numPr>
        <w:spacing w:after="90"/>
      </w:pPr>
      <w:r>
        <w:rPr>
          <w:b/>
          <w:bCs/>
        </w:rPr>
        <w:t xml:space="preserve">Priorità alta — </w:t>
      </w:r>
      <w:r>
        <w:t xml:space="preserve">Verificare l'esistenza di un Data Processing Addendum con Google per l'account usato nella sincronizzazione (idealmente un account Google Workspace for Education, non personale) e la localizzazione dei server di elaborazione.</w:t>
      </w:r>
    </w:p>
    <w:p>
      <w:pPr>
        <w:pStyle w:val="ListParagraph"/>
        <w:numPr>
          <w:ilvl w:val="0"/>
          <w:numId w:val="2"/>
        </w:numPr>
        <w:spacing w:after="90"/>
      </w:pPr>
      <w:r>
        <w:rPr>
          <w:b/>
          <w:bCs/>
        </w:rPr>
        <w:t xml:space="preserve">Priorità media — </w:t>
      </w:r>
      <w:r>
        <w:t xml:space="preserve">Adottare una policy interna scritta (comunicata al personale che usa l'app) che vieti di inserire dettagli clinici nel campo "note interne" delle assenze — l'avviso a video introdotto in v2.1 orienta ma non sostituisce una policy formale.</w:t>
      </w:r>
    </w:p>
    <w:p>
      <w:pPr>
        <w:pStyle w:val="ListParagraph"/>
        <w:numPr>
          <w:ilvl w:val="0"/>
          <w:numId w:val="2"/>
        </w:numPr>
        <w:spacing w:after="90"/>
      </w:pPr>
      <w:r>
        <w:rPr>
          <w:b/>
          <w:bCs/>
        </w:rPr>
        <w:t xml:space="preserve">Priorità bassa — </w:t>
      </w:r>
      <w:r>
        <w:t xml:space="preserve">Valutare se rendere periodica/proattiva (es. promemoria annuale al DS) la procedura di anonimizzazione dei docenti cessati dal servizio, oggi disponibile ma solo su iniziativa manuale.</w:t>
      </w:r>
    </w:p>
    <w:p>
      <w:pPr>
        <w:spacing w:before="300"/>
      </w:pPr>
    </w:p>
    <w:p>
      <w:pPr>
        <w:spacing w:after="160"/>
      </w:pPr>
      <w:r>
        <w:rPr>
          <w:b w:val="false"/>
          <w:bCs w:val="false"/>
          <w:i/>
          <w:iCs/>
          <w:color w:val="6b7280"/>
        </w:rPr>
        <w:t xml:space="preserve">Documento redatto a supporto delle attività di valutazione; non sostituisce la valutazione formale del DPO, a cui il presente documento va sottoposto per revisione e approvazione.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2026-08-01T12:46:46.619Z</dcterms:created>
  <dcterms:modified xsi:type="dcterms:W3CDTF">2026-08-01T12:46:46.627Z</dcterms:modified>
</cp:coreProperties>
</file>

<file path=docProps/custom.xml><?xml version="1.0" encoding="utf-8"?>
<Properties xmlns="http://schemas.openxmlformats.org/officeDocument/2006/custom-properties" xmlns:vt="http://schemas.openxmlformats.org/officeDocument/2006/docPropsVTypes"/>
</file>