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280" w:line="240" w:lineRule="auto"/>
        <w:rPr>
          <w:rFonts w:ascii="Times New Roman" w:cs="Times New Roman" w:eastAsia="Times New Roman" w:hAnsi="Times New Roman"/>
          <w:b w:val="1"/>
          <w:bCs w:val="1"/>
          <w:color w:val="1f1f1f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32"/>
          <w:szCs w:val="32"/>
          <w:rtl w:val="0"/>
        </w:rPr>
        <w:t xml:space="preserve">INFORME DE PIPELINE DE MACHINE LEARNING </w:t>
      </w:r>
    </w:p>
    <w:p w:rsidR="00000000" w:rsidDel="00000000" w:rsidP="00000000" w:rsidRDefault="00000000" w:rsidRPr="00000000" w14:paraId="00000002">
      <w:pPr>
        <w:spacing w:after="0" w:before="280" w:line="240" w:lineRule="auto"/>
        <w:rPr>
          <w:rFonts w:ascii="Times New Roman" w:cs="Times New Roman" w:eastAsia="Times New Roman" w:hAnsi="Times New Roman"/>
          <w:b w:val="1"/>
          <w:bCs w:val="1"/>
          <w:color w:val="1f1f1f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36"/>
          <w:szCs w:val="36"/>
          <w:rtl w:val="0"/>
        </w:rPr>
        <w:t xml:space="preserve">1. Descripción del Código y Flujo de Procesamiento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El script implementa un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4"/>
          <w:szCs w:val="24"/>
          <w:rtl w:val="0"/>
        </w:rPr>
        <w:t xml:space="preserve">pipeline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automatizado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4"/>
          <w:szCs w:val="24"/>
          <w:rtl w:val="0"/>
        </w:rPr>
        <w:t xml:space="preserve">Machine Learning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divido en etapas modulares para predecir el rendimiento académico (</w:t>
      </w:r>
      <w:r w:rsidDel="00000000" w:rsidR="00000000" w:rsidRPr="00000000">
        <w:rPr>
          <w:rFonts w:ascii="Courier New" w:cs="Courier New" w:eastAsia="Courier New" w:hAnsi="Courier New"/>
          <w:color w:val="1f1f1f"/>
          <w:sz w:val="23"/>
          <w:szCs w:val="23"/>
          <w:rtl w:val="0"/>
        </w:rPr>
        <w:t xml:space="preserve">nota_final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) a partir de características socioeconómicas, hábitos y entorno familiar.</w:t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</w:rPr>
        <w:drawing>
          <wp:inline distB="0" distT="0" distL="0" distR="0">
            <wp:extent cx="5400040" cy="2209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+-------------------+--------------------+--------------------+---------------------+</w:t>
      </w:r>
    </w:p>
    <w:p w:rsidR="00000000" w:rsidDel="00000000" w:rsidP="00000000" w:rsidRDefault="00000000" w:rsidRPr="00000000" w14:paraId="00000006">
      <w:pPr>
        <w:spacing w:after="0" w:before="280" w:line="240" w:lineRule="auto"/>
        <w:rPr>
          <w:rFonts w:ascii="Times New Roman" w:cs="Times New Roman" w:eastAsia="Times New Roman" w:hAnsi="Times New Roman"/>
          <w:b w:val="1"/>
          <w:bCs w:val="1"/>
          <w:color w:val="1f1f1f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7"/>
          <w:szCs w:val="27"/>
          <w:rtl w:val="0"/>
        </w:rPr>
        <w:t xml:space="preserve">Paso 1: Carga, Limpieza y Transformación de Variables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280" w:line="240" w:lineRule="auto"/>
        <w:ind w:left="720" w:hanging="360"/>
        <w:rPr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Carga y Estandarización: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Se importan los datos (</w:t>
      </w:r>
      <w:r w:rsidDel="00000000" w:rsidR="00000000" w:rsidRPr="00000000">
        <w:rPr>
          <w:rFonts w:ascii="Courier New" w:cs="Courier New" w:eastAsia="Courier New" w:hAnsi="Courier New"/>
          <w:color w:val="1f1f1f"/>
          <w:sz w:val="23"/>
          <w:szCs w:val="23"/>
          <w:rtl w:val="0"/>
        </w:rPr>
        <w:t xml:space="preserve">student_data.csv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) y se renombran 33 columnas al español para facilitar la legibilidad del proyecto.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280" w:line="240" w:lineRule="auto"/>
        <w:ind w:left="720" w:hanging="360"/>
        <w:rPr>
          <w:color w:val="1f1f1f"/>
        </w:rPr>
      </w:pPr>
      <w:bookmarkStart w:colFirst="0" w:colLast="0" w:name="_heading=h.667mjn3l0eum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Detección de Anomalías (Outliers):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Se calculan rangos intercuartílicos (IQR) y puntajes Z (Mod(Z)&gt;3). Las variables como </w:t>
      </w:r>
      <w:r w:rsidDel="00000000" w:rsidR="00000000" w:rsidRPr="00000000">
        <w:rPr>
          <w:rFonts w:ascii="Courier New" w:cs="Courier New" w:eastAsia="Courier New" w:hAnsi="Courier New"/>
          <w:color w:val="1f1f1f"/>
          <w:sz w:val="23"/>
          <w:szCs w:val="23"/>
          <w:rtl w:val="0"/>
        </w:rPr>
        <w:t xml:space="preserve">ausencias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muestran atípicos marcados (hasta 75 faltas).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280" w:line="240" w:lineRule="auto"/>
        <w:ind w:left="720" w:hanging="360"/>
        <w:rPr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Codificación Categórica: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before="280" w:line="240" w:lineRule="auto"/>
        <w:ind w:left="1440" w:hanging="360"/>
        <w:rPr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Binarias y Ordinales: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Se convierten mediante mapeo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1 / 0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1f1f1f"/>
          <w:sz w:val="23"/>
          <w:szCs w:val="23"/>
          <w:rtl w:val="0"/>
        </w:rPr>
        <w:t xml:space="preserve">genero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f1f1f"/>
          <w:sz w:val="23"/>
          <w:szCs w:val="23"/>
          <w:rtl w:val="0"/>
        </w:rPr>
        <w:t xml:space="preserve">domicilio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) y conservación de escalas numéricas ordinales (</w:t>
      </w:r>
      <w:r w:rsidDel="00000000" w:rsidR="00000000" w:rsidRPr="00000000">
        <w:rPr>
          <w:rFonts w:ascii="Courier New" w:cs="Courier New" w:eastAsia="Courier New" w:hAnsi="Courier New"/>
          <w:color w:val="1f1f1f"/>
          <w:sz w:val="23"/>
          <w:szCs w:val="23"/>
          <w:rtl w:val="0"/>
        </w:rPr>
        <w:t xml:space="preserve">educacion_madre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f1f1f"/>
          <w:sz w:val="23"/>
          <w:szCs w:val="23"/>
          <w:rtl w:val="0"/>
        </w:rPr>
        <w:t xml:space="preserve">tiempo_estudio_semanal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before="280" w:line="240" w:lineRule="auto"/>
        <w:ind w:left="1440" w:hanging="360"/>
        <w:rPr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Nominales (One-Hot Encoding):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Se transforman variables sin orden (</w:t>
      </w:r>
      <w:r w:rsidDel="00000000" w:rsidR="00000000" w:rsidRPr="00000000">
        <w:rPr>
          <w:rFonts w:ascii="Courier New" w:cs="Courier New" w:eastAsia="Courier New" w:hAnsi="Courier New"/>
          <w:color w:val="1f1f1f"/>
          <w:sz w:val="23"/>
          <w:szCs w:val="23"/>
          <w:rtl w:val="0"/>
        </w:rPr>
        <w:t xml:space="preserve">escuela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f1f1f"/>
          <w:sz w:val="23"/>
          <w:szCs w:val="23"/>
          <w:rtl w:val="0"/>
        </w:rPr>
        <w:t xml:space="preserve">madre_trabaja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f1f1f"/>
          <w:sz w:val="23"/>
          <w:szCs w:val="23"/>
          <w:rtl w:val="0"/>
        </w:rPr>
        <w:t xml:space="preserve">padre_trabaja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f1f1f"/>
          <w:sz w:val="23"/>
          <w:szCs w:val="23"/>
          <w:rtl w:val="0"/>
        </w:rPr>
        <w:t xml:space="preserve">tutor_legal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, etc.) aplicando </w:t>
      </w:r>
      <w:r w:rsidDel="00000000" w:rsidR="00000000" w:rsidRPr="00000000">
        <w:rPr>
          <w:rFonts w:ascii="Courier New" w:cs="Courier New" w:eastAsia="Courier New" w:hAnsi="Courier New"/>
          <w:color w:val="1f1f1f"/>
          <w:sz w:val="23"/>
          <w:szCs w:val="23"/>
          <w:rtl w:val="0"/>
        </w:rPr>
        <w:t xml:space="preserve">drop_first=True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para evitar la trampa de las variables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4"/>
          <w:szCs w:val="24"/>
          <w:rtl w:val="0"/>
        </w:rPr>
        <w:t xml:space="preserve">dummy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before="280" w:line="240" w:lineRule="auto"/>
        <w:ind w:left="720" w:hanging="360"/>
        <w:rPr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Escalado Híbrido: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before="280" w:line="240" w:lineRule="auto"/>
        <w:ind w:left="1440" w:hanging="360"/>
        <w:rPr>
          <w:color w:val="1f1f1f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3"/>
          <w:szCs w:val="23"/>
          <w:rtl w:val="0"/>
        </w:rPr>
        <w:t xml:space="preserve">RobustScaler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Aplicado a variables con sesgo elevado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(mod(skew) &gt; 1.0)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, como </w:t>
      </w:r>
      <w:r w:rsidDel="00000000" w:rsidR="00000000" w:rsidRPr="00000000">
        <w:rPr>
          <w:rFonts w:ascii="Courier New" w:cs="Courier New" w:eastAsia="Courier New" w:hAnsi="Courier New"/>
          <w:color w:val="1f1f1f"/>
          <w:sz w:val="23"/>
          <w:szCs w:val="23"/>
          <w:rtl w:val="0"/>
        </w:rPr>
        <w:t xml:space="preserve">ausencias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skew = 3.67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) o </w:t>
      </w:r>
      <w:r w:rsidDel="00000000" w:rsidR="00000000" w:rsidRPr="00000000">
        <w:rPr>
          <w:rFonts w:ascii="Courier New" w:cs="Courier New" w:eastAsia="Courier New" w:hAnsi="Courier New"/>
          <w:color w:val="1f1f1f"/>
          <w:sz w:val="23"/>
          <w:szCs w:val="23"/>
          <w:rtl w:val="0"/>
        </w:rPr>
        <w:t xml:space="preserve">tiempo_viaje_colegio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skew = 1.61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), protegiendo el escalado contra valores extremos.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before="280" w:line="240" w:lineRule="auto"/>
        <w:ind w:left="1440" w:hanging="360"/>
        <w:rPr>
          <w:color w:val="1f1f1f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3"/>
          <w:szCs w:val="23"/>
          <w:rtl w:val="0"/>
        </w:rPr>
        <w:t xml:space="preserve">MinMaxScaler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Aplicado al resto de variables continuas no binarias en el rango [0, 1].</w:t>
      </w:r>
    </w:p>
    <w:p w:rsidR="00000000" w:rsidDel="00000000" w:rsidP="00000000" w:rsidRDefault="00000000" w:rsidRPr="00000000" w14:paraId="0000000F">
      <w:pPr>
        <w:spacing w:after="0" w:before="280" w:line="240" w:lineRule="auto"/>
        <w:ind w:left="1440" w:firstLine="0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280" w:line="240" w:lineRule="auto"/>
        <w:rPr>
          <w:rFonts w:ascii="Times New Roman" w:cs="Times New Roman" w:eastAsia="Times New Roman" w:hAnsi="Times New Roman"/>
          <w:b w:val="1"/>
          <w:bCs w:val="1"/>
          <w:color w:val="1f1f1f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7"/>
          <w:szCs w:val="27"/>
          <w:rtl w:val="0"/>
        </w:rPr>
        <w:t xml:space="preserve">Paso 2: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1f1f1f"/>
          <w:sz w:val="27"/>
          <w:szCs w:val="27"/>
          <w:rtl w:val="0"/>
        </w:rPr>
        <w:t xml:space="preserve">Feature Engineering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7"/>
          <w:szCs w:val="27"/>
          <w:rtl w:val="0"/>
        </w:rPr>
        <w:t xml:space="preserve"> (Ingeniería de Características)</w:t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Para capturar patrones complejos sin depender exclusivamente de las variables crudas, se crearon índices sintéticos domain-specific:</w:t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before="280" w:line="240" w:lineRule="auto"/>
        <w:ind w:left="720" w:hanging="360"/>
        <w:rPr>
          <w:color w:val="1f1f1f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3"/>
          <w:szCs w:val="23"/>
          <w:rtl w:val="0"/>
        </w:rPr>
        <w:t xml:space="preserve">indice_riesgo_academico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Integra materias reprobadas, ausencias severas y tiempo de estudio.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before="280" w:line="240" w:lineRule="auto"/>
        <w:ind w:left="720" w:hanging="360"/>
        <w:rPr>
          <w:color w:val="1f1f1f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3"/>
          <w:szCs w:val="23"/>
          <w:rtl w:val="0"/>
        </w:rPr>
        <w:t xml:space="preserve">nivel_educativo_parental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Promedio del nivel de instrucción de la madre y del padre.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before="280" w:line="240" w:lineRule="auto"/>
        <w:ind w:left="720" w:hanging="360"/>
        <w:rPr>
          <w:color w:val="1f1f1f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3"/>
          <w:szCs w:val="23"/>
          <w:rtl w:val="0"/>
        </w:rPr>
        <w:t xml:space="preserve">indice_riesgo_social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Combina consumo promedio de alcohol, salidas con amigos y tener relación amorosa.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before="280" w:line="240" w:lineRule="auto"/>
        <w:ind w:left="720" w:hanging="360"/>
        <w:rPr>
          <w:color w:val="1f1f1f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3"/>
          <w:szCs w:val="23"/>
          <w:rtl w:val="0"/>
        </w:rPr>
        <w:t xml:space="preserve">indice_compromiso_academico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Reúne tiempo de estudio, apoyo recibido e intención de cursar educación superior.</w:t>
      </w:r>
    </w:p>
    <w:p w:rsidR="00000000" w:rsidDel="00000000" w:rsidP="00000000" w:rsidRDefault="00000000" w:rsidRPr="00000000" w14:paraId="00000017">
      <w:pPr>
        <w:spacing w:after="0" w:before="280" w:line="240" w:lineRule="auto"/>
        <w:ind w:left="720" w:firstLine="0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280" w:line="240" w:lineRule="auto"/>
        <w:rPr>
          <w:rFonts w:ascii="Times New Roman" w:cs="Times New Roman" w:eastAsia="Times New Roman" w:hAnsi="Times New Roman"/>
          <w:b w:val="1"/>
          <w:bCs w:val="1"/>
          <w:color w:val="1f1f1f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7"/>
          <w:szCs w:val="27"/>
          <w:rtl w:val="0"/>
        </w:rPr>
        <w:t xml:space="preserve">Paso 3: Análisis Bivariado, Multicolinealidad (VIF) y Selección Dual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before="280" w:line="240" w:lineRule="auto"/>
        <w:ind w:left="720" w:hanging="360"/>
        <w:rPr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Análisis de VIF: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Se calculó el Factor de Inflación de la Varianza. Se confirmó la ausencia de multicolinealidad severa en las predictoras seleccionadas (VIF &lt; 2.0 en todas las variables).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before="280" w:line="240" w:lineRule="auto"/>
        <w:ind w:left="720" w:hanging="360"/>
        <w:rPr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Definición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1f1f1f"/>
          <w:sz w:val="24"/>
          <w:szCs w:val="24"/>
          <w:rtl w:val="0"/>
        </w:rPr>
        <w:t xml:space="preserve">Feature Sets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before="280" w:line="240" w:lineRule="auto"/>
        <w:ind w:left="1440" w:hanging="360"/>
        <w:rPr>
          <w:color w:val="1f1f1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5"/>
          <w:szCs w:val="25"/>
          <w:rtl w:val="0"/>
        </w:rPr>
        <w:t xml:space="preserve">Feature Set 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 (10 variables):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Seleccionadas por mayor puntuación lineal (F-score / </w:t>
      </w:r>
      <w:r w:rsidDel="00000000" w:rsidR="00000000" w:rsidRPr="00000000">
        <w:rPr>
          <w:rFonts w:ascii="Courier New" w:cs="Courier New" w:eastAsia="Courier New" w:hAnsi="Courier New"/>
          <w:color w:val="1f1f1f"/>
          <w:sz w:val="23"/>
          <w:szCs w:val="23"/>
          <w:rtl w:val="0"/>
        </w:rPr>
        <w:t xml:space="preserve">f_regression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), orientadas a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Familia Lineal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0" w:before="280" w:line="240" w:lineRule="auto"/>
        <w:ind w:left="1440" w:hanging="360"/>
        <w:rPr>
          <w:color w:val="1f1f1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5"/>
          <w:szCs w:val="25"/>
          <w:rtl w:val="0"/>
        </w:rPr>
        <w:t xml:space="preserve">Feature Set 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 (13 variables):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Combina el Set A con variables de alta dependencia no lineal (</w:t>
      </w:r>
      <w:r w:rsidDel="00000000" w:rsidR="00000000" w:rsidRPr="00000000">
        <w:rPr>
          <w:rFonts w:ascii="Courier New" w:cs="Courier New" w:eastAsia="Courier New" w:hAnsi="Courier New"/>
          <w:color w:val="1f1f1f"/>
          <w:sz w:val="23"/>
          <w:szCs w:val="23"/>
          <w:rtl w:val="0"/>
        </w:rPr>
        <w:t xml:space="preserve">mutual_info_regression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), orientadas a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Familia de Ensambles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D">
      <w:pPr>
        <w:spacing w:after="0" w:before="280" w:line="240" w:lineRule="auto"/>
        <w:ind w:left="1440" w:firstLine="0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280" w:line="240" w:lineRule="auto"/>
        <w:rPr>
          <w:rFonts w:ascii="Times New Roman" w:cs="Times New Roman" w:eastAsia="Times New Roman" w:hAnsi="Times New Roman"/>
          <w:b w:val="1"/>
          <w:bCs w:val="1"/>
          <w:color w:val="1f1f1f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7"/>
          <w:szCs w:val="27"/>
          <w:rtl w:val="0"/>
        </w:rPr>
        <w:t xml:space="preserve">Paso 4: Entrenamiento, Diagnóstico de Residuos y Explicabilidad (SHAP)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before="280" w:line="240" w:lineRule="auto"/>
        <w:ind w:left="720" w:hanging="360"/>
        <w:rPr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Entrenamiento Evaluativo: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spacing w:after="0" w:before="280" w:line="240" w:lineRule="auto"/>
        <w:ind w:left="1440" w:hanging="360"/>
        <w:rPr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Familia Lineal: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4"/>
          <w:szCs w:val="24"/>
          <w:rtl w:val="0"/>
        </w:rPr>
        <w:t xml:space="preserve">Linear Regression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4"/>
          <w:szCs w:val="24"/>
          <w:rtl w:val="0"/>
        </w:rPr>
        <w:t xml:space="preserve">RidgeCV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y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4"/>
          <w:szCs w:val="24"/>
          <w:rtl w:val="0"/>
        </w:rPr>
        <w:t xml:space="preserve">LassoCV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sobre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3"/>
          <w:szCs w:val="23"/>
          <w:rtl w:val="0"/>
        </w:rPr>
        <w:t xml:space="preserve">Feature Set 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spacing w:after="0" w:before="280" w:line="240" w:lineRule="auto"/>
        <w:ind w:left="1440" w:hanging="360"/>
        <w:rPr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Familia Ensambles: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4"/>
          <w:szCs w:val="24"/>
          <w:rtl w:val="0"/>
        </w:rPr>
        <w:t xml:space="preserve">Random Forest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4"/>
          <w:szCs w:val="24"/>
          <w:rtl w:val="0"/>
        </w:rPr>
        <w:t xml:space="preserve">XGBoost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y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4"/>
          <w:szCs w:val="24"/>
          <w:rtl w:val="0"/>
        </w:rPr>
        <w:t xml:space="preserve">LightGBM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tuneados mediante </w:t>
      </w:r>
      <w:r w:rsidDel="00000000" w:rsidR="00000000" w:rsidRPr="00000000">
        <w:rPr>
          <w:rFonts w:ascii="Courier New" w:cs="Courier New" w:eastAsia="Courier New" w:hAnsi="Courier New"/>
          <w:color w:val="1f1f1f"/>
          <w:sz w:val="23"/>
          <w:szCs w:val="23"/>
          <w:rtl w:val="0"/>
        </w:rPr>
        <w:t xml:space="preserve">RandomizedSearchCV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sobre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3"/>
          <w:szCs w:val="23"/>
          <w:rtl w:val="0"/>
        </w:rPr>
        <w:t xml:space="preserve">Feature Set 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2">
      <w:pPr>
        <w:spacing w:after="0" w:before="280" w:line="240" w:lineRule="auto"/>
        <w:ind w:left="1440" w:firstLine="0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before="280" w:line="240" w:lineRule="auto"/>
        <w:ind w:left="720" w:hanging="360"/>
        <w:rPr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Validación: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Se combina Validación Cruzada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K-Fold, cv=5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) con un split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4"/>
          <w:szCs w:val="24"/>
          <w:rtl w:val="0"/>
        </w:rPr>
        <w:t xml:space="preserve">Holdout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(80/20).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before="280" w:line="240" w:lineRule="auto"/>
        <w:ind w:left="720" w:hanging="360"/>
        <w:rPr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Diagnóstico Estadístico de Errores: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Se aplican pruebas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Shapiro-Wilk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(normalidad),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Breusch-Pagan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(homocedasticidad) 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Durbin-Watson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(independencia).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before="280" w:line="240" w:lineRule="auto"/>
        <w:ind w:left="720" w:hanging="360"/>
        <w:rPr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Explicabilidad Global (SHAP):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Integración de </w:t>
      </w:r>
      <w:r w:rsidDel="00000000" w:rsidR="00000000" w:rsidRPr="00000000">
        <w:rPr>
          <w:rFonts w:ascii="Courier New" w:cs="Courier New" w:eastAsia="Courier New" w:hAnsi="Courier New"/>
          <w:color w:val="1f1f1f"/>
          <w:sz w:val="23"/>
          <w:szCs w:val="23"/>
          <w:rtl w:val="0"/>
        </w:rPr>
        <w:t xml:space="preserve">shap.LinearExplainer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y </w:t>
      </w:r>
      <w:r w:rsidDel="00000000" w:rsidR="00000000" w:rsidRPr="00000000">
        <w:rPr>
          <w:rFonts w:ascii="Courier New" w:cs="Courier New" w:eastAsia="Courier New" w:hAnsi="Courier New"/>
          <w:color w:val="1f1f1f"/>
          <w:sz w:val="23"/>
          <w:szCs w:val="23"/>
          <w:rtl w:val="0"/>
        </w:rPr>
        <w:t xml:space="preserve">shap.TreeExplainer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para analizar la atribución y dirección del impacto de las variables sobre la predicción.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before="280" w:line="240" w:lineRule="auto"/>
        <w:ind w:left="720" w:hanging="360"/>
        <w:rPr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Exportación: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Encapsulamiento del preprocesador y modelo en un </w:t>
      </w:r>
      <w:r w:rsidDel="00000000" w:rsidR="00000000" w:rsidRPr="00000000">
        <w:rPr>
          <w:rFonts w:ascii="Courier New" w:cs="Courier New" w:eastAsia="Courier New" w:hAnsi="Courier New"/>
          <w:color w:val="1f1f1f"/>
          <w:sz w:val="23"/>
          <w:szCs w:val="23"/>
          <w:rtl w:val="0"/>
        </w:rPr>
        <w:t xml:space="preserve">Pipeline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guardado como artefacto </w:t>
      </w:r>
      <w:r w:rsidDel="00000000" w:rsidR="00000000" w:rsidRPr="00000000">
        <w:rPr>
          <w:rFonts w:ascii="Courier New" w:cs="Courier New" w:eastAsia="Courier New" w:hAnsi="Courier New"/>
          <w:color w:val="1f1f1f"/>
          <w:sz w:val="23"/>
          <w:szCs w:val="23"/>
          <w:rtl w:val="0"/>
        </w:rPr>
        <w:t xml:space="preserve">modelo_lineal_nota_final.pkl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7">
      <w:pPr>
        <w:spacing w:after="0" w:before="280" w:line="240" w:lineRule="auto"/>
        <w:ind w:left="720" w:firstLine="0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280" w:line="240" w:lineRule="auto"/>
        <w:rPr>
          <w:rFonts w:ascii="Times New Roman" w:cs="Times New Roman" w:eastAsia="Times New Roman" w:hAnsi="Times New Roman"/>
          <w:b w:val="1"/>
          <w:bCs w:val="1"/>
          <w:color w:val="1f1f1f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36"/>
          <w:szCs w:val="36"/>
          <w:rtl w:val="0"/>
        </w:rPr>
        <w:t xml:space="preserve">2. Resultados Comparativos de los Modelos</w:t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La evaluación en el conjunto de prueba no visto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4"/>
          <w:szCs w:val="24"/>
          <w:rtl w:val="0"/>
        </w:rPr>
        <w:t xml:space="preserve">Holdout 20%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) arrojó la siguiente tabla de desempeño (ordenada por el coeficiente de determinación $R^2$):</w:t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487.999999999998" w:type="dxa"/>
        <w:jc w:val="left"/>
        <w:tblLayout w:type="fixed"/>
        <w:tblLook w:val="0400"/>
      </w:tblPr>
      <w:tblGrid>
        <w:gridCol w:w="1482"/>
        <w:gridCol w:w="1031"/>
        <w:gridCol w:w="1275"/>
        <w:gridCol w:w="1184"/>
        <w:gridCol w:w="1133"/>
        <w:gridCol w:w="1184"/>
        <w:gridCol w:w="1199"/>
        <w:tblGridChange w:id="0">
          <w:tblGrid>
            <w:gridCol w:w="1482"/>
            <w:gridCol w:w="1031"/>
            <w:gridCol w:w="1275"/>
            <w:gridCol w:w="1184"/>
            <w:gridCol w:w="1133"/>
            <w:gridCol w:w="1184"/>
            <w:gridCol w:w="119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Familia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Feature 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Modelo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R2 (Holdout)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R2 Ajustado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RMSE (Holdout)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MAE (Holdout)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Lineal / Interpretable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Linear Regression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0.112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-0.018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0.213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0.167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Lineal / Interpretable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Lasso (LassoCV)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0.106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-0.026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0.214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0.168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Ensamble / No lineal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B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Random Forest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0.098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-0.083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0.215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0.172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Lineal / Interpretable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Ridge (RidgeCV)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0.089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-0.045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0.216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0.170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Ensamble / No lineal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B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XGBoost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0.068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-0.119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0.219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0.176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Ensamble / No lineal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B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LightGBM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-0.081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-0.298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0.235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0.198</w:t>
            </w:r>
          </w:p>
        </w:tc>
      </w:tr>
    </w:tbl>
    <w:p w:rsidR="00000000" w:rsidDel="00000000" w:rsidP="00000000" w:rsidRDefault="00000000" w:rsidRPr="00000000" w14:paraId="0000005C">
      <w:pPr>
        <w:spacing w:after="0" w:line="240" w:lineRule="auto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4"/>
          <w:szCs w:val="24"/>
          <w:rtl w:val="0"/>
        </w:rPr>
        <w:t xml:space="preserve">Nota: Los valores de RMSE y MAE se presentan sobre la escala procesada/escalada.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40" w:lineRule="auto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5E">
      <w:pPr>
        <w:spacing w:after="0" w:before="280" w:line="240" w:lineRule="auto"/>
        <w:rPr>
          <w:rFonts w:ascii="Times New Roman" w:cs="Times New Roman" w:eastAsia="Times New Roman" w:hAnsi="Times New Roman"/>
          <w:b w:val="1"/>
          <w:bCs w:val="1"/>
          <w:color w:val="1f1f1f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36"/>
          <w:szCs w:val="36"/>
          <w:rtl w:val="0"/>
        </w:rPr>
        <w:t xml:space="preserve">3. Conclusiones y Diagnóstico desde la Perspectiva de un Analista de Datos</w:t>
      </w:r>
    </w:p>
    <w:p w:rsidR="00000000" w:rsidDel="00000000" w:rsidP="00000000" w:rsidRDefault="00000000" w:rsidRPr="00000000" w14:paraId="0000005F">
      <w:pPr>
        <w:spacing w:after="0" w:before="280" w:line="240" w:lineRule="auto"/>
        <w:rPr>
          <w:rFonts w:ascii="Times New Roman" w:cs="Times New Roman" w:eastAsia="Times New Roman" w:hAnsi="Times New Roman"/>
          <w:b w:val="1"/>
          <w:bCs w:val="1"/>
          <w:color w:val="1f1f1f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7"/>
          <w:szCs w:val="27"/>
          <w:rtl w:val="0"/>
        </w:rPr>
        <w:t xml:space="preserve">1. Superioridad Técnica del Modelo Lineal Simple</w:t>
      </w:r>
    </w:p>
    <w:p w:rsidR="00000000" w:rsidDel="00000000" w:rsidP="00000000" w:rsidRDefault="00000000" w:rsidRPr="00000000" w14:paraId="00000060">
      <w:pPr>
        <w:spacing w:after="0" w:line="240" w:lineRule="auto"/>
        <w:jc w:val="both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El modelo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Linear Regression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apoyado en el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3"/>
          <w:szCs w:val="23"/>
          <w:rtl w:val="0"/>
        </w:rPr>
        <w:t xml:space="preserve">Feature Set 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demostró el mejor desempeño en general. Alcanzó un R^2 = 0.112 y el RMSE = 0.213 más bajo.</w:t>
      </w:r>
    </w:p>
    <w:p w:rsidR="00000000" w:rsidDel="00000000" w:rsidP="00000000" w:rsidRDefault="00000000" w:rsidRPr="00000000" w14:paraId="00000061">
      <w:pPr>
        <w:spacing w:after="0" w:line="240" w:lineRule="auto"/>
        <w:jc w:val="both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240" w:lineRule="auto"/>
        <w:jc w:val="both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Frente a conjuntos de datos de tamaño moderado (n=395) y con relaciones predominantemente lineales entre los factores socioeconómicos/académicos y la nota final, los modelos más simples se desempeñan mejor al evitar introducir varianza excesiva.</w:t>
      </w:r>
    </w:p>
    <w:p w:rsidR="00000000" w:rsidDel="00000000" w:rsidP="00000000" w:rsidRDefault="00000000" w:rsidRPr="00000000" w14:paraId="00000063">
      <w:pPr>
        <w:spacing w:after="0" w:line="240" w:lineRule="auto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64">
      <w:pPr>
        <w:spacing w:after="0" w:before="280" w:line="240" w:lineRule="auto"/>
        <w:rPr>
          <w:rFonts w:ascii="Times New Roman" w:cs="Times New Roman" w:eastAsia="Times New Roman" w:hAnsi="Times New Roman"/>
          <w:b w:val="1"/>
          <w:bCs w:val="1"/>
          <w:color w:val="1f1f1f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7"/>
          <w:szCs w:val="27"/>
          <w:rtl w:val="0"/>
        </w:rPr>
        <w:t xml:space="preserve">2. Comportamiento y Sobreajuste de los Modelos Complejos</w:t>
      </w:r>
    </w:p>
    <w:p w:rsidR="00000000" w:rsidDel="00000000" w:rsidP="00000000" w:rsidRDefault="00000000" w:rsidRPr="00000000" w14:paraId="00000065">
      <w:pPr>
        <w:spacing w:after="0" w:line="240" w:lineRule="auto"/>
        <w:jc w:val="both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Los algoritmos de ensamble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4"/>
          <w:szCs w:val="24"/>
          <w:rtl w:val="0"/>
        </w:rPr>
        <w:t xml:space="preserve">XGBoost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y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4"/>
          <w:szCs w:val="24"/>
          <w:rtl w:val="0"/>
        </w:rPr>
        <w:t xml:space="preserve">LightGBM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) mostraron dificultades de generalización, llegando a obtener métricas de R^2 ajustado negativas en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4"/>
          <w:szCs w:val="24"/>
          <w:rtl w:val="0"/>
        </w:rPr>
        <w:t xml:space="preserve">cross-validation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y en el test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4"/>
          <w:szCs w:val="24"/>
          <w:rtl w:val="0"/>
        </w:rPr>
        <w:t xml:space="preserve">holdout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(R^2 = -0.081 en LightGBM).</w:t>
      </w:r>
    </w:p>
    <w:p w:rsidR="00000000" w:rsidDel="00000000" w:rsidP="00000000" w:rsidRDefault="00000000" w:rsidRPr="00000000" w14:paraId="00000066">
      <w:pPr>
        <w:spacing w:after="0" w:line="240" w:lineRule="auto"/>
        <w:jc w:val="both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240" w:lineRule="auto"/>
        <w:jc w:val="both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Este comportamiento indica que los algoritmos basados en árboles memorizaron el ruido del conjunto de entrenamiento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4"/>
          <w:szCs w:val="24"/>
          <w:rtl w:val="0"/>
        </w:rPr>
        <w:t xml:space="preserve">overfitting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) al intentar construir fronteras de decisión no lineales en un espacio donde las señales predictoras eran tenues.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4"/>
          <w:szCs w:val="24"/>
          <w:rtl w:val="0"/>
        </w:rPr>
        <w:t xml:space="preserve">Random Forest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logró atenuar este problema debido al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4"/>
          <w:szCs w:val="24"/>
          <w:rtl w:val="0"/>
        </w:rPr>
        <w:t xml:space="preserve">bagging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, pero tampoco superó a la regresión lineal.</w:t>
      </w:r>
    </w:p>
    <w:p w:rsidR="00000000" w:rsidDel="00000000" w:rsidP="00000000" w:rsidRDefault="00000000" w:rsidRPr="00000000" w14:paraId="00000068">
      <w:pPr>
        <w:spacing w:after="0" w:before="280" w:line="240" w:lineRule="auto"/>
        <w:rPr>
          <w:rFonts w:ascii="Times New Roman" w:cs="Times New Roman" w:eastAsia="Times New Roman" w:hAnsi="Times New Roman"/>
          <w:b w:val="1"/>
          <w:bCs w:val="1"/>
          <w:color w:val="1f1f1f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7"/>
          <w:szCs w:val="27"/>
          <w:rtl w:val="0"/>
        </w:rPr>
        <w:t xml:space="preserve">3. Diagnóstico de Importancia de Características y Análisis SHAP</w:t>
      </w:r>
    </w:p>
    <w:p w:rsidR="00000000" w:rsidDel="00000000" w:rsidP="00000000" w:rsidRDefault="00000000" w:rsidRPr="00000000" w14:paraId="00000069">
      <w:pPr>
        <w:spacing w:after="0" w:line="240" w:lineRule="auto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Tanto en la lectura de coeficientes directos como en la inspección mediante gráficos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SHAP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0" w:line="240" w:lineRule="auto"/>
        <w:ind w:left="720" w:hanging="360"/>
        <w:rPr>
          <w:color w:val="1f1f1f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Factor de Mayor Riesgo: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El </w:t>
      </w:r>
      <w:r w:rsidDel="00000000" w:rsidR="00000000" w:rsidRPr="00000000">
        <w:rPr>
          <w:rFonts w:ascii="Courier New" w:cs="Courier New" w:eastAsia="Courier New" w:hAnsi="Courier New"/>
          <w:color w:val="1f1f1f"/>
          <w:sz w:val="23"/>
          <w:szCs w:val="23"/>
          <w:rtl w:val="0"/>
        </w:rPr>
        <w:t xml:space="preserve">indice_riesgo_academico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se posicionó inequívocamente como la variable con mayor impacto negativo sobre la nota final. A medida que este índice aumenta (por historial de reprobaciones o ausentismo), los valores SHAP empujan drásticamente hacia abajo la nota esperada.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before="280" w:line="240" w:lineRule="auto"/>
        <w:ind w:left="720" w:hanging="360"/>
        <w:rPr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Factores Protectores Dominantes: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El </w:t>
      </w:r>
      <w:r w:rsidDel="00000000" w:rsidR="00000000" w:rsidRPr="00000000">
        <w:rPr>
          <w:rFonts w:ascii="Courier New" w:cs="Courier New" w:eastAsia="Courier New" w:hAnsi="Courier New"/>
          <w:color w:val="1f1f1f"/>
          <w:sz w:val="23"/>
          <w:szCs w:val="23"/>
          <w:rtl w:val="0"/>
        </w:rPr>
        <w:t xml:space="preserve">nivel_educativo_parental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(educación de los padres) y las </w:t>
      </w:r>
      <w:r w:rsidDel="00000000" w:rsidR="00000000" w:rsidRPr="00000000">
        <w:rPr>
          <w:rFonts w:ascii="Courier New" w:cs="Courier New" w:eastAsia="Courier New" w:hAnsi="Courier New"/>
          <w:color w:val="1f1f1f"/>
          <w:sz w:val="23"/>
          <w:szCs w:val="23"/>
          <w:rtl w:val="0"/>
        </w:rPr>
        <w:t xml:space="preserve">clases_particulares_pagadas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mostraron un impacto positivo consistente en la predicción.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before="280" w:line="240" w:lineRule="auto"/>
        <w:ind w:left="720" w:hanging="360"/>
        <w:rPr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Conductas Sociales: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El </w:t>
      </w:r>
      <w:r w:rsidDel="00000000" w:rsidR="00000000" w:rsidRPr="00000000">
        <w:rPr>
          <w:rFonts w:ascii="Courier New" w:cs="Courier New" w:eastAsia="Courier New" w:hAnsi="Courier New"/>
          <w:color w:val="1f1f1f"/>
          <w:sz w:val="23"/>
          <w:szCs w:val="23"/>
          <w:rtl w:val="0"/>
        </w:rPr>
        <w:t xml:space="preserve">indice_riesgo_social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exhibió un impacto negativo moderado pero constante.</w:t>
      </w:r>
    </w:p>
    <w:p w:rsidR="00000000" w:rsidDel="00000000" w:rsidP="00000000" w:rsidRDefault="00000000" w:rsidRPr="00000000" w14:paraId="0000006D">
      <w:pPr>
        <w:spacing w:after="0" w:before="280" w:line="240" w:lineRule="auto"/>
        <w:ind w:left="720" w:firstLine="0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before="280" w:line="240" w:lineRule="auto"/>
        <w:rPr>
          <w:rFonts w:ascii="Times New Roman" w:cs="Times New Roman" w:eastAsia="Times New Roman" w:hAnsi="Times New Roman"/>
          <w:b w:val="1"/>
          <w:bCs w:val="1"/>
          <w:color w:val="1f1f1f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7"/>
          <w:szCs w:val="27"/>
          <w:rtl w:val="0"/>
        </w:rPr>
        <w:t xml:space="preserve">4. Diagnóstico de Residuos</w:t>
      </w:r>
    </w:p>
    <w:p w:rsidR="00000000" w:rsidDel="00000000" w:rsidP="00000000" w:rsidRDefault="00000000" w:rsidRPr="00000000" w14:paraId="0000006F">
      <w:pPr>
        <w:spacing w:after="0" w:line="240" w:lineRule="auto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Las pruebas sobre los residuos de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Linear Regression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revelaron: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Heterocedasticidad e Independencia (Aprobadas):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El test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4"/>
          <w:szCs w:val="24"/>
          <w:rtl w:val="0"/>
        </w:rPr>
        <w:t xml:space="preserve">Breusch-Pagan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(p = 0.7587) confirmó que la varianza de los errores es constante (homocedasticidad). El estadístico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4"/>
          <w:szCs w:val="24"/>
          <w:rtl w:val="0"/>
        </w:rPr>
        <w:t xml:space="preserve">Durbin-Watson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(2.1718) descartó la autocorrelación.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0" w:before="280" w:line="240" w:lineRule="auto"/>
        <w:ind w:left="720" w:hanging="360"/>
        <w:rPr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Normalidad (Rechazada):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La prueba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4"/>
          <w:szCs w:val="24"/>
          <w:rtl w:val="0"/>
        </w:rPr>
        <w:t xml:space="preserve">Shapiro-Wilk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(p = 0.0048) indicó una desviación en la normalidad de los residuos, provocada principalmente por los estudiantes con calificaciones finales iguales a 0 (alumnos que abandonaron o no rindieron).</w:t>
      </w:r>
    </w:p>
    <w:p w:rsidR="00000000" w:rsidDel="00000000" w:rsidP="00000000" w:rsidRDefault="00000000" w:rsidRPr="00000000" w14:paraId="00000072">
      <w:pPr>
        <w:spacing w:after="0" w:before="280" w:line="240" w:lineRule="auto"/>
        <w:ind w:left="720" w:firstLine="0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before="280" w:line="240" w:lineRule="auto"/>
        <w:rPr>
          <w:rFonts w:ascii="Times New Roman" w:cs="Times New Roman" w:eastAsia="Times New Roman" w:hAnsi="Times New Roman"/>
          <w:b w:val="1"/>
          <w:bCs w:val="1"/>
          <w:color w:val="1f1f1f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7"/>
          <w:szCs w:val="27"/>
          <w:rtl w:val="0"/>
        </w:rPr>
        <w:t xml:space="preserve">5. Recomendación de Negocio / Implementación</w:t>
      </w:r>
    </w:p>
    <w:p w:rsidR="00000000" w:rsidDel="00000000" w:rsidP="00000000" w:rsidRDefault="00000000" w:rsidRPr="00000000" w14:paraId="00000074">
      <w:pPr>
        <w:spacing w:after="0" w:line="240" w:lineRule="auto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Para la puesta en producción del modelo predictivo, se valida la elección de encapsular el </w:t>
      </w:r>
      <w:r w:rsidDel="00000000" w:rsidR="00000000" w:rsidRPr="00000000">
        <w:rPr>
          <w:rFonts w:ascii="Courier New" w:cs="Courier New" w:eastAsia="Courier New" w:hAnsi="Courier New"/>
          <w:color w:val="1f1f1f"/>
          <w:sz w:val="23"/>
          <w:szCs w:val="23"/>
          <w:rtl w:val="0"/>
        </w:rPr>
        <w:t xml:space="preserve">Pipeline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con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Linear Regression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1f1f1f"/>
          <w:sz w:val="23"/>
          <w:szCs w:val="23"/>
          <w:rtl w:val="0"/>
        </w:rPr>
        <w:t xml:space="preserve">modelo_lineal_nota_final.pkl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). Su simplicidad computacional, sumada a la transparencia operativa de sus coeficientes, permite no solo estimar la nota, sino proporcionar a los directivos educativos una explicación cuantitativa de qué factores específicos están perjudicando o beneficiando a cada estudiante.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—-------------------------------------------------------------------------------------------------------------------------</w:t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470153"/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es-AR"/>
    </w:rPr>
  </w:style>
  <w:style w:type="character" w:styleId="Ttulo2Car" w:customStyle="1">
    <w:name w:val="Título 2 Car"/>
    <w:basedOn w:val="Fuentedeprrafopredeter"/>
    <w:link w:val="Ttulo2"/>
    <w:uiPriority w:val="9"/>
    <w:rsid w:val="00470153"/>
    <w:rPr>
      <w:rFonts w:ascii="Times New Roman" w:cs="Times New Roman" w:eastAsia="Times New Roman" w:hAnsi="Times New Roman"/>
      <w:b w:val="1"/>
      <w:bCs w:val="1"/>
      <w:sz w:val="36"/>
      <w:szCs w:val="36"/>
      <w:lang w:eastAsia="es-AR"/>
    </w:rPr>
  </w:style>
  <w:style w:type="character" w:styleId="Ttulo3Car" w:customStyle="1">
    <w:name w:val="Título 3 Car"/>
    <w:basedOn w:val="Fuentedeprrafopredeter"/>
    <w:link w:val="Ttulo3"/>
    <w:uiPriority w:val="9"/>
    <w:rsid w:val="00470153"/>
    <w:rPr>
      <w:rFonts w:ascii="Times New Roman" w:cs="Times New Roman" w:eastAsia="Times New Roman" w:hAnsi="Times New Roman"/>
      <w:b w:val="1"/>
      <w:bCs w:val="1"/>
      <w:sz w:val="27"/>
      <w:szCs w:val="27"/>
      <w:lang w:eastAsia="es-AR"/>
    </w:rPr>
  </w:style>
  <w:style w:type="character" w:styleId="CdigoHTML">
    <w:name w:val="HTML Code"/>
    <w:basedOn w:val="Fuentedeprrafopredeter"/>
    <w:uiPriority w:val="99"/>
    <w:semiHidden w:val="1"/>
    <w:unhideWhenUsed w:val="1"/>
    <w:rsid w:val="00470153"/>
    <w:rPr>
      <w:rFonts w:ascii="Courier New" w:cs="Courier New" w:eastAsia="Times New Roman" w:hAnsi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 w:val="1"/>
    <w:unhideWhenUsed w:val="1"/>
    <w:rsid w:val="004701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es-AR"/>
    </w:rPr>
  </w:style>
  <w:style w:type="character" w:styleId="HTMLconformatoprevioCar" w:customStyle="1">
    <w:name w:val="HTML con formato previo Car"/>
    <w:basedOn w:val="Fuentedeprrafopredeter"/>
    <w:link w:val="HTMLconformatoprevio"/>
    <w:uiPriority w:val="99"/>
    <w:semiHidden w:val="1"/>
    <w:rsid w:val="00470153"/>
    <w:rPr>
      <w:rFonts w:ascii="Courier New" w:cs="Courier New" w:eastAsia="Times New Roman" w:hAnsi="Courier New"/>
      <w:sz w:val="20"/>
      <w:szCs w:val="20"/>
      <w:lang w:eastAsia="es-AR"/>
    </w:rPr>
  </w:style>
  <w:style w:type="character" w:styleId="math-inline" w:customStyle="1">
    <w:name w:val="math-inline"/>
    <w:basedOn w:val="Fuentedeprrafopredeter"/>
    <w:rsid w:val="00470153"/>
  </w:style>
  <w:style w:type="character" w:styleId="Textoennegrita">
    <w:name w:val="Strong"/>
    <w:basedOn w:val="Fuentedeprrafopredeter"/>
    <w:uiPriority w:val="22"/>
    <w:qFormat w:val="1"/>
    <w:rsid w:val="00470153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LN9DM25m5dDymLlY8lVyyBB5gg==">CgMxLjAyDmguNjY3bWpuM2wwZXVtOAByITFkNElKU05yczJhaVhmRHQ0RV9Oa2VqTFlyUnpVcmh1OA==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2026-09-24T20:25:00Z</dcterms:created>
  <dc:creator>Alcoba, Roberto David</dc:creator>
</cp:coreProperties>
</file>