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8"/>
        <w:gridCol w:w="5378"/>
      </w:tblGrid>
      <w:tr>
        <w:tc>
          <w:tcPr>
            <w:tcW w:type="dxa" w:w="3528"/>
            <w:tcMar>
              <w:top w:w="30" w:type="dxa"/>
              <w:bottom w:w="40" w:type="dxa"/>
              <w:left w:w="60" w:type="dxa"/>
              <w:right w:w="60" w:type="dxa"/>
            </w:tcMar>
            <w:shd w:fill="F8FAFC"/>
            <w:tcBorders>
              <w:top w:val="none"/>
              <w:left w:val="none"/>
              <w:bottom w:val="none"/>
              <w:right w:val="single" w:sz="6" w:space="0" w:color="E2E8F0"/>
            </w:tcBorders>
          </w:tcPr>
          <w:p>
            <w:pPr>
              <w:spacing w:before="0" w:after="1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vat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before="140" w:after="40"/>
              <w:pBdr>
                <w:bottom w:val="single" w:sz="6" w:space="2" w:color="0284C7"/>
              </w:pBdr>
            </w:pPr>
            <w:r>
              <w:rPr>
                <w:rFonts w:ascii="Calibri" w:hAnsi="Calibri"/>
                <w:b/>
                <w:color w:val="0F2942"/>
                <w:sz w:val="17"/>
              </w:rPr>
              <w:t>CONTACTO</w:t>
            </w:r>
          </w:p>
          <w:p>
            <w:pPr>
              <w:spacing w:before="0" w:after="30" w:line="252" w:lineRule="auto"/>
            </w:pPr>
            <w:r>
              <w:rPr>
                <w:rFonts w:ascii="Calibri" w:hAnsi="Calibri"/>
                <w:color w:val="334155"/>
                <w:sz w:val="15"/>
              </w:rPr>
              <w:t>Sevilla, España (Disp. Remoto / Híbrido)</w:t>
            </w:r>
          </w:p>
          <w:p>
            <w:pPr>
              <w:spacing w:before="0" w:after="30" w:line="252" w:lineRule="auto"/>
            </w:pPr>
            <w:r>
              <w:rPr>
                <w:rFonts w:ascii="Calibri" w:hAnsi="Calibri"/>
                <w:color w:val="334155"/>
                <w:sz w:val="15"/>
              </w:rPr>
              <w:t>robertodeloma10@gmail.com</w:t>
            </w:r>
          </w:p>
          <w:p>
            <w:pPr>
              <w:spacing w:before="0" w:after="30" w:line="252" w:lineRule="auto"/>
            </w:pPr>
            <w:r>
              <w:rPr>
                <w:rFonts w:ascii="Calibri" w:hAnsi="Calibri"/>
                <w:color w:val="334155"/>
                <w:sz w:val="15"/>
              </w:rPr>
              <w:t>robertodeloma.github.io</w:t>
            </w:r>
          </w:p>
          <w:p>
            <w:pPr>
              <w:spacing w:before="0" w:after="30" w:line="252" w:lineRule="auto"/>
            </w:pPr>
            <w:r>
              <w:rPr>
                <w:rFonts w:ascii="Calibri" w:hAnsi="Calibri"/>
                <w:color w:val="334155"/>
                <w:sz w:val="15"/>
              </w:rPr>
              <w:t>linkedin.com/in/roberto-de-loma</w:t>
            </w:r>
          </w:p>
          <w:p>
            <w:pPr>
              <w:spacing w:before="0" w:after="30" w:line="252" w:lineRule="auto"/>
            </w:pPr>
            <w:r>
              <w:rPr>
                <w:rFonts w:ascii="Calibri" w:hAnsi="Calibri"/>
                <w:color w:val="334155"/>
                <w:sz w:val="15"/>
              </w:rPr>
              <w:t>github.com/robertodeloma</w:t>
            </w:r>
          </w:p>
          <w:p>
            <w:pPr>
              <w:spacing w:before="0" w:after="30" w:line="252" w:lineRule="auto"/>
            </w:pPr>
            <w:r>
              <w:rPr>
                <w:rFonts w:ascii="Calibri" w:hAnsi="Calibri"/>
                <w:color w:val="334155"/>
                <w:sz w:val="15"/>
              </w:rPr>
              <w:t>Vehículo propio (Carnets B / A2)</w:t>
            </w:r>
          </w:p>
          <w:p>
            <w:pPr>
              <w:keepNext/>
              <w:spacing w:before="140" w:after="40"/>
              <w:pBdr>
                <w:bottom w:val="single" w:sz="6" w:space="2" w:color="0284C7"/>
              </w:pBdr>
            </w:pPr>
            <w:r>
              <w:rPr>
                <w:rFonts w:ascii="Calibri" w:hAnsi="Calibri"/>
                <w:b/>
                <w:color w:val="0F2942"/>
                <w:sz w:val="17"/>
              </w:rPr>
              <w:t>CERTIFICACIONES OFICIALES</w:t>
            </w:r>
          </w:p>
          <w:p>
            <w:pPr>
              <w:spacing w:before="0" w:after="24" w:line="252" w:lineRule="auto"/>
            </w:pPr>
            <w:r>
              <w:rPr>
                <w:rFonts w:ascii="Calibri" w:hAnsi="Calibri"/>
                <w:b/>
                <w:color w:val="0F172A"/>
                <w:sz w:val="15"/>
              </w:rPr>
              <w:t>• Microsoft Azure AI (AI-900)</w:t>
              <w:br/>
            </w:r>
            <w:r>
              <w:rPr>
                <w:rFonts w:ascii="Calibri" w:hAnsi="Calibri"/>
                <w:color w:val="64748B"/>
                <w:sz w:val="14"/>
              </w:rPr>
              <w:t xml:space="preserve">  Microsoft · Oficial</w:t>
            </w:r>
          </w:p>
          <w:p>
            <w:pPr>
              <w:spacing w:before="0" w:after="24" w:line="252" w:lineRule="auto"/>
            </w:pPr>
            <w:r>
              <w:rPr>
                <w:rFonts w:ascii="Calibri" w:hAnsi="Calibri"/>
                <w:b/>
                <w:color w:val="0F172A"/>
                <w:sz w:val="15"/>
              </w:rPr>
              <w:t>• Microsoft 365 Copilot (AB-900)</w:t>
              <w:br/>
            </w:r>
            <w:r>
              <w:rPr>
                <w:rFonts w:ascii="Calibri" w:hAnsi="Calibri"/>
                <w:color w:val="64748B"/>
                <w:sz w:val="14"/>
              </w:rPr>
              <w:t xml:space="preserve">  Microsoft · 2026</w:t>
            </w:r>
          </w:p>
          <w:p>
            <w:pPr>
              <w:spacing w:before="0" w:after="24" w:line="252" w:lineRule="auto"/>
            </w:pPr>
            <w:r>
              <w:rPr>
                <w:rFonts w:ascii="Calibri" w:hAnsi="Calibri"/>
                <w:b/>
                <w:color w:val="0F172A"/>
                <w:sz w:val="15"/>
              </w:rPr>
              <w:t>• Stratio Fabric Operations</w:t>
              <w:br/>
            </w:r>
            <w:r>
              <w:rPr>
                <w:rFonts w:ascii="Calibri" w:hAnsi="Calibri"/>
                <w:color w:val="64748B"/>
                <w:sz w:val="14"/>
              </w:rPr>
              <w:t xml:space="preserve">  Stratio Big Data Inc.</w:t>
            </w:r>
          </w:p>
          <w:p>
            <w:pPr>
              <w:spacing w:before="0" w:after="24" w:line="252" w:lineRule="auto"/>
            </w:pPr>
            <w:r>
              <w:rPr>
                <w:rFonts w:ascii="Calibri" w:hAnsi="Calibri"/>
                <w:b/>
                <w:color w:val="0F172A"/>
                <w:sz w:val="15"/>
              </w:rPr>
              <w:t>• Stratio Fabric Data Processing</w:t>
              <w:br/>
            </w:r>
            <w:r>
              <w:rPr>
                <w:rFonts w:ascii="Calibri" w:hAnsi="Calibri"/>
                <w:color w:val="64748B"/>
                <w:sz w:val="14"/>
              </w:rPr>
              <w:t xml:space="preserve">  Stratio Big Data Inc.</w:t>
            </w:r>
          </w:p>
          <w:p>
            <w:pPr>
              <w:spacing w:before="0" w:after="24" w:line="252" w:lineRule="auto"/>
            </w:pPr>
            <w:r>
              <w:rPr>
                <w:rFonts w:ascii="Calibri" w:hAnsi="Calibri"/>
                <w:b/>
                <w:color w:val="0F172A"/>
                <w:sz w:val="15"/>
              </w:rPr>
              <w:t>• Stratio Fabric Data Governance</w:t>
              <w:br/>
            </w:r>
            <w:r>
              <w:rPr>
                <w:rFonts w:ascii="Calibri" w:hAnsi="Calibri"/>
                <w:color w:val="64748B"/>
                <w:sz w:val="14"/>
              </w:rPr>
              <w:t xml:space="preserve">  Stratio Big Data Inc.</w:t>
            </w:r>
          </w:p>
          <w:p>
            <w:pPr>
              <w:spacing w:before="0" w:after="24" w:line="252" w:lineRule="auto"/>
            </w:pPr>
            <w:r>
              <w:rPr>
                <w:rFonts w:ascii="Calibri" w:hAnsi="Calibri"/>
                <w:b/>
                <w:color w:val="0F172A"/>
                <w:sz w:val="15"/>
              </w:rPr>
              <w:t>• Stratio Fabric Basics</w:t>
              <w:br/>
            </w:r>
            <w:r>
              <w:rPr>
                <w:rFonts w:ascii="Calibri" w:hAnsi="Calibri"/>
                <w:color w:val="64748B"/>
                <w:sz w:val="14"/>
              </w:rPr>
              <w:t xml:space="preserve">  Stratio Big Data Inc.</w:t>
            </w:r>
          </w:p>
          <w:p>
            <w:pPr>
              <w:keepNext/>
              <w:spacing w:before="140" w:after="40"/>
              <w:pBdr>
                <w:bottom w:val="single" w:sz="6" w:space="2" w:color="0284C7"/>
              </w:pBdr>
            </w:pPr>
            <w:r>
              <w:rPr>
                <w:rFonts w:ascii="Calibri" w:hAnsi="Calibri"/>
                <w:b/>
                <w:color w:val="0F2942"/>
                <w:sz w:val="17"/>
              </w:rPr>
              <w:t>STACK TECNOLÓGICO</w:t>
            </w:r>
          </w:p>
          <w:p>
            <w:pPr>
              <w:spacing w:before="0" w:after="30" w:line="252" w:lineRule="auto"/>
            </w:pPr>
            <w:r>
              <w:rPr>
                <w:rFonts w:ascii="Calibri" w:hAnsi="Calibri"/>
                <w:b/>
                <w:color w:val="0F2942"/>
                <w:sz w:val="15"/>
              </w:rPr>
              <w:t xml:space="preserve">Virtualización: </w:t>
            </w:r>
            <w:r>
              <w:rPr>
                <w:rFonts w:ascii="Calibri" w:hAnsi="Calibri"/>
                <w:color w:val="475569"/>
                <w:sz w:val="14"/>
              </w:rPr>
              <w:t>VMware ESXi, Hyper-V, VDI, VirtualBox</w:t>
            </w:r>
          </w:p>
          <w:p>
            <w:pPr>
              <w:spacing w:before="0" w:after="30" w:line="252" w:lineRule="auto"/>
            </w:pPr>
            <w:r>
              <w:rPr>
                <w:rFonts w:ascii="Calibri" w:hAnsi="Calibri"/>
                <w:b/>
                <w:color w:val="0F2942"/>
                <w:sz w:val="15"/>
              </w:rPr>
              <w:t xml:space="preserve">Contenedores: </w:t>
            </w:r>
            <w:r>
              <w:rPr>
                <w:rFonts w:ascii="Calibri" w:hAnsi="Calibri"/>
                <w:color w:val="475569"/>
                <w:sz w:val="14"/>
              </w:rPr>
              <w:t>Docker, Kubernetes (K8s)</w:t>
            </w:r>
          </w:p>
          <w:p>
            <w:pPr>
              <w:spacing w:before="0" w:after="30" w:line="252" w:lineRule="auto"/>
            </w:pPr>
            <w:r>
              <w:rPr>
                <w:rFonts w:ascii="Calibri" w:hAnsi="Calibri"/>
                <w:b/>
                <w:color w:val="0F2942"/>
                <w:sz w:val="15"/>
              </w:rPr>
              <w:t xml:space="preserve">Sistemas: </w:t>
            </w:r>
            <w:r>
              <w:rPr>
                <w:rFonts w:ascii="Calibri" w:hAnsi="Calibri"/>
                <w:color w:val="475569"/>
                <w:sz w:val="14"/>
              </w:rPr>
              <w:t>Windows Server (2012/19/22), Linux, AD DS, GPOs</w:t>
            </w:r>
          </w:p>
          <w:p>
            <w:pPr>
              <w:spacing w:before="0" w:after="30" w:line="252" w:lineRule="auto"/>
            </w:pPr>
            <w:r>
              <w:rPr>
                <w:rFonts w:ascii="Calibri" w:hAnsi="Calibri"/>
                <w:b/>
                <w:color w:val="0F2942"/>
                <w:sz w:val="15"/>
              </w:rPr>
              <w:t xml:space="preserve">Monitorización: </w:t>
            </w:r>
            <w:r>
              <w:rPr>
                <w:rFonts w:ascii="Calibri" w:hAnsi="Calibri"/>
                <w:color w:val="475569"/>
                <w:sz w:val="14"/>
              </w:rPr>
              <w:t>Grafana (Dashboards)</w:t>
            </w:r>
          </w:p>
          <w:p>
            <w:pPr>
              <w:spacing w:before="0" w:after="30" w:line="252" w:lineRule="auto"/>
            </w:pPr>
            <w:r>
              <w:rPr>
                <w:rFonts w:ascii="Calibri" w:hAnsi="Calibri"/>
                <w:b/>
                <w:color w:val="0F2942"/>
                <w:sz w:val="15"/>
              </w:rPr>
              <w:t xml:space="preserve">Scripting &amp; BD: </w:t>
            </w:r>
            <w:r>
              <w:rPr>
                <w:rFonts w:ascii="Calibri" w:hAnsi="Calibri"/>
                <w:color w:val="475569"/>
                <w:sz w:val="14"/>
              </w:rPr>
              <w:t>PowerShell, Bash, SQL Server, MySQL, Postgres</w:t>
            </w:r>
          </w:p>
          <w:p>
            <w:pPr>
              <w:spacing w:before="0" w:after="30" w:line="252" w:lineRule="auto"/>
            </w:pPr>
            <w:r>
              <w:rPr>
                <w:rFonts w:ascii="Calibri" w:hAnsi="Calibri"/>
                <w:b/>
                <w:color w:val="0F2942"/>
                <w:sz w:val="15"/>
              </w:rPr>
              <w:t xml:space="preserve">Redes &amp; Web: </w:t>
            </w:r>
            <w:r>
              <w:rPr>
                <w:rFonts w:ascii="Calibri" w:hAnsi="Calibri"/>
                <w:color w:val="475569"/>
                <w:sz w:val="14"/>
              </w:rPr>
              <w:t>DNS, DHCP Failover, TCP/IP, VLANs, Apache, WordPress</w:t>
            </w:r>
          </w:p>
          <w:p>
            <w:pPr>
              <w:keepNext/>
              <w:spacing w:before="140" w:after="40"/>
              <w:pBdr>
                <w:bottom w:val="single" w:sz="6" w:space="2" w:color="0284C7"/>
              </w:pBdr>
            </w:pPr>
            <w:r>
              <w:rPr>
                <w:rFonts w:ascii="Calibri" w:hAnsi="Calibri"/>
                <w:b/>
                <w:color w:val="0F2942"/>
                <w:sz w:val="17"/>
              </w:rPr>
              <w:t>FORMACIÓN ACADÉMICA</w:t>
            </w:r>
          </w:p>
          <w:p>
            <w:pPr>
              <w:spacing w:before="0" w:after="30" w:line="252" w:lineRule="auto"/>
            </w:pPr>
            <w:r>
              <w:rPr>
                <w:rFonts w:ascii="Calibri" w:hAnsi="Calibri"/>
                <w:b/>
                <w:color w:val="0F172A"/>
                <w:sz w:val="15"/>
              </w:rPr>
              <w:t>• C.F.G.S. ASIR</w:t>
              <w:br/>
            </w:r>
            <w:r>
              <w:rPr>
                <w:rFonts w:ascii="Calibri" w:hAnsi="Calibri"/>
                <w:color w:val="64748B"/>
                <w:sz w:val="14"/>
              </w:rPr>
              <w:t xml:space="preserve">  IES Triana · Sevilla · Adm. Sistemas Informáticos en Red</w:t>
            </w:r>
          </w:p>
          <w:p>
            <w:pPr>
              <w:spacing w:before="0" w:after="30" w:line="252" w:lineRule="auto"/>
            </w:pPr>
            <w:r>
              <w:rPr>
                <w:rFonts w:ascii="Calibri" w:hAnsi="Calibri"/>
                <w:b/>
                <w:color w:val="0F172A"/>
                <w:sz w:val="15"/>
              </w:rPr>
              <w:t>• C.F.G.M. SMR</w:t>
              <w:br/>
            </w:r>
            <w:r>
              <w:rPr>
                <w:rFonts w:ascii="Calibri" w:hAnsi="Calibri"/>
                <w:color w:val="64748B"/>
                <w:sz w:val="14"/>
              </w:rPr>
              <w:t xml:space="preserve">  IES Camas · Sevilla · Sistemas Microinformáticos y Redes</w:t>
            </w:r>
          </w:p>
          <w:p>
            <w:pPr>
              <w:keepNext/>
              <w:spacing w:before="140" w:after="40"/>
              <w:pBdr>
                <w:bottom w:val="single" w:sz="6" w:space="2" w:color="0284C7"/>
              </w:pBdr>
            </w:pPr>
            <w:r>
              <w:rPr>
                <w:rFonts w:ascii="Calibri" w:hAnsi="Calibri"/>
                <w:b/>
                <w:color w:val="0F2942"/>
                <w:sz w:val="17"/>
              </w:rPr>
              <w:t>IDIOMAS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5"/>
              </w:rPr>
              <w:t>• Español: Nativo</w:t>
              <w:br/>
              <w:t>• Inglés: B2 (Técnico / Profesional)</w:t>
            </w:r>
          </w:p>
        </w:tc>
        <w:tc>
          <w:tcPr>
            <w:tcW w:type="dxa" w:w="7229"/>
            <w:tcMar>
              <w:top w:w="10" w:type="dxa"/>
              <w:bottom w:w="30" w:type="dxa"/>
              <w:left w:w="100" w:type="dxa"/>
              <w:right w:w="20" w:type="dxa"/>
            </w:tcMar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F2942"/>
                <w:sz w:val="34"/>
              </w:rPr>
              <w:t>ROBERTO DE LOMA-OSSORIO SALAS</w:t>
            </w:r>
          </w:p>
          <w:p>
            <w:pPr>
              <w:spacing w:before="0" w:after="80"/>
            </w:pPr>
            <w:r>
              <w:rPr>
                <w:rFonts w:ascii="Calibri" w:hAnsi="Calibri"/>
                <w:b/>
                <w:color w:val="2563EB"/>
                <w:sz w:val="20"/>
              </w:rPr>
              <w:t>Técnico de Analítica Avanzada &amp; Administrador de Sistemas</w:t>
            </w:r>
          </w:p>
          <w:p>
            <w:pPr>
              <w:keepNext/>
              <w:spacing w:before="120" w:after="40"/>
              <w:pBdr>
                <w:bottom w:val="single" w:sz="8" w:space="2" w:color="1E3A8A"/>
              </w:pBdr>
            </w:pPr>
            <w:r>
              <w:rPr>
                <w:rFonts w:ascii="Calibri" w:hAnsi="Calibri"/>
                <w:b/>
                <w:color w:val="0F2942"/>
                <w:sz w:val="19"/>
              </w:rPr>
              <w:t>PERFIL PROFESIONAL</w:t>
            </w:r>
          </w:p>
          <w:p>
            <w:pPr>
              <w:spacing w:before="20" w:after="80" w:line="259" w:lineRule="auto"/>
            </w:pPr>
            <w:r>
              <w:rPr>
                <w:rFonts w:ascii="Calibri" w:hAnsi="Calibri"/>
                <w:color w:val="334155"/>
                <w:sz w:val="16"/>
              </w:rPr>
              <w:t>Técnico de Analítica Avanzada y Administrador de Sistemas en Grupo Solutia con experiencia en despliegue, mantenimiento y soporte de infraestructuras TIC (Windows Server, Linux, VMware ESXi y puestos VDI). Familiarizado con entornos contenerizados (Docker, Kubernetes), observabilidad en Grafana y plataformas de Big Data e IA corporativa (Stratio GenAI Data Fabric, Azure AI y gobierno M365 Copilot). Resolutivo en incidencias críticas bajo SLA, con trato cercano y sólida capacidad para la documentación técnica.</w:t>
            </w:r>
          </w:p>
          <w:p>
            <w:pPr>
              <w:keepNext/>
              <w:spacing w:before="120" w:after="40"/>
              <w:pBdr>
                <w:bottom w:val="single" w:sz="8" w:space="2" w:color="1E3A8A"/>
              </w:pBdr>
            </w:pPr>
            <w:r>
              <w:rPr>
                <w:rFonts w:ascii="Calibri" w:hAnsi="Calibri"/>
                <w:b/>
                <w:color w:val="0F2942"/>
                <w:sz w:val="19"/>
              </w:rPr>
              <w:t>EXPERIENCIA LABORAL</w:t>
            </w:r>
          </w:p>
          <w:p>
            <w:pPr>
              <w:spacing w:before="40" w:after="20"/>
            </w:pPr>
            <w:r>
              <w:rPr>
                <w:b/>
                <w:color w:val="0F172A"/>
                <w:sz w:val="18"/>
              </w:rPr>
              <w:t>Técnico Analítica Avanzada &amp; Administrador de Sistemas</w:t>
            </w:r>
            <w:r>
              <w:rPr>
                <w:b/>
                <w:color w:val="2563EB"/>
                <w:sz w:val="17"/>
              </w:rPr>
              <w:t xml:space="preserve">  |  Grupo Solutia</w:t>
            </w:r>
          </w:p>
          <w:p>
            <w:pPr>
              <w:spacing w:before="0" w:after="30"/>
            </w:pPr>
            <w:r>
              <w:rPr>
                <w:i/>
                <w:color w:val="64748B"/>
                <w:sz w:val="15"/>
              </w:rPr>
              <w:t>Mar. 2026 – Actualidad  ·  Sevilla (Modalidad Híbrida)</w:t>
            </w:r>
          </w:p>
          <w:p>
            <w:pPr>
              <w:pStyle w:val="ListBullet"/>
              <w:spacing w:before="0" w:after="24" w:line="254" w:lineRule="auto"/>
            </w:pPr>
            <w:r>
              <w:rPr>
                <w:rFonts w:ascii="Calibri" w:hAnsi="Calibri"/>
                <w:color w:val="334155"/>
                <w:sz w:val="16"/>
              </w:rPr>
            </w:r>
            <w:r>
              <w:rPr>
                <w:rFonts w:ascii="Calibri" w:hAnsi="Calibri"/>
                <w:b/>
                <w:color w:val="0F172A"/>
                <w:sz w:val="16"/>
              </w:rPr>
              <w:t>Contenedores y clústeres:</w:t>
            </w:r>
            <w:r>
              <w:rPr>
                <w:rFonts w:ascii="Calibri" w:hAnsi="Calibri"/>
                <w:color w:val="334155"/>
                <w:sz w:val="16"/>
              </w:rPr>
              <w:t xml:space="preserve"> Despliegue, gestión y mantenimiento de aplicaciones en contenedores con </w:t>
            </w:r>
            <w:r>
              <w:rPr>
                <w:rFonts w:ascii="Calibri" w:hAnsi="Calibri"/>
                <w:b/>
                <w:color w:val="0F172A"/>
                <w:sz w:val="16"/>
              </w:rPr>
              <w:t>Docker</w:t>
            </w:r>
            <w:r>
              <w:rPr>
                <w:rFonts w:ascii="Calibri" w:hAnsi="Calibri"/>
                <w:color w:val="334155"/>
                <w:sz w:val="16"/>
              </w:rPr>
              <w:t xml:space="preserve"> y orquestación en </w:t>
            </w:r>
            <w:r>
              <w:rPr>
                <w:rFonts w:ascii="Calibri" w:hAnsi="Calibri"/>
                <w:b/>
                <w:color w:val="0F172A"/>
                <w:sz w:val="16"/>
              </w:rPr>
              <w:t>Kubernetes (K8s)</w:t>
            </w:r>
            <w:r>
              <w:rPr>
                <w:rFonts w:ascii="Calibri" w:hAnsi="Calibri"/>
                <w:color w:val="334155"/>
                <w:sz w:val="16"/>
              </w:rPr>
              <w:t xml:space="preserve"> sobre Linux y VMware.</w:t>
            </w:r>
          </w:p>
          <w:p>
            <w:pPr>
              <w:pStyle w:val="ListBullet"/>
              <w:spacing w:before="0" w:after="24" w:line="254" w:lineRule="auto"/>
            </w:pPr>
            <w:r>
              <w:rPr>
                <w:rFonts w:ascii="Calibri" w:hAnsi="Calibri"/>
                <w:color w:val="334155"/>
                <w:sz w:val="16"/>
              </w:rPr>
            </w:r>
            <w:r>
              <w:rPr>
                <w:rFonts w:ascii="Calibri" w:hAnsi="Calibri"/>
                <w:b/>
                <w:color w:val="0F172A"/>
                <w:sz w:val="16"/>
              </w:rPr>
              <w:t>Monitorización con Grafana:</w:t>
            </w:r>
            <w:r>
              <w:rPr>
                <w:rFonts w:ascii="Calibri" w:hAnsi="Calibri"/>
                <w:color w:val="334155"/>
                <w:sz w:val="16"/>
              </w:rPr>
              <w:t xml:space="preserve"> Creación y ajuste de dashboards interactivos en tiempo real para supervisar rendimiento de clústeres y salud de servicios.</w:t>
            </w:r>
          </w:p>
          <w:p>
            <w:pPr>
              <w:pStyle w:val="ListBullet"/>
              <w:spacing w:before="0" w:after="24" w:line="254" w:lineRule="auto"/>
            </w:pPr>
            <w:r>
              <w:rPr>
                <w:rFonts w:ascii="Calibri" w:hAnsi="Calibri"/>
                <w:color w:val="334155"/>
                <w:sz w:val="16"/>
              </w:rPr>
            </w:r>
            <w:r>
              <w:rPr>
                <w:rFonts w:ascii="Calibri" w:hAnsi="Calibri"/>
                <w:b/>
                <w:color w:val="0F172A"/>
                <w:sz w:val="16"/>
              </w:rPr>
              <w:t>Soporte L2 e incidencias:</w:t>
            </w:r>
            <w:r>
              <w:rPr>
                <w:rFonts w:ascii="Calibri" w:hAnsi="Calibri"/>
                <w:color w:val="334155"/>
                <w:sz w:val="16"/>
              </w:rPr>
              <w:t xml:space="preserve"> Diagnóstico y resolución de incidencias complejas cumpliendo </w:t>
            </w:r>
            <w:r>
              <w:rPr>
                <w:rFonts w:ascii="Calibri" w:hAnsi="Calibri"/>
                <w:b/>
                <w:color w:val="0F172A"/>
                <w:sz w:val="16"/>
              </w:rPr>
              <w:t>SLAs</w:t>
            </w:r>
            <w:r>
              <w:rPr>
                <w:rFonts w:ascii="Calibri" w:hAnsi="Calibri"/>
                <w:color w:val="334155"/>
                <w:sz w:val="16"/>
              </w:rPr>
              <w:t xml:space="preserve"> de servicio, asegurando continuidad operativa.</w:t>
            </w:r>
          </w:p>
          <w:p>
            <w:pPr>
              <w:pStyle w:val="ListBullet"/>
              <w:spacing w:before="0" w:after="24" w:line="254" w:lineRule="auto"/>
            </w:pPr>
            <w:r>
              <w:rPr>
                <w:rFonts w:ascii="Calibri" w:hAnsi="Calibri"/>
                <w:color w:val="334155"/>
                <w:sz w:val="16"/>
              </w:rPr>
            </w:r>
            <w:r>
              <w:rPr>
                <w:rFonts w:ascii="Calibri" w:hAnsi="Calibri"/>
                <w:b/>
                <w:color w:val="0F172A"/>
                <w:sz w:val="16"/>
              </w:rPr>
              <w:t>Automatización:</w:t>
            </w:r>
            <w:r>
              <w:rPr>
                <w:rFonts w:ascii="Calibri" w:hAnsi="Calibri"/>
                <w:color w:val="334155"/>
                <w:sz w:val="16"/>
              </w:rPr>
              <w:t xml:space="preserve"> Desarrollo de scripts en </w:t>
            </w:r>
            <w:r>
              <w:rPr>
                <w:rFonts w:ascii="Calibri" w:hAnsi="Calibri"/>
                <w:b/>
                <w:color w:val="0F172A"/>
                <w:sz w:val="16"/>
              </w:rPr>
              <w:t>PowerShell</w:t>
            </w:r>
            <w:r>
              <w:rPr>
                <w:rFonts w:ascii="Calibri" w:hAnsi="Calibri"/>
                <w:color w:val="334155"/>
                <w:sz w:val="16"/>
              </w:rPr>
              <w:t xml:space="preserve"> y </w:t>
            </w:r>
            <w:r>
              <w:rPr>
                <w:rFonts w:ascii="Calibri" w:hAnsi="Calibri"/>
                <w:b/>
                <w:color w:val="0F172A"/>
                <w:sz w:val="16"/>
              </w:rPr>
              <w:t>Bash</w:t>
            </w:r>
            <w:r>
              <w:rPr>
                <w:rFonts w:ascii="Calibri" w:hAnsi="Calibri"/>
                <w:color w:val="334155"/>
                <w:sz w:val="16"/>
              </w:rPr>
              <w:t xml:space="preserve"> para tareas automáticas de administración, mantenimiento y copias de seguridad.</w:t>
            </w:r>
          </w:p>
          <w:p>
            <w:pPr>
              <w:pStyle w:val="ListBullet"/>
              <w:spacing w:before="0" w:after="24" w:line="254" w:lineRule="auto"/>
            </w:pPr>
            <w:r>
              <w:rPr>
                <w:rFonts w:ascii="Calibri" w:hAnsi="Calibri"/>
                <w:color w:val="334155"/>
                <w:sz w:val="16"/>
              </w:rPr>
            </w:r>
            <w:r>
              <w:rPr>
                <w:rFonts w:ascii="Calibri" w:hAnsi="Calibri"/>
                <w:b/>
                <w:color w:val="0F172A"/>
                <w:sz w:val="16"/>
              </w:rPr>
              <w:t>Big Data e IA:</w:t>
            </w:r>
            <w:r>
              <w:rPr>
                <w:rFonts w:ascii="Calibri" w:hAnsi="Calibri"/>
                <w:color w:val="334155"/>
                <w:sz w:val="16"/>
              </w:rPr>
              <w:t xml:space="preserve"> Operación técnica sobre </w:t>
            </w:r>
            <w:r>
              <w:rPr>
                <w:rFonts w:ascii="Calibri" w:hAnsi="Calibri"/>
                <w:b/>
                <w:color w:val="0F172A"/>
                <w:sz w:val="16"/>
              </w:rPr>
              <w:t>Stratio GenAI Data Fabric</w:t>
            </w:r>
            <w:r>
              <w:rPr>
                <w:rFonts w:ascii="Calibri" w:hAnsi="Calibri"/>
                <w:color w:val="334155"/>
                <w:sz w:val="16"/>
              </w:rPr>
              <w:t xml:space="preserve"> y servicios </w:t>
            </w:r>
            <w:r>
              <w:rPr>
                <w:rFonts w:ascii="Calibri" w:hAnsi="Calibri"/>
                <w:b/>
                <w:color w:val="0F172A"/>
                <w:sz w:val="16"/>
              </w:rPr>
              <w:t>Azure AI</w:t>
            </w:r>
            <w:r>
              <w:rPr>
                <w:rFonts w:ascii="Calibri" w:hAnsi="Calibri"/>
                <w:color w:val="334155"/>
                <w:sz w:val="16"/>
              </w:rPr>
              <w:t>, supervisando procesos de ingesta y calidad del dato.</w:t>
            </w:r>
          </w:p>
          <w:p>
            <w:pPr>
              <w:spacing w:before="50" w:after="20"/>
            </w:pPr>
            <w:r>
              <w:rPr>
                <w:b/>
                <w:color w:val="0F172A"/>
                <w:sz w:val="18"/>
              </w:rPr>
              <w:t>Técnico de Campo — Despliegue e Implantación VDI</w:t>
            </w:r>
            <w:r>
              <w:rPr>
                <w:b/>
                <w:color w:val="2563EB"/>
                <w:sz w:val="17"/>
              </w:rPr>
              <w:t xml:space="preserve">  |  Grupo Solutia</w:t>
            </w:r>
          </w:p>
          <w:p>
            <w:pPr>
              <w:spacing w:before="0" w:after="30"/>
            </w:pPr>
            <w:r>
              <w:rPr>
                <w:i/>
                <w:color w:val="64748B"/>
                <w:sz w:val="15"/>
              </w:rPr>
              <w:t>Abr. 2025 – Mar. 2026 (1 año)  ·  Sedes Judiciales de Andalucía (Presencial)</w:t>
            </w:r>
          </w:p>
          <w:p>
            <w:pPr>
              <w:pStyle w:val="ListBullet"/>
              <w:spacing w:before="0" w:after="24" w:line="254" w:lineRule="auto"/>
            </w:pPr>
            <w:r>
              <w:rPr>
                <w:rFonts w:ascii="Calibri" w:hAnsi="Calibri"/>
                <w:color w:val="334155"/>
                <w:sz w:val="16"/>
              </w:rPr>
            </w:r>
            <w:r>
              <w:rPr>
                <w:rFonts w:ascii="Calibri" w:hAnsi="Calibri"/>
                <w:b/>
                <w:color w:val="0F172A"/>
                <w:sz w:val="16"/>
              </w:rPr>
              <w:t>Despliegue masivo VDI:</w:t>
            </w:r>
            <w:r>
              <w:rPr>
                <w:rFonts w:ascii="Calibri" w:hAnsi="Calibri"/>
                <w:color w:val="334155"/>
                <w:sz w:val="16"/>
              </w:rPr>
              <w:t xml:space="preserve"> Instalación y configuración presencial de escritorios virtuales en sedes judiciales para modernización TIC.</w:t>
            </w:r>
          </w:p>
          <w:p>
            <w:pPr>
              <w:pStyle w:val="ListBullet"/>
              <w:spacing w:before="0" w:after="24" w:line="254" w:lineRule="auto"/>
            </w:pPr>
            <w:r>
              <w:rPr>
                <w:rFonts w:ascii="Calibri" w:hAnsi="Calibri"/>
                <w:color w:val="334155"/>
                <w:sz w:val="16"/>
              </w:rPr>
            </w:r>
            <w:r>
              <w:rPr>
                <w:rFonts w:ascii="Calibri" w:hAnsi="Calibri"/>
                <w:b/>
                <w:color w:val="0F172A"/>
                <w:sz w:val="16"/>
              </w:rPr>
              <w:t>Red y Dominio:</w:t>
            </w:r>
            <w:r>
              <w:rPr>
                <w:rFonts w:ascii="Calibri" w:hAnsi="Calibri"/>
                <w:color w:val="334155"/>
                <w:sz w:val="16"/>
              </w:rPr>
              <w:t xml:space="preserve"> Integración de equipos clientes en </w:t>
            </w:r>
            <w:r>
              <w:rPr>
                <w:rFonts w:ascii="Calibri" w:hAnsi="Calibri"/>
                <w:b/>
                <w:color w:val="0F172A"/>
                <w:sz w:val="16"/>
              </w:rPr>
              <w:t>Active Directory (GPOs)</w:t>
            </w:r>
            <w:r>
              <w:rPr>
                <w:rFonts w:ascii="Calibri" w:hAnsi="Calibri"/>
                <w:color w:val="334155"/>
                <w:sz w:val="16"/>
              </w:rPr>
              <w:t>, cableado de red y verificación de periféricos y certificados.</w:t>
            </w:r>
          </w:p>
          <w:p>
            <w:pPr>
              <w:pStyle w:val="ListBullet"/>
              <w:spacing w:before="0" w:after="24" w:line="254" w:lineRule="auto"/>
            </w:pPr>
            <w:r>
              <w:rPr>
                <w:rFonts w:ascii="Calibri" w:hAnsi="Calibri"/>
                <w:color w:val="334155"/>
                <w:sz w:val="16"/>
              </w:rPr>
            </w:r>
            <w:r>
              <w:rPr>
                <w:rFonts w:ascii="Calibri" w:hAnsi="Calibri"/>
                <w:b/>
                <w:color w:val="0F172A"/>
                <w:sz w:val="16"/>
              </w:rPr>
              <w:t>Soporte in situ y manuales:</w:t>
            </w:r>
            <w:r>
              <w:rPr>
                <w:rFonts w:ascii="Calibri" w:hAnsi="Calibri"/>
                <w:color w:val="334155"/>
                <w:sz w:val="16"/>
              </w:rPr>
              <w:t xml:space="preserve"> Atención directa y resolución de incidencias en sala judicial a magistrados y funcionarios, elaborando manuales técnicos.</w:t>
            </w:r>
          </w:p>
          <w:p>
            <w:pPr>
              <w:spacing w:before="50" w:after="20"/>
            </w:pPr>
            <w:r>
              <w:rPr>
                <w:b/>
                <w:color w:val="0F172A"/>
                <w:sz w:val="18"/>
              </w:rPr>
              <w:t>Técnico de Sistemas — Migración Windows Server</w:t>
            </w:r>
            <w:r>
              <w:rPr>
                <w:b/>
                <w:color w:val="2563EB"/>
                <w:sz w:val="17"/>
              </w:rPr>
              <w:t xml:space="preserve">  |  Grupo Solutia</w:t>
            </w:r>
          </w:p>
          <w:p>
            <w:pPr>
              <w:spacing w:before="0" w:after="30"/>
            </w:pPr>
            <w:r>
              <w:rPr>
                <w:i/>
                <w:color w:val="64748B"/>
                <w:sz w:val="15"/>
              </w:rPr>
              <w:t>Mar. 2022 – Sept. 2022 (7 meses)  ·  Sevilla (Modalidad Híbrida)</w:t>
            </w:r>
          </w:p>
          <w:p>
            <w:pPr>
              <w:pStyle w:val="ListBullet"/>
              <w:spacing w:before="0" w:after="24" w:line="254" w:lineRule="auto"/>
            </w:pPr>
            <w:r>
              <w:rPr>
                <w:rFonts w:ascii="Calibri" w:hAnsi="Calibri"/>
                <w:color w:val="334155"/>
                <w:sz w:val="16"/>
              </w:rPr>
            </w:r>
            <w:r>
              <w:rPr>
                <w:rFonts w:ascii="Calibri" w:hAnsi="Calibri"/>
                <w:b/>
                <w:color w:val="0F172A"/>
                <w:sz w:val="16"/>
              </w:rPr>
              <w:t>Migración de servidores:</w:t>
            </w:r>
            <w:r>
              <w:rPr>
                <w:rFonts w:ascii="Calibri" w:hAnsi="Calibri"/>
                <w:color w:val="334155"/>
                <w:sz w:val="16"/>
              </w:rPr>
              <w:t xml:space="preserve"> Planificación y ejecución de actualización desde </w:t>
            </w:r>
            <w:r>
              <w:rPr>
                <w:rFonts w:ascii="Calibri" w:hAnsi="Calibri"/>
                <w:b/>
                <w:color w:val="0F172A"/>
                <w:sz w:val="16"/>
              </w:rPr>
              <w:t>Windows Server 2012 R2 a Windows Server 2019/2022</w:t>
            </w:r>
            <w:r>
              <w:rPr>
                <w:rFonts w:ascii="Calibri" w:hAnsi="Calibri"/>
                <w:color w:val="334155"/>
                <w:sz w:val="16"/>
              </w:rPr>
              <w:t xml:space="preserve"> sin cortes.</w:t>
            </w:r>
          </w:p>
          <w:p>
            <w:pPr>
              <w:pStyle w:val="ListBullet"/>
              <w:spacing w:before="0" w:after="24" w:line="254" w:lineRule="auto"/>
            </w:pPr>
            <w:r>
              <w:rPr>
                <w:rFonts w:ascii="Calibri" w:hAnsi="Calibri"/>
                <w:color w:val="334155"/>
                <w:sz w:val="16"/>
              </w:rPr>
            </w:r>
            <w:r>
              <w:rPr>
                <w:rFonts w:ascii="Calibri" w:hAnsi="Calibri"/>
                <w:b/>
                <w:color w:val="0F172A"/>
                <w:sz w:val="16"/>
              </w:rPr>
              <w:t>Virtualización y Servicios:</w:t>
            </w:r>
            <w:r>
              <w:rPr>
                <w:rFonts w:ascii="Calibri" w:hAnsi="Calibri"/>
                <w:color w:val="334155"/>
                <w:sz w:val="16"/>
              </w:rPr>
              <w:t xml:space="preserve"> Administración de máquinas virtuales en </w:t>
            </w:r>
            <w:r>
              <w:rPr>
                <w:rFonts w:ascii="Calibri" w:hAnsi="Calibri"/>
                <w:b/>
                <w:color w:val="0F172A"/>
                <w:sz w:val="16"/>
              </w:rPr>
              <w:t>VMware ESXi</w:t>
            </w:r>
            <w:r>
              <w:rPr>
                <w:rFonts w:ascii="Calibri" w:hAnsi="Calibri"/>
                <w:color w:val="334155"/>
                <w:sz w:val="16"/>
              </w:rPr>
              <w:t xml:space="preserve"> y consolidación de </w:t>
            </w:r>
            <w:r>
              <w:rPr>
                <w:rFonts w:ascii="Calibri" w:hAnsi="Calibri"/>
                <w:b/>
                <w:color w:val="0F172A"/>
                <w:sz w:val="16"/>
              </w:rPr>
              <w:t>Active Directory, DNS, DHCP y GPOs</w:t>
            </w:r>
            <w:r>
              <w:rPr>
                <w:rFonts w:ascii="Calibri" w:hAnsi="Calibri"/>
                <w:color w:val="334155"/>
                <w:sz w:val="16"/>
              </w:rPr>
              <w:t>.</w:t>
            </w:r>
          </w:p>
          <w:p>
            <w:pPr>
              <w:keepNext/>
              <w:spacing w:before="120" w:after="40"/>
              <w:pBdr>
                <w:bottom w:val="single" w:sz="8" w:space="2" w:color="1E3A8A"/>
              </w:pBdr>
            </w:pPr>
            <w:r>
              <w:rPr>
                <w:rFonts w:ascii="Calibri" w:hAnsi="Calibri"/>
                <w:b/>
                <w:color w:val="0F2942"/>
                <w:sz w:val="19"/>
              </w:rPr>
              <w:t>PROYECTO DESTACADO — FIN DE GRADO (ASIR)</w:t>
            </w:r>
          </w:p>
          <w:p>
            <w:pPr>
              <w:spacing w:before="30" w:after="20"/>
            </w:pPr>
            <w:r>
              <w:rPr>
                <w:b/>
                <w:color w:val="0F172A"/>
                <w:sz w:val="17"/>
              </w:rPr>
              <w:t>Infraestructura de Red y Servicios Centralizados</w:t>
            </w:r>
            <w:r>
              <w:rPr>
                <w:b/>
                <w:color w:val="2563EB"/>
                <w:sz w:val="16"/>
              </w:rPr>
              <w:t xml:space="preserve">  |  IES Triana (2024–2025)</w:t>
            </w:r>
          </w:p>
          <w:p>
            <w:pPr>
              <w:pStyle w:val="ListBullet"/>
              <w:spacing w:before="0" w:after="20" w:line="254" w:lineRule="auto"/>
            </w:pPr>
            <w:r>
              <w:rPr>
                <w:rFonts w:ascii="Calibri" w:hAnsi="Calibri"/>
                <w:color w:val="334155"/>
                <w:sz w:val="16"/>
              </w:rPr>
            </w:r>
            <w:r>
              <w:rPr>
                <w:rFonts w:ascii="Calibri" w:hAnsi="Calibri"/>
                <w:b/>
                <w:color w:val="0F172A"/>
                <w:sz w:val="16"/>
              </w:rPr>
              <w:t>Red y Alta Disponibilidad:</w:t>
            </w:r>
            <w:r>
              <w:rPr>
                <w:rFonts w:ascii="Calibri" w:hAnsi="Calibri"/>
                <w:color w:val="334155"/>
                <w:sz w:val="16"/>
              </w:rPr>
              <w:t xml:space="preserve"> Subred NAT cliente-servidor, doble controlador de dominio (Windows Server 2022 Principal + Réplica), replicación DNS y </w:t>
            </w:r>
            <w:r>
              <w:rPr>
                <w:rFonts w:ascii="Calibri" w:hAnsi="Calibri"/>
                <w:b/>
                <w:color w:val="0F172A"/>
                <w:sz w:val="16"/>
              </w:rPr>
              <w:t>DHCP Failover 50/50</w:t>
            </w:r>
            <w:r>
              <w:rPr>
                <w:rFonts w:ascii="Calibri" w:hAnsi="Calibri"/>
                <w:color w:val="334155"/>
                <w:sz w:val="16"/>
              </w:rPr>
              <w:t>.</w:t>
            </w:r>
          </w:p>
          <w:p>
            <w:pPr>
              <w:pStyle w:val="ListBullet"/>
              <w:spacing w:before="0" w:after="20" w:line="254" w:lineRule="auto"/>
            </w:pPr>
            <w:r>
              <w:rPr>
                <w:rFonts w:ascii="Calibri" w:hAnsi="Calibri"/>
                <w:color w:val="334155"/>
                <w:sz w:val="16"/>
              </w:rPr>
            </w:r>
            <w:r>
              <w:rPr>
                <w:rFonts w:ascii="Calibri" w:hAnsi="Calibri"/>
                <w:b/>
                <w:color w:val="0F172A"/>
                <w:sz w:val="16"/>
              </w:rPr>
              <w:t>Servicios Web y SSO:</w:t>
            </w:r>
            <w:r>
              <w:rPr>
                <w:rFonts w:ascii="Calibri" w:hAnsi="Calibri"/>
                <w:color w:val="334155"/>
                <w:sz w:val="16"/>
              </w:rPr>
              <w:t xml:space="preserve"> Servidor Linux LAMP (Ubuntu Server) con integración </w:t>
            </w:r>
            <w:r>
              <w:rPr>
                <w:rFonts w:ascii="Calibri" w:hAnsi="Calibri"/>
                <w:b/>
                <w:color w:val="0F172A"/>
                <w:sz w:val="16"/>
              </w:rPr>
              <w:t>LDAP/Active Directory</w:t>
            </w:r>
            <w:r>
              <w:rPr>
                <w:rFonts w:ascii="Calibri" w:hAnsi="Calibri"/>
                <w:color w:val="334155"/>
                <w:sz w:val="16"/>
              </w:rPr>
              <w:t xml:space="preserve"> para login único en WordPress y Moodle.</w:t>
            </w:r>
          </w:p>
          <w:p>
            <w:pPr>
              <w:pStyle w:val="ListBullet"/>
              <w:spacing w:before="0" w:after="20" w:line="254" w:lineRule="auto"/>
            </w:pPr>
            <w:r>
              <w:rPr>
                <w:rFonts w:ascii="Calibri" w:hAnsi="Calibri"/>
                <w:color w:val="334155"/>
                <w:sz w:val="16"/>
              </w:rPr>
            </w:r>
            <w:r>
              <w:rPr>
                <w:rFonts w:ascii="Calibri" w:hAnsi="Calibri"/>
                <w:b/>
                <w:color w:val="0F172A"/>
                <w:sz w:val="16"/>
              </w:rPr>
              <w:t>Estandarización y Memoria:</w:t>
            </w:r>
            <w:r>
              <w:rPr>
                <w:rFonts w:ascii="Calibri" w:hAnsi="Calibri"/>
                <w:color w:val="334155"/>
                <w:sz w:val="16"/>
              </w:rPr>
              <w:t xml:space="preserve"> Directivas GPO de configuración corporativa y redacción de memoria técnica de 53 páginas con diagramas y manuales.</w:t>
            </w:r>
          </w:p>
        </w:tc>
      </w:tr>
    </w:tbl>
    <w:sectPr w:rsidR="00FC693F" w:rsidRPr="0006063C" w:rsidSect="00034616">
      <w:pgSz w:w="11909" w:h="16834"/>
      <w:pgMar w:top="461" w:right="576" w:bottom="461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