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540" w:type="dxa"/>
        <w:tblInd w:w="1316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92"/>
        <w:gridCol w:w="1206"/>
      </w:tblGrid>
      <w:tr w:rsidR="00752F9F" w14:paraId="1D7FF37D" w14:textId="77777777" w:rsidTr="00CB726E">
        <w:trPr>
          <w:trHeight w:val="458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81CB67D" w14:textId="1D4B5D91" w:rsidR="00752F9F" w:rsidRDefault="00CB726E">
            <w:pPr>
              <w:spacing w:after="0" w:line="259" w:lineRule="auto"/>
              <w:ind w:left="0" w:right="110" w:firstLine="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</w:t>
            </w:r>
          </w:p>
        </w:tc>
        <w:tc>
          <w:tcPr>
            <w:tcW w:w="43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19EA4" w14:textId="7BC9F638" w:rsidR="00752F9F" w:rsidRDefault="00CB726E">
            <w:pPr>
              <w:spacing w:after="0" w:line="259" w:lineRule="auto"/>
              <w:ind w:left="-115" w:right="-517" w:firstLine="0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TIVIDA</w:t>
            </w:r>
            <w:r>
              <w:rPr>
                <w:rFonts w:ascii="Arial" w:eastAsia="Arial" w:hAnsi="Arial" w:cs="Arial"/>
                <w:b/>
                <w:color w:val="000000"/>
                <w:sz w:val="26"/>
              </w:rPr>
              <w:t xml:space="preserve">DE WORD </w:t>
            </w:r>
            <w:r>
              <w:rPr>
                <w:noProof/>
              </w:rPr>
              <w:drawing>
                <wp:inline distT="0" distB="0" distL="0" distR="0" wp14:anchorId="0DF7ACBF" wp14:editId="71AACC2A">
                  <wp:extent cx="2809875" cy="365760"/>
                  <wp:effectExtent l="0" t="0" r="0" b="0"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F9F" w14:paraId="66D4582F" w14:textId="77777777" w:rsidTr="00CB726E">
        <w:trPr>
          <w:trHeight w:val="323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CA44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Curso: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73F7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U.C.: Comunicação e Redação Técnica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755C" w14:textId="77777777" w:rsidR="00752F9F" w:rsidRDefault="00CB726E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Data:  </w:t>
            </w:r>
          </w:p>
        </w:tc>
      </w:tr>
      <w:tr w:rsidR="00752F9F" w14:paraId="0494CE3D" w14:textId="77777777" w:rsidTr="00CB726E">
        <w:trPr>
          <w:trHeight w:val="620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F663" w14:textId="77777777" w:rsidR="00752F9F" w:rsidRDefault="00CB726E">
            <w:pPr>
              <w:spacing w:after="14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  <w:p w14:paraId="12C422B6" w14:textId="7F9A14B5" w:rsidR="00752F9F" w:rsidRDefault="00CB726E">
            <w:pPr>
              <w:spacing w:after="19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>Nome do Aluno: Gustavo Roberto Da Silva</w:t>
            </w:r>
          </w:p>
          <w:p w14:paraId="09746594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4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A0DA" w14:textId="77777777" w:rsidR="00752F9F" w:rsidRDefault="00CB726E">
            <w:pPr>
              <w:spacing w:after="14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Nome do(a) Instrutor(a):  </w:t>
            </w:r>
          </w:p>
          <w:p w14:paraId="5C4CACFA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</w:tc>
      </w:tr>
      <w:tr w:rsidR="00752F9F" w14:paraId="1D2517FF" w14:textId="77777777" w:rsidTr="00CB726E">
        <w:trPr>
          <w:trHeight w:val="620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9E59" w14:textId="77777777" w:rsidR="00752F9F" w:rsidRDefault="00CB726E">
            <w:pPr>
              <w:spacing w:after="19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  <w:p w14:paraId="549FB245" w14:textId="77777777" w:rsidR="00752F9F" w:rsidRDefault="00CB726E">
            <w:pPr>
              <w:spacing w:after="19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Valor da atividade: 10 </w:t>
            </w:r>
          </w:p>
          <w:p w14:paraId="0D86D72A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</w:tc>
        <w:tc>
          <w:tcPr>
            <w:tcW w:w="4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90E6C" w14:textId="77777777" w:rsidR="00752F9F" w:rsidRDefault="00CB726E">
            <w:pPr>
              <w:spacing w:after="14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Pontos Obtidos: </w:t>
            </w:r>
          </w:p>
          <w:p w14:paraId="55AB067F" w14:textId="77777777" w:rsidR="00752F9F" w:rsidRDefault="00CB726E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</w:t>
            </w:r>
          </w:p>
        </w:tc>
      </w:tr>
    </w:tbl>
    <w:p w14:paraId="33164DA8" w14:textId="77777777" w:rsidR="00752F9F" w:rsidRDefault="00CB726E">
      <w:pPr>
        <w:spacing w:after="221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79ADEC76" w14:textId="77777777" w:rsidR="00752F9F" w:rsidRDefault="00CB726E">
      <w:pPr>
        <w:spacing w:after="201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4"/>
        </w:rPr>
        <w:t xml:space="preserve">Aplique as seguintes formatações no texto das Folhas 02 e 03: </w:t>
      </w:r>
    </w:p>
    <w:p w14:paraId="2055612E" w14:textId="77777777" w:rsidR="00752F9F" w:rsidRDefault="00CB726E">
      <w:pPr>
        <w:spacing w:after="206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67DF45C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>Configure o tamanho das páginas: folha A4, Esquerda 1.5</w:t>
      </w:r>
      <w:proofErr w:type="gramStart"/>
      <w:r>
        <w:rPr>
          <w:rFonts w:ascii="Arial" w:eastAsia="Arial" w:hAnsi="Arial" w:cs="Arial"/>
          <w:color w:val="000000"/>
          <w:sz w:val="24"/>
        </w:rPr>
        <w:t>cm ,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Superior 4cm, Direita 1,5cm, Inferior 2,5cm. </w:t>
      </w:r>
    </w:p>
    <w:p w14:paraId="29142E50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>Formate o Título: Fonte Arial, 14, Caixa Alta, cor automática, negrito, alinhamento a</w:t>
      </w:r>
      <w:r>
        <w:rPr>
          <w:rFonts w:ascii="Arial" w:eastAsia="Arial" w:hAnsi="Arial" w:cs="Arial"/>
          <w:color w:val="000000"/>
          <w:sz w:val="24"/>
        </w:rPr>
        <w:t xml:space="preserve"> esquerda </w:t>
      </w:r>
    </w:p>
    <w:p w14:paraId="06417215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 xml:space="preserve">Formate o subtítulo: Fonte Arial, 12, Caixa Alta, cor automática, negrito, alinhamento a esquerda </w:t>
      </w:r>
    </w:p>
    <w:p w14:paraId="17C239E4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 xml:space="preserve">Corpo do texto: Fonte Arial, 12, cor automática, alinhamento justificado. </w:t>
      </w:r>
    </w:p>
    <w:p w14:paraId="1133A464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>Corpo do texto: Formatar parágrafo, colocar primeira linha 1,25, espaça</w:t>
      </w:r>
      <w:r>
        <w:rPr>
          <w:rFonts w:ascii="Arial" w:eastAsia="Arial" w:hAnsi="Arial" w:cs="Arial"/>
          <w:color w:val="000000"/>
          <w:sz w:val="24"/>
        </w:rPr>
        <w:t xml:space="preserve">mento entre linhas, 1,5 </w:t>
      </w:r>
    </w:p>
    <w:p w14:paraId="05364B87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 xml:space="preserve">Procure na internet 2 imagens que possuam relação com o texto, insira no texto e formate o tamanho adequado. Faça quebra de texto automático da imagem e ajuste a imagem de acordo com o conteúdo. </w:t>
      </w:r>
    </w:p>
    <w:p w14:paraId="0EFC1A31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>Insira o número de página no cabeça</w:t>
      </w:r>
      <w:r>
        <w:rPr>
          <w:rFonts w:ascii="Arial" w:eastAsia="Arial" w:hAnsi="Arial" w:cs="Arial"/>
          <w:color w:val="000000"/>
          <w:sz w:val="24"/>
        </w:rPr>
        <w:t xml:space="preserve">lho à direita. </w:t>
      </w:r>
    </w:p>
    <w:p w14:paraId="78857A5A" w14:textId="77777777" w:rsidR="00752F9F" w:rsidRDefault="00CB726E">
      <w:pPr>
        <w:numPr>
          <w:ilvl w:val="0"/>
          <w:numId w:val="1"/>
        </w:numPr>
        <w:spacing w:after="217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 xml:space="preserve">Insira no rodapé </w:t>
      </w:r>
      <w:proofErr w:type="gramStart"/>
      <w:r>
        <w:rPr>
          <w:rFonts w:ascii="Arial" w:eastAsia="Arial" w:hAnsi="Arial" w:cs="Arial"/>
          <w:color w:val="000000"/>
          <w:sz w:val="24"/>
        </w:rPr>
        <w:t>“ Centro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de Formação Profissional </w:t>
      </w:r>
      <w:proofErr w:type="spellStart"/>
      <w:r>
        <w:rPr>
          <w:rFonts w:ascii="Arial" w:eastAsia="Arial" w:hAnsi="Arial" w:cs="Arial"/>
          <w:color w:val="000000"/>
          <w:sz w:val="24"/>
        </w:rPr>
        <w:t>xxxx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(nome da sua escola)”, centralizado. </w:t>
      </w:r>
    </w:p>
    <w:p w14:paraId="33B3C382" w14:textId="77777777" w:rsidR="00752F9F" w:rsidRDefault="00CB726E">
      <w:pPr>
        <w:numPr>
          <w:ilvl w:val="0"/>
          <w:numId w:val="1"/>
        </w:numPr>
        <w:spacing w:after="405" w:line="25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</w:rPr>
        <w:t xml:space="preserve">Salvar arquivo com o </w:t>
      </w:r>
      <w:proofErr w:type="gramStart"/>
      <w:r>
        <w:rPr>
          <w:rFonts w:ascii="Arial" w:eastAsia="Arial" w:hAnsi="Arial" w:cs="Arial"/>
          <w:color w:val="000000"/>
          <w:sz w:val="24"/>
        </w:rPr>
        <w:t>nome  –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Atividade Final EAD-  nome do aluno, no local indicado pelo instrutor presencial (</w:t>
      </w:r>
      <w:proofErr w:type="spellStart"/>
      <w:r>
        <w:rPr>
          <w:rFonts w:ascii="Arial" w:eastAsia="Arial" w:hAnsi="Arial" w:cs="Arial"/>
          <w:color w:val="000000"/>
          <w:sz w:val="24"/>
        </w:rPr>
        <w:t>google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class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) </w:t>
      </w:r>
    </w:p>
    <w:p w14:paraId="126032F6" w14:textId="77777777" w:rsidR="00752F9F" w:rsidRDefault="00CB726E">
      <w:pPr>
        <w:spacing w:after="234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5DE8DEC6" w14:textId="16868EAB" w:rsidR="00DD2E3B" w:rsidRDefault="00CB726E" w:rsidP="00DD2E3B">
      <w:pPr>
        <w:spacing w:after="0" w:line="365" w:lineRule="auto"/>
        <w:ind w:left="0" w:right="8413" w:firstLine="0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 xml:space="preserve">  </w:t>
      </w:r>
    </w:p>
    <w:p w14:paraId="13BC7BA2" w14:textId="77777777" w:rsidR="00752F9F" w:rsidRDefault="00752F9F">
      <w:pPr>
        <w:spacing w:after="0" w:line="365" w:lineRule="auto"/>
        <w:ind w:left="0" w:right="8413" w:firstLine="0"/>
      </w:pPr>
    </w:p>
    <w:p w14:paraId="1ADCC12A" w14:textId="231F2C1A" w:rsidR="00752F9F" w:rsidRPr="00FE239E" w:rsidRDefault="00FE239E">
      <w:pPr>
        <w:spacing w:after="0" w:line="276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E239E">
        <w:rPr>
          <w:rFonts w:ascii="Arial" w:eastAsia="Calibri" w:hAnsi="Arial" w:cs="Arial"/>
          <w:b/>
          <w:color w:val="auto"/>
          <w:sz w:val="28"/>
          <w:szCs w:val="28"/>
        </w:rPr>
        <w:t xml:space="preserve">DIA NACIONAL DE PREVENÇÃO DE ACIDENTES DO TRABALHO: COMO AGIR PARA PREVENIR? </w:t>
      </w:r>
    </w:p>
    <w:p w14:paraId="21EB3297" w14:textId="77777777" w:rsidR="00752F9F" w:rsidRDefault="00CB726E">
      <w:pPr>
        <w:spacing w:after="201" w:line="259" w:lineRule="auto"/>
        <w:ind w:left="0" w:firstLine="0"/>
      </w:pPr>
      <w:r>
        <w:t xml:space="preserve"> </w:t>
      </w:r>
    </w:p>
    <w:p w14:paraId="57008586" w14:textId="77777777" w:rsidR="00752F9F" w:rsidRPr="00DC6B0B" w:rsidRDefault="00CB726E" w:rsidP="000C0ED6">
      <w:pPr>
        <w:spacing w:line="360" w:lineRule="auto"/>
        <w:ind w:left="-6" w:right="17" w:hanging="11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No dia 27 de julho é comemorado o Dia Nacional de Prevenção de Acidentes do Trabalho, que tem como foco conscientizar e estimular a redução dos acidentes e melhorar as condições de saúde e segurança em ambientes profissionais. O assunto é de interesse de e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mpresários, empregados e autoridades, uma vez que os altos índices de frequência e gravidade das ocorrências fazem com que este tema necessite ser analisado com seriedade. </w:t>
      </w:r>
    </w:p>
    <w:p w14:paraId="4A0F4823" w14:textId="77777777" w:rsidR="00752F9F" w:rsidRPr="00DC6B0B" w:rsidRDefault="00CB726E" w:rsidP="005E7731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74F341E" w14:textId="27768A42" w:rsidR="00752F9F" w:rsidRPr="00DC6B0B" w:rsidRDefault="00E22DA6" w:rsidP="000C0ED6">
      <w:pPr>
        <w:spacing w:line="360" w:lineRule="auto"/>
        <w:ind w:left="-6" w:right="17" w:hanging="1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2EE554" wp14:editId="28D17805">
            <wp:simplePos x="0" y="0"/>
            <wp:positionH relativeFrom="margin">
              <wp:posOffset>2926080</wp:posOffset>
            </wp:positionH>
            <wp:positionV relativeFrom="margin">
              <wp:posOffset>3399790</wp:posOffset>
            </wp:positionV>
            <wp:extent cx="3552825" cy="24841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26E" w:rsidRPr="00DC6B0B">
        <w:rPr>
          <w:rFonts w:ascii="Arial" w:hAnsi="Arial" w:cs="Arial"/>
          <w:color w:val="auto"/>
          <w:sz w:val="24"/>
          <w:szCs w:val="24"/>
        </w:rPr>
        <w:t>De acordo com dados do Instituto Nacional de Seguridade Social - INSS, foram regi</w:t>
      </w:r>
      <w:r w:rsidR="00CB726E" w:rsidRPr="00DC6B0B">
        <w:rPr>
          <w:rFonts w:ascii="Arial" w:hAnsi="Arial" w:cs="Arial"/>
          <w:color w:val="auto"/>
          <w:sz w:val="24"/>
          <w:szCs w:val="24"/>
        </w:rPr>
        <w:t>strados 1.913.616 acidentes entre 2014 e 2016, somando mais de 1.700 ocorrências por dia somente no Brasil. Deste total, 41.655 tiveram como resultado a incapacidade permanente do trabalhador e 7.630 foram casos de óbito. Neste período, o custo com benefíc</w:t>
      </w:r>
      <w:r w:rsidR="00CB726E" w:rsidRPr="00DC6B0B">
        <w:rPr>
          <w:rFonts w:ascii="Arial" w:hAnsi="Arial" w:cs="Arial"/>
          <w:color w:val="auto"/>
          <w:sz w:val="24"/>
          <w:szCs w:val="24"/>
        </w:rPr>
        <w:t xml:space="preserve">ios acidentários </w:t>
      </w:r>
      <w:r w:rsidR="00CB726E" w:rsidRPr="00DC6B0B">
        <w:rPr>
          <w:rFonts w:ascii="Arial" w:hAnsi="Arial" w:cs="Arial"/>
          <w:color w:val="auto"/>
          <w:sz w:val="24"/>
          <w:szCs w:val="24"/>
        </w:rPr>
        <w:t>–</w:t>
      </w:r>
      <w:r w:rsidR="00CB726E" w:rsidRPr="00DC6B0B">
        <w:rPr>
          <w:rFonts w:ascii="Arial" w:hAnsi="Arial" w:cs="Arial"/>
          <w:color w:val="auto"/>
          <w:sz w:val="24"/>
          <w:szCs w:val="24"/>
        </w:rPr>
        <w:t xml:space="preserve"> que incluem a aposentadoria por invalidez, a pensão por morte e os auxílios </w:t>
      </w:r>
      <w:proofErr w:type="spellStart"/>
      <w:r w:rsidR="00CB726E" w:rsidRPr="00DC6B0B">
        <w:rPr>
          <w:rFonts w:ascii="Arial" w:hAnsi="Arial" w:cs="Arial"/>
          <w:color w:val="auto"/>
          <w:sz w:val="24"/>
          <w:szCs w:val="24"/>
        </w:rPr>
        <w:t>doençaacidentário</w:t>
      </w:r>
      <w:proofErr w:type="spellEnd"/>
      <w:r w:rsidR="00CB726E" w:rsidRPr="00DC6B0B">
        <w:rPr>
          <w:rFonts w:ascii="Arial" w:hAnsi="Arial" w:cs="Arial"/>
          <w:color w:val="auto"/>
          <w:sz w:val="24"/>
          <w:szCs w:val="24"/>
        </w:rPr>
        <w:t xml:space="preserve"> </w:t>
      </w:r>
      <w:r w:rsidR="00CB726E" w:rsidRPr="00DC6B0B">
        <w:rPr>
          <w:rFonts w:ascii="Arial" w:hAnsi="Arial" w:cs="Arial"/>
          <w:color w:val="auto"/>
          <w:sz w:val="24"/>
          <w:szCs w:val="24"/>
        </w:rPr>
        <w:t>–</w:t>
      </w:r>
      <w:r w:rsidR="00CB726E" w:rsidRPr="00DC6B0B">
        <w:rPr>
          <w:rFonts w:ascii="Arial" w:hAnsi="Arial" w:cs="Arial"/>
          <w:color w:val="auto"/>
          <w:sz w:val="24"/>
          <w:szCs w:val="24"/>
        </w:rPr>
        <w:t xml:space="preserve"> ultrapassa a casa de 1,02 bilhão. Os grupos de doença mais recorrentes são aqueles relativos aos traumas/ferimentos, aqueles vinculados à LER</w:t>
      </w:r>
      <w:r w:rsidR="00CB726E" w:rsidRPr="00DC6B0B">
        <w:rPr>
          <w:rFonts w:ascii="Arial" w:hAnsi="Arial" w:cs="Arial"/>
          <w:color w:val="auto"/>
          <w:sz w:val="24"/>
          <w:szCs w:val="24"/>
        </w:rPr>
        <w:t xml:space="preserve">/DORT e os transtornos metais. </w:t>
      </w:r>
    </w:p>
    <w:p w14:paraId="448F2EBA" w14:textId="77777777" w:rsidR="00752F9F" w:rsidRPr="00DC6B0B" w:rsidRDefault="00CB726E" w:rsidP="00DC6B0B">
      <w:pPr>
        <w:spacing w:after="0" w:line="259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4006884" w14:textId="42B7F5FB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Quanto aos critérios para considerar um acidente do trabalho, a Lei 8.123/91 pontua que acidente do trabalho é o que ocorre pelo exercício do trabalho a serviço de empresa ou de empregador doméstico ou pelo exercício do tr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abalho do segurado (autônomos), provocando lesão corporal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ou perturbação funcional que cause a morte ou a perda ou redução, permanente ou temporária,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da capacidade para o trabalho. A mesma lei equipara à acidente do trabalho as doenças </w:t>
      </w:r>
      <w:r w:rsidRPr="00DC6B0B">
        <w:rPr>
          <w:rFonts w:ascii="Arial" w:hAnsi="Arial" w:cs="Arial"/>
          <w:color w:val="auto"/>
          <w:sz w:val="24"/>
          <w:szCs w:val="24"/>
        </w:rPr>
        <w:t>profissionais, as do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enças do trabalho e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o acidente de trajeto, sendo este último aquele sofrido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pelo trabalhador no percurso da residência para o local de trabalho ou vice-versa, desde que em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percurso e horários compatíveis com a jornada de trabalho. </w:t>
      </w:r>
    </w:p>
    <w:p w14:paraId="5EB66CB6" w14:textId="70D9000A" w:rsidR="00752F9F" w:rsidRDefault="00CB726E">
      <w:pPr>
        <w:spacing w:after="0" w:line="259" w:lineRule="auto"/>
        <w:ind w:left="0" w:firstLine="0"/>
      </w:pPr>
      <w:r>
        <w:lastRenderedPageBreak/>
        <w:t xml:space="preserve"> </w:t>
      </w:r>
    </w:p>
    <w:p w14:paraId="17757D61" w14:textId="16AE8B9C" w:rsidR="00752F9F" w:rsidRPr="00FE239E" w:rsidRDefault="00FE239E">
      <w:pPr>
        <w:ind w:left="-5" w:right="17"/>
        <w:rPr>
          <w:rFonts w:ascii="Arial" w:hAnsi="Arial" w:cs="Arial"/>
          <w:b/>
          <w:bCs/>
          <w:color w:val="auto"/>
          <w:sz w:val="24"/>
          <w:szCs w:val="24"/>
        </w:rPr>
      </w:pPr>
      <w:r w:rsidRPr="00FE239E">
        <w:rPr>
          <w:rFonts w:ascii="Arial" w:hAnsi="Arial" w:cs="Arial"/>
          <w:b/>
          <w:bCs/>
          <w:color w:val="auto"/>
          <w:sz w:val="24"/>
          <w:szCs w:val="24"/>
        </w:rPr>
        <w:t xml:space="preserve">OS TRANSTORNOS MENTAIS E A RELAÇÃO COM O TRABALHO </w:t>
      </w:r>
    </w:p>
    <w:p w14:paraId="11579E00" w14:textId="5524AF57" w:rsidR="00752F9F" w:rsidRDefault="00CB726E">
      <w:pPr>
        <w:spacing w:after="0" w:line="259" w:lineRule="auto"/>
        <w:ind w:left="0" w:firstLine="0"/>
      </w:pPr>
      <w:r>
        <w:t xml:space="preserve"> </w:t>
      </w:r>
    </w:p>
    <w:p w14:paraId="69551C78" w14:textId="01BEFB0C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O engenheiro de segurança do trabalho e professor do IPOG, </w:t>
      </w:r>
      <w:proofErr w:type="spellStart"/>
      <w:r w:rsidRPr="00DC6B0B">
        <w:rPr>
          <w:rFonts w:ascii="Arial" w:hAnsi="Arial" w:cs="Arial"/>
          <w:color w:val="auto"/>
          <w:sz w:val="24"/>
          <w:szCs w:val="24"/>
        </w:rPr>
        <w:t>Taynan</w:t>
      </w:r>
      <w:proofErr w:type="spellEnd"/>
      <w:r w:rsidRPr="00DC6B0B">
        <w:rPr>
          <w:rFonts w:ascii="Arial" w:hAnsi="Arial" w:cs="Arial"/>
          <w:color w:val="auto"/>
          <w:sz w:val="24"/>
          <w:szCs w:val="24"/>
        </w:rPr>
        <w:t xml:space="preserve"> Alexandre Camilo, explica que o crescimento das doenças psicossociais e transtornos mentais ligados ao trabalho vem chamando a atenção das autoridades e, inclu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sive, foi o tema central do Programa Trabalho Seguro do Tribunal Superior do Trabalho (TST) no biênio 2016/2017, reunindo especialistas do mundo inteiro em Brasília-DF, para tratar do tema. </w:t>
      </w:r>
      <w:r w:rsidR="00E22DA6">
        <w:rPr>
          <w:noProof/>
        </w:rPr>
        <w:drawing>
          <wp:anchor distT="0" distB="0" distL="114300" distR="114300" simplePos="0" relativeHeight="251660288" behindDoc="0" locked="0" layoutInCell="1" allowOverlap="1" wp14:anchorId="16B1A8EB" wp14:editId="2D4AABB1">
            <wp:simplePos x="533400" y="4591050"/>
            <wp:positionH relativeFrom="margin">
              <wp:align>left</wp:align>
            </wp:positionH>
            <wp:positionV relativeFrom="margin">
              <wp:align>center</wp:align>
            </wp:positionV>
            <wp:extent cx="3333750" cy="2238375"/>
            <wp:effectExtent l="0" t="0" r="0" b="9525"/>
            <wp:wrapSquare wrapText="bothSides"/>
            <wp:docPr id="1" name="Imagem 1" descr="Transtornos mentais podem estar relacionados ao trabalh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tornos mentais podem estar relacionados ao trabalho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229D3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C7B2B49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“A exigência por metas cada vez mais inatingíveis aliadas a uma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avaliação meramente </w:t>
      </w:r>
      <w:r w:rsidRPr="00DC6B0B">
        <w:rPr>
          <w:rFonts w:ascii="Arial" w:hAnsi="Arial" w:cs="Arial"/>
          <w:color w:val="auto"/>
          <w:sz w:val="24"/>
          <w:szCs w:val="24"/>
        </w:rPr>
        <w:t>quantitativa do trabalho, com foco somente no resultado e desconsiderando outros fatores, são perversas para o trabalhador. A qualidade de um vendedor, por exemplo, é avaliada somente pelo valor total de suas vendas, porém, a concretiz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ação da venda está muito mais condicionada à vontade do comprador de adquirir o produto do que ao desempenho da atividade do vendedor. Não importa o quanto o vendedor conheça o produto, </w:t>
      </w:r>
      <w:proofErr w:type="gramStart"/>
      <w:r w:rsidRPr="00DC6B0B">
        <w:rPr>
          <w:rFonts w:ascii="Arial" w:hAnsi="Arial" w:cs="Arial"/>
          <w:color w:val="auto"/>
          <w:sz w:val="24"/>
          <w:szCs w:val="24"/>
        </w:rPr>
        <w:t>o quão primorosa</w:t>
      </w:r>
      <w:proofErr w:type="gramEnd"/>
      <w:r w:rsidRPr="00DC6B0B">
        <w:rPr>
          <w:rFonts w:ascii="Arial" w:hAnsi="Arial" w:cs="Arial"/>
          <w:color w:val="auto"/>
          <w:sz w:val="24"/>
          <w:szCs w:val="24"/>
        </w:rPr>
        <w:t xml:space="preserve"> seja a apresentação do produto, a decisão final não p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ertence a ele. Há casos que mesmo a vontade do comprador em adquirir o tal produto é insuficiente para a concretização da venda, pois esta passa a depender da avaliação de crédito. Se o comprador não tiver o nome limpo, nem a vontade do vendedor em vender </w:t>
      </w:r>
      <w:r w:rsidRPr="00DC6B0B">
        <w:rPr>
          <w:rFonts w:ascii="Arial" w:hAnsi="Arial" w:cs="Arial"/>
          <w:color w:val="auto"/>
          <w:sz w:val="24"/>
          <w:szCs w:val="24"/>
        </w:rPr>
        <w:t>e nem a vontade do comprador em comprar resultarão na venda, única variável que importa para bater as metas, e todo o trabalho do vendedor terá sido em vão. Como o trabalhador se sente ao perceber que mesmo tendo colocado todo seu empenho, o resultado (ven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da) não pode ser atingido por questões que estão fora da sua alçada </w:t>
      </w:r>
      <w:r w:rsidRPr="00DC6B0B">
        <w:rPr>
          <w:rFonts w:ascii="Arial" w:hAnsi="Arial" w:cs="Arial"/>
          <w:color w:val="auto"/>
          <w:sz w:val="24"/>
          <w:szCs w:val="24"/>
        </w:rPr>
        <w:t>de controle? É desestimulante, para dizer o mínimo!” comenta o especialista.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389319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16FE399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DC6B0B">
        <w:rPr>
          <w:rFonts w:ascii="Arial" w:hAnsi="Arial" w:cs="Arial"/>
          <w:color w:val="auto"/>
          <w:sz w:val="24"/>
          <w:szCs w:val="24"/>
        </w:rPr>
        <w:t>Taynan</w:t>
      </w:r>
      <w:proofErr w:type="spellEnd"/>
      <w:r w:rsidRPr="00DC6B0B">
        <w:rPr>
          <w:rFonts w:ascii="Arial" w:hAnsi="Arial" w:cs="Arial"/>
          <w:color w:val="auto"/>
          <w:sz w:val="24"/>
          <w:szCs w:val="24"/>
        </w:rPr>
        <w:t xml:space="preserve"> destaca ainda que, pela dificuldade da formação do nexo causal entre o transtorno e o ambiente de tra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balho, a subnotificação nos casos de transtornos mentais tende a ser maior que nas demais doenças, colocando uma cortina de fumaça sobre o problema e fazendo com que, </w:t>
      </w:r>
      <w:r w:rsidRPr="00DC6B0B">
        <w:rPr>
          <w:rFonts w:ascii="Arial" w:hAnsi="Arial" w:cs="Arial"/>
          <w:color w:val="auto"/>
          <w:sz w:val="24"/>
          <w:szCs w:val="24"/>
        </w:rPr>
        <w:lastRenderedPageBreak/>
        <w:t>na ausência da categorização da doença como acidente do trabalho, os trabalhadores tenham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direitos suprimidos. </w:t>
      </w:r>
    </w:p>
    <w:p w14:paraId="7C7B434A" w14:textId="77777777" w:rsidR="00752F9F" w:rsidRDefault="00CB726E">
      <w:pPr>
        <w:spacing w:after="0" w:line="259" w:lineRule="auto"/>
        <w:ind w:left="0" w:firstLine="0"/>
      </w:pPr>
      <w:r>
        <w:t xml:space="preserve"> </w:t>
      </w:r>
    </w:p>
    <w:p w14:paraId="1FD15E81" w14:textId="646D6CF2" w:rsidR="00752F9F" w:rsidRPr="00DC6B0B" w:rsidRDefault="00FE239E">
      <w:pPr>
        <w:ind w:left="-5" w:right="17"/>
        <w:rPr>
          <w:rFonts w:ascii="Arial" w:hAnsi="Arial" w:cs="Arial"/>
          <w:b/>
          <w:bCs/>
          <w:color w:val="auto"/>
          <w:sz w:val="24"/>
          <w:szCs w:val="24"/>
        </w:rPr>
      </w:pPr>
      <w:r w:rsidRPr="00DC6B0B">
        <w:rPr>
          <w:rFonts w:ascii="Arial" w:hAnsi="Arial" w:cs="Arial"/>
          <w:b/>
          <w:bCs/>
          <w:color w:val="auto"/>
          <w:sz w:val="24"/>
          <w:szCs w:val="24"/>
        </w:rPr>
        <w:t xml:space="preserve">COMO AGIR E PREVENIR? </w:t>
      </w:r>
    </w:p>
    <w:p w14:paraId="3E232EA4" w14:textId="77777777" w:rsidR="00752F9F" w:rsidRDefault="00CB726E">
      <w:pPr>
        <w:spacing w:after="0" w:line="259" w:lineRule="auto"/>
        <w:ind w:left="0" w:firstLine="0"/>
      </w:pPr>
      <w:r>
        <w:t xml:space="preserve"> </w:t>
      </w:r>
    </w:p>
    <w:p w14:paraId="66C110C2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A primeira dica do engenheiro de segurança do trabalho para que as empresas promovam melhorias e tornem o ambiente de trabalho mais seguro é um bom programa de prevenção de riscos, preferencialmente realiza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do por equipe multidisciplinar, que possa mapear todos as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situações que geram riscos ao trabalhador, incluindo os aspectos psicossociais. “Os programas </w:t>
      </w:r>
      <w:r w:rsidRPr="00DC6B0B">
        <w:rPr>
          <w:rFonts w:ascii="Arial" w:hAnsi="Arial" w:cs="Arial"/>
          <w:color w:val="auto"/>
          <w:sz w:val="24"/>
          <w:szCs w:val="24"/>
        </w:rPr>
        <w:t>de prevenção de riscos ambientais não devem ser só documentos para serem apresentados em uma possível fi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scalização ou em caso de demanda judicial. Eles devem sair das gavetas e serem </w:t>
      </w:r>
      <w:r w:rsidRPr="00DC6B0B">
        <w:rPr>
          <w:rFonts w:ascii="Arial" w:hAnsi="Arial" w:cs="Arial"/>
          <w:color w:val="auto"/>
          <w:sz w:val="24"/>
          <w:szCs w:val="24"/>
        </w:rPr>
        <w:t>colocados em prática”, complementa.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7ACD1BF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BF75C1C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Outro ponto chave: invista em treinamento e aperfeiçoamento dos trabalhadores, fazendo com que estes compreendam as particularidades do se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u trabalho e exerçam seu ofício da forma mais segura possível. Segurança do trabalho não deve ser tema pontual e sim um assunto constante: propague as informações, utilize cartazes de divulgação, coloque avisos em paredes, murais e equipamentos. </w:t>
      </w:r>
    </w:p>
    <w:p w14:paraId="3B958234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1B0CB2C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Com rel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ação ao fornecimento de equipamentos de proteção individual, o especialista destaca 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que esta é uma obrigação básica da empresa e não pode ser ignorada ou adiada. “Verifique se </w:t>
      </w:r>
      <w:r w:rsidRPr="00DC6B0B">
        <w:rPr>
          <w:rFonts w:ascii="Arial" w:hAnsi="Arial" w:cs="Arial"/>
          <w:color w:val="auto"/>
          <w:sz w:val="24"/>
          <w:szCs w:val="24"/>
        </w:rPr>
        <w:t>esses equipamentos estão em condições de uso, se necessitam de substituição ou r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eposição. </w:t>
      </w:r>
      <w:r w:rsidRPr="00DC6B0B">
        <w:rPr>
          <w:rFonts w:ascii="Arial" w:hAnsi="Arial" w:cs="Arial"/>
          <w:color w:val="auto"/>
          <w:sz w:val="24"/>
          <w:szCs w:val="24"/>
        </w:rPr>
        <w:t>Garanta a funcionalidade de cada um deles”, acr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escenta. </w:t>
      </w:r>
    </w:p>
    <w:p w14:paraId="266F3F5D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4DE8750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Outra dica é fortalecer e dar condições para o funcionamento da Comissão Interna de </w:t>
      </w:r>
    </w:p>
    <w:p w14:paraId="37F9C834" w14:textId="77777777" w:rsidR="00752F9F" w:rsidRPr="00DC6B0B" w:rsidRDefault="00CB726E" w:rsidP="000C0ED6">
      <w:pPr>
        <w:spacing w:after="0" w:line="360" w:lineRule="auto"/>
        <w:ind w:left="0" w:right="17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Prevenção de Acidentes (CIPA), que inclusive faz parte da Norma Regulamentadora (NR-5). A </w:t>
      </w:r>
      <w:r w:rsidRPr="00DC6B0B">
        <w:rPr>
          <w:rFonts w:ascii="Arial" w:hAnsi="Arial" w:cs="Arial"/>
          <w:color w:val="auto"/>
          <w:sz w:val="24"/>
          <w:szCs w:val="24"/>
        </w:rPr>
        <w:t>CIPA é uma forma de “dar voz” a quem realmente executa a atividade, a qu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em de fato está exposto aos riscos e condições nocivas no ambiente profissional. </w:t>
      </w:r>
    </w:p>
    <w:p w14:paraId="048238F4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2CF95C0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É importan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te que os trabalhadores compreendam suas obrigações, mas que também conheçam seus direitos. Por exemplo, em uma eventual situação de acidente, caso a empresa não faça a Comunicação do Acidente de Trabalho </w:t>
      </w:r>
      <w:r w:rsidRPr="00DC6B0B">
        <w:rPr>
          <w:rFonts w:ascii="Arial" w:hAnsi="Arial" w:cs="Arial"/>
          <w:color w:val="auto"/>
          <w:sz w:val="24"/>
          <w:szCs w:val="24"/>
        </w:rPr>
        <w:t>–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CAT </w:t>
      </w:r>
      <w:r w:rsidRPr="00DC6B0B">
        <w:rPr>
          <w:rFonts w:ascii="Arial" w:hAnsi="Arial" w:cs="Arial"/>
          <w:color w:val="auto"/>
          <w:sz w:val="24"/>
          <w:szCs w:val="24"/>
        </w:rPr>
        <w:t>–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no dia útil seguinte ao ocorrido, o próprio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  <w:r w:rsidRPr="00DC6B0B">
        <w:rPr>
          <w:rFonts w:ascii="Arial" w:hAnsi="Arial" w:cs="Arial"/>
          <w:color w:val="auto"/>
          <w:sz w:val="24"/>
          <w:szCs w:val="24"/>
        </w:rPr>
        <w:lastRenderedPageBreak/>
        <w:t xml:space="preserve">trabalhador, o sindicato ou até mesmo o médico que realizou o atendimento pode fazê-la, bastando apenas entrar em contato com a Previdência Social. </w:t>
      </w:r>
    </w:p>
    <w:p w14:paraId="40B0A790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4191DB9" w14:textId="77777777" w:rsidR="00752F9F" w:rsidRPr="00DC6B0B" w:rsidRDefault="00CB726E" w:rsidP="000C0ED6">
      <w:pPr>
        <w:spacing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>O papel dos líderes e gestores também é fundamental para melhoria no ambiente de trabalho. Estes devem s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empre se perguntar: os colaboradores conhecem os riscos e condições relativas </w:t>
      </w:r>
      <w:proofErr w:type="gramStart"/>
      <w:r w:rsidRPr="00DC6B0B">
        <w:rPr>
          <w:rFonts w:ascii="Arial" w:hAnsi="Arial" w:cs="Arial"/>
          <w:color w:val="auto"/>
          <w:sz w:val="24"/>
          <w:szCs w:val="24"/>
        </w:rPr>
        <w:t>a</w:t>
      </w:r>
      <w:proofErr w:type="gramEnd"/>
      <w:r w:rsidRPr="00DC6B0B">
        <w:rPr>
          <w:rFonts w:ascii="Arial" w:hAnsi="Arial" w:cs="Arial"/>
          <w:color w:val="auto"/>
          <w:sz w:val="24"/>
          <w:szCs w:val="24"/>
        </w:rPr>
        <w:t xml:space="preserve"> sua função? Os treinamentos foram suficientes e executados por profissionais legalmente habilitados? As metas propostas e métricas de avaliações são condizentes com as condiçõe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s de trabalho oferecidas? Eu me sentiria bem e profissionalmente realizado nas condições de trabalho que proporciono aos trabalhadores? </w:t>
      </w:r>
    </w:p>
    <w:p w14:paraId="629616F3" w14:textId="77777777" w:rsidR="00752F9F" w:rsidRPr="00DC6B0B" w:rsidRDefault="00CB726E" w:rsidP="000C0ED6">
      <w:pPr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2FB52D4" w14:textId="77777777" w:rsidR="00752F9F" w:rsidRPr="00DC6B0B" w:rsidRDefault="00CB726E" w:rsidP="000C0ED6">
      <w:pPr>
        <w:spacing w:after="214" w:line="360" w:lineRule="auto"/>
        <w:ind w:left="-5" w:right="17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Já em relação as doenças psicossociais, </w:t>
      </w:r>
      <w:proofErr w:type="spellStart"/>
      <w:r w:rsidRPr="00DC6B0B">
        <w:rPr>
          <w:rFonts w:ascii="Arial" w:hAnsi="Arial" w:cs="Arial"/>
          <w:color w:val="auto"/>
          <w:sz w:val="24"/>
          <w:szCs w:val="24"/>
        </w:rPr>
        <w:t>Taynan</w:t>
      </w:r>
      <w:proofErr w:type="spellEnd"/>
      <w:r w:rsidRPr="00DC6B0B">
        <w:rPr>
          <w:rFonts w:ascii="Arial" w:hAnsi="Arial" w:cs="Arial"/>
          <w:color w:val="auto"/>
          <w:sz w:val="24"/>
          <w:szCs w:val="24"/>
        </w:rPr>
        <w:t xml:space="preserve"> Camilo considera que se faz necessária uma </w:t>
      </w:r>
      <w:r w:rsidRPr="00DC6B0B">
        <w:rPr>
          <w:rFonts w:ascii="Arial" w:hAnsi="Arial" w:cs="Arial"/>
          <w:color w:val="auto"/>
          <w:sz w:val="24"/>
          <w:szCs w:val="24"/>
        </w:rPr>
        <w:t>abordagem mais profunda e q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ue envolva outros atores: “Várias áreas do conhecimento já </w:t>
      </w:r>
      <w:r w:rsidRPr="00DC6B0B">
        <w:rPr>
          <w:rFonts w:ascii="Arial" w:hAnsi="Arial" w:cs="Arial"/>
          <w:color w:val="auto"/>
          <w:sz w:val="24"/>
          <w:szCs w:val="24"/>
        </w:rPr>
        <w:t>possuem estudos e linhas de pesquisa dedicadas a examinar e analisar as relações de trabalho como, por exemplo, a administração, a psicologia e a sociologia. É fundamental que o papel dos administr</w:t>
      </w:r>
      <w:r w:rsidRPr="00DC6B0B">
        <w:rPr>
          <w:rFonts w:ascii="Arial" w:hAnsi="Arial" w:cs="Arial"/>
          <w:color w:val="auto"/>
          <w:sz w:val="24"/>
          <w:szCs w:val="24"/>
        </w:rPr>
        <w:t>adores não se resuma à análise de resultados em planilhas eletrônicas e que o papel dos psicólogos não seja somente de recrutamento e seleção. Em tese, suas formações acadêmicas os capacitaram para muito mais e eles precisam se tornar parceiros dos profiss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ionais de segurança do trabalho, somando forças para promover um ambiente de </w:t>
      </w:r>
      <w:r w:rsidRPr="00DC6B0B">
        <w:rPr>
          <w:rFonts w:ascii="Arial" w:hAnsi="Arial" w:cs="Arial"/>
          <w:color w:val="auto"/>
          <w:sz w:val="24"/>
          <w:szCs w:val="24"/>
        </w:rPr>
        <w:t>trabalho realmente saudável, em todos os aspectos”, finaliza o professor do IPOG.</w:t>
      </w: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EA54DBA" w14:textId="77777777" w:rsidR="00752F9F" w:rsidRPr="00DC6B0B" w:rsidRDefault="00CB726E" w:rsidP="00DC6B0B">
      <w:pPr>
        <w:spacing w:after="206" w:line="259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DC6B0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6A3DA0C" w14:textId="77777777" w:rsidR="00752F9F" w:rsidRDefault="00CB726E">
      <w:pPr>
        <w:spacing w:after="0" w:line="259" w:lineRule="auto"/>
        <w:ind w:left="0" w:firstLine="0"/>
      </w:pPr>
      <w:r>
        <w:t xml:space="preserve"> </w:t>
      </w:r>
    </w:p>
    <w:sectPr w:rsidR="00752F9F" w:rsidSect="00C03C0B">
      <w:headerReference w:type="default" r:id="rId11"/>
      <w:footerReference w:type="default" r:id="rId12"/>
      <w:footerReference w:type="first" r:id="rId13"/>
      <w:pgSz w:w="11904" w:h="16838" w:code="9"/>
      <w:pgMar w:top="2268" w:right="851" w:bottom="1418" w:left="851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5748" w14:textId="77777777" w:rsidR="0022165C" w:rsidRDefault="0022165C" w:rsidP="0022165C">
      <w:pPr>
        <w:spacing w:after="0" w:line="240" w:lineRule="auto"/>
      </w:pPr>
      <w:r>
        <w:separator/>
      </w:r>
    </w:p>
  </w:endnote>
  <w:endnote w:type="continuationSeparator" w:id="0">
    <w:p w14:paraId="497F776E" w14:textId="77777777" w:rsidR="0022165C" w:rsidRDefault="0022165C" w:rsidP="0022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D23A" w14:textId="3836FB95" w:rsidR="00DD2E3B" w:rsidRPr="00C03C0B" w:rsidRDefault="00DD2E3B" w:rsidP="00C03C0B">
    <w:pPr>
      <w:pStyle w:val="Rodap"/>
      <w:jc w:val="center"/>
      <w:rPr>
        <w:rFonts w:ascii="Arial" w:hAnsi="Arial" w:cs="Arial"/>
      </w:rPr>
    </w:pPr>
    <w:r w:rsidRPr="00C03C0B">
      <w:rPr>
        <w:rFonts w:ascii="Arial" w:hAnsi="Arial" w:cs="Arial"/>
      </w:rPr>
      <w:t xml:space="preserve">Centro de </w:t>
    </w:r>
    <w:r w:rsidR="00C03C0B" w:rsidRPr="00C03C0B">
      <w:rPr>
        <w:rFonts w:ascii="Arial" w:hAnsi="Arial" w:cs="Arial"/>
      </w:rPr>
      <w:t>Formação Profissional Senai FATEC</w:t>
    </w:r>
  </w:p>
  <w:p w14:paraId="5A3AF591" w14:textId="77777777" w:rsidR="00DD2E3B" w:rsidRDefault="00DD2E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4BE302B81743429206173F055D5848"/>
      </w:placeholder>
      <w:temporary/>
      <w:showingPlcHdr/>
      <w15:appearance w15:val="hidden"/>
    </w:sdtPr>
    <w:sdtContent>
      <w:p w14:paraId="2E49CFF8" w14:textId="77777777" w:rsidR="00DD2E3B" w:rsidRDefault="00DD2E3B">
        <w:pPr>
          <w:pStyle w:val="Rodap"/>
        </w:pPr>
        <w:r>
          <w:t>[Digite aqui]</w:t>
        </w:r>
      </w:p>
    </w:sdtContent>
  </w:sdt>
  <w:p w14:paraId="6E903B8F" w14:textId="77777777" w:rsidR="00DD2E3B" w:rsidRDefault="00DD2E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E778" w14:textId="77777777" w:rsidR="0022165C" w:rsidRDefault="0022165C" w:rsidP="0022165C">
      <w:pPr>
        <w:spacing w:after="0" w:line="240" w:lineRule="auto"/>
      </w:pPr>
      <w:r>
        <w:separator/>
      </w:r>
    </w:p>
  </w:footnote>
  <w:footnote w:type="continuationSeparator" w:id="0">
    <w:p w14:paraId="0292146F" w14:textId="77777777" w:rsidR="0022165C" w:rsidRDefault="0022165C" w:rsidP="0022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2BCC" w14:textId="77777777" w:rsidR="00C03C0B" w:rsidRDefault="00C03C0B">
    <w:pPr>
      <w:pStyle w:val="Cabealh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25E04E3E" w14:textId="77777777" w:rsidR="0022165C" w:rsidRDefault="002216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0B0D"/>
    <w:multiLevelType w:val="hybridMultilevel"/>
    <w:tmpl w:val="37506ABC"/>
    <w:lvl w:ilvl="0" w:tplc="078CC03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47B0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693B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404F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80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8DA6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E93C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48ED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CA6D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9F"/>
    <w:rsid w:val="000C0ED6"/>
    <w:rsid w:val="0022165C"/>
    <w:rsid w:val="005E7731"/>
    <w:rsid w:val="00653BAB"/>
    <w:rsid w:val="00752F9F"/>
    <w:rsid w:val="00C03C0B"/>
    <w:rsid w:val="00CB726E"/>
    <w:rsid w:val="00DC6B0B"/>
    <w:rsid w:val="00DD2E3B"/>
    <w:rsid w:val="00E22DA6"/>
    <w:rsid w:val="00E70DC2"/>
    <w:rsid w:val="00F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3F9F"/>
  <w15:docId w15:val="{3253D5B5-7325-4B6E-A8C3-4E86372C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mbria" w:eastAsia="Cambria" w:hAnsi="Cambria" w:cs="Cambria"/>
      <w:color w:val="444444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21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65C"/>
    <w:rPr>
      <w:rFonts w:ascii="Cambria" w:eastAsia="Cambria" w:hAnsi="Cambria" w:cs="Cambria"/>
      <w:color w:val="444444"/>
      <w:sz w:val="21"/>
    </w:rPr>
  </w:style>
  <w:style w:type="paragraph" w:styleId="Rodap">
    <w:name w:val="footer"/>
    <w:basedOn w:val="Normal"/>
    <w:link w:val="RodapChar"/>
    <w:uiPriority w:val="99"/>
    <w:unhideWhenUsed/>
    <w:rsid w:val="00221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65C"/>
    <w:rPr>
      <w:rFonts w:ascii="Cambria" w:eastAsia="Cambria" w:hAnsi="Cambria" w:cs="Cambria"/>
      <w:color w:val="444444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4BE302B81743429206173F055D5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36A15-2F5A-4191-A8FA-37469ED4DB88}"/>
      </w:docPartPr>
      <w:docPartBody>
        <w:p w:rsidR="00000000" w:rsidRDefault="005942D9" w:rsidP="005942D9">
          <w:pPr>
            <w:pStyle w:val="5E4BE302B81743429206173F055D5848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D9"/>
    <w:rsid w:val="005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4BE302B81743429206173F055D5848">
    <w:name w:val="5E4BE302B81743429206173F055D5848"/>
    <w:rsid w:val="00594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0EC80-0BD2-4545-A63A-078B86AD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1331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fiemg</dc:creator>
  <cp:keywords/>
  <cp:lastModifiedBy>gustavo roberto</cp:lastModifiedBy>
  <cp:revision>2</cp:revision>
  <dcterms:created xsi:type="dcterms:W3CDTF">2020-08-19T20:15:00Z</dcterms:created>
  <dcterms:modified xsi:type="dcterms:W3CDTF">2020-08-19T20:15:00Z</dcterms:modified>
</cp:coreProperties>
</file>