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1451032"/>
        <w:docPartObj>
          <w:docPartGallery w:val="Cover Pages"/>
          <w:docPartUnique/>
        </w:docPartObj>
      </w:sdtPr>
      <w:sdtContent>
        <w:p w14:paraId="2A3D7FAE" w14:textId="11CEFA56" w:rsidR="0065671B" w:rsidRDefault="0065671B">
          <w:r>
            <w:rPr>
              <w:noProof/>
            </w:rPr>
            <mc:AlternateContent>
              <mc:Choice Requires="wpg">
                <w:drawing>
                  <wp:anchor distT="0" distB="0" distL="114300" distR="114300" simplePos="0" relativeHeight="251659264" behindDoc="1" locked="0" layoutInCell="1" allowOverlap="1" wp14:anchorId="1457EF62" wp14:editId="38264D60">
                    <wp:simplePos x="0" y="0"/>
                    <wp:positionH relativeFrom="page">
                      <wp:posOffset>-51758</wp:posOffset>
                    </wp:positionH>
                    <wp:positionV relativeFrom="page">
                      <wp:posOffset>-60385</wp:posOffset>
                    </wp:positionV>
                    <wp:extent cx="7590742" cy="10782839"/>
                    <wp:effectExtent l="0" t="0" r="0" b="0"/>
                    <wp:wrapNone/>
                    <wp:docPr id="48" name="Grupo 48"/>
                    <wp:cNvGraphicFramePr/>
                    <a:graphic xmlns:a="http://schemas.openxmlformats.org/drawingml/2006/main">
                      <a:graphicData uri="http://schemas.microsoft.com/office/word/2010/wordprocessingGroup">
                        <wpg:wgp>
                          <wpg:cNvGrpSpPr/>
                          <wpg:grpSpPr>
                            <a:xfrm>
                              <a:off x="0" y="0"/>
                              <a:ext cx="7590742" cy="10782839"/>
                              <a:chOff x="0" y="0"/>
                              <a:chExt cx="6858000" cy="9144000"/>
                            </a:xfrm>
                          </wpg:grpSpPr>
                          <wpg:grpSp>
                            <wpg:cNvPr id="49" name="Grupo 49"/>
                            <wpg:cNvGrpSpPr/>
                            <wpg:grpSpPr>
                              <a:xfrm>
                                <a:off x="0" y="0"/>
                                <a:ext cx="6858000" cy="9144000"/>
                                <a:chOff x="0" y="0"/>
                                <a:chExt cx="6858000" cy="9144000"/>
                              </a:xfrm>
                            </wpg:grpSpPr>
                            <wps:wsp>
                              <wps:cNvPr id="54" name="Retâ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7260ED5" w14:textId="77777777" w:rsidR="0065671B" w:rsidRDefault="0065671B">
                                    <w:pPr>
                                      <w:pStyle w:val="SemEspaament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v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v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v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v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v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ixa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3F89F8B1" w14:textId="264643EF" w:rsidR="0065671B" w:rsidRPr="00D27363" w:rsidRDefault="00C168BD">
                                      <w:pPr>
                                        <w:pStyle w:val="SemEspaamento"/>
                                        <w:rPr>
                                          <w:rFonts w:ascii="Times New Roman" w:eastAsiaTheme="majorEastAsia" w:hAnsi="Times New Roman" w:cs="Times New Roman"/>
                                          <w:caps/>
                                          <w:color w:val="FFFFFF" w:themeColor="background1"/>
                                          <w:sz w:val="64"/>
                                          <w:szCs w:val="64"/>
                                        </w:rPr>
                                      </w:pPr>
                                      <w:r w:rsidRPr="00D27363">
                                        <w:rPr>
                                          <w:rFonts w:ascii="Times New Roman" w:eastAsiaTheme="majorEastAsia" w:hAnsi="Times New Roman" w:cs="Times New Roman"/>
                                          <w:caps/>
                                          <w:color w:val="FFFFFF" w:themeColor="background1"/>
                                          <w:sz w:val="64"/>
                                          <w:szCs w:val="64"/>
                                        </w:rPr>
                                        <w:t>Educação de jovens e adultos</w:t>
                                      </w:r>
                                    </w:p>
                                  </w:sdtContent>
                                </w:sdt>
                                <w:sdt>
                                  <w:sdtPr>
                                    <w:rPr>
                                      <w:color w:val="4F81B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B166496" w14:textId="43014AD1" w:rsidR="0065671B" w:rsidRDefault="00C168BD">
                                      <w:pPr>
                                        <w:pStyle w:val="SemEspaamento"/>
                                        <w:spacing w:before="120"/>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57EF62" id="Grupo 48" o:spid="_x0000_s1026" style="position:absolute;left:0;text-align:left;margin-left:-4.1pt;margin-top:-4.75pt;width:597.7pt;height:849.05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KvpggAAL8rAAAOAAAAZHJzL2Uyb0RvYy54bWzsWt2u27gRvi/QdxB0WaCx/mUZcRZptgkK&#10;nO4Gm1PstY4s/yCyqErysbOP01fpi/WbISnTsmSfzXGTFjg3NkWOhsP5+WZI8fUPh21hPeZ1sxHl&#10;3HZfObaVl5lYbMrV3P7H/fs/T22radNykRaizOf2l7yxf3jzxz+83lez3BNrUSzy2gKTspntq7m9&#10;bttqNpk02Trfps0rUeUlBpei3qYtHuvVZFGne3DfFhPPcaLJXtSLqhZZ3jTo/VEO2m+Y/3KZZ+3P&#10;y2WTt1YxtyFby781/z7Q7+TN63S2qtNqvcmUGOlXSLFNNyUm7Vj9mLaptas3Z6y2m6wWjVi2rzKx&#10;nYjlcpPlvAasxnV6q/lQi13Fa1nN9quqUxNU29PTV7PNfnr8WFubxdwOYKky3cJGH+pdJSw8Qzn7&#10;ajUDzYe6+lR9rFXHSj7Reg/Lekv/WIl1YLV+6dSaH1orQ2ccJk4ceLaVYcx14qk39ROp+WwN85y9&#10;mK3/ql6NpuHUcWA4ejVxg4AeIMVEzzwhATt5uodOcL24pLc4nv8WixuTMJ3dfG2IkOboBM3znODT&#10;Oq1y9q2GDKz0FAZaT7/k7b//Va52hbDQyYZnws4NmlkDj3iqD4ypqTNkOqvqpv2Qi61FjbldI3Y5&#10;pNLHu6aVNtckKtIW7zdFwe0GJLJhVQKaceEnDr/NSJK/K2rrMQUGLD573N1uylb2JLHyqXS23uV/&#10;FwvVDXRR8NCkbdftRknXX+y2Rr/hmt2c7Kir5kyyi6I163SRKyGibrITIUg2JZwpBImmw+NcBqh6&#10;pfVUbEorJYiOXMnLarK0yAEDrgovYGKn3qKkFZSC1C0NQT0IPe0D3Gq/FDnRFeUv+RKQgsiXuu5E&#10;kYtKsywvW1da57jWcFR4Zkicl5i/4w0TD7InC0shFTm9mXMq6N4d1L+WS77cvcETi7LtXt5uSlEP&#10;+VaBRamZJb3WkdQMKak9PBxAQs0HsfiCqKuFzElNlb3fwPHv0qb9mNZIQkA9JNb2Z/wsC7Gf20K1&#10;bGst6t+G+okesIBR29ojqc3t5p+7tM5tq/hbibCQUYg0ePJU85NEV9t64KcgjDkArHK3fScQOC7y&#10;eJVxE4LVbaGby1psf0USfktTYygtMwgwt1vdfNfKfIsknuVv3zIRkl+Vtnflpyoj1qRjiu37w69p&#10;XSkAaJE/fhIap9JZDwckLb1Zire7Viw3DBJH1SrtAzNlNuAs0U8MYagBT2Y99p3fmRe80AtcD4zO&#10;U1/ge4nr+jJ/BUHiOj6n1evZYexNAzAbUWy6GO0F2cNK+6JB1U+W3yKhRFq/76mGs+42j3VuhVEv&#10;o5AZm+pOZJ8biiAyIpIS5RoZLJRqrIc94Bb1SQprs8v0ig83dNw4HrSDN/ViH6rnOgLlR+iBTsaq&#10;ZpLtZPohUbSrATEXOrMsVHV0Dx9fbgsE6J8mVmDtLTeesq6JWNMgWjoajEfWmsh41SYZaqKOzBlh&#10;BefpaMDDG2GFxG2QxdEIN2inI3NGWMFkHQ0tboRVbJCFI6yg8Y7VmK5QmnU0PV1RytIGSNeyDEDo&#10;HEplFLRkGpOAjtRPtSRZCKF4ryMAVGTUEWLYgIh95Q6XiaFlIta+c5kYeiTi+EmcoSki5roUy2bO&#10;8l+tleqh/i6mBlzP7QeaAACatqQi3bSQMch6yBbciDhktkgi94JpWtKVXBCpXUl5JChKk1DqFIQ6&#10;u+ph/V8xPwSgXLauQ/Sw/tdkJBgWrDWph/W/JDuTTg9nhWhyGb+0bECGsX5SmxHMwH1VuFBtQku/&#10;UsmozHwtmXLC1LmU8yXy4jGVnmRSgOAxj45myBtmRYZQuZDTPPgtMB/IIHeSJ5jPcXCC7DfAfPhj&#10;5GM+uJLnxQ5SLceC3nr6YRAFlBJo/6gfpN88C/dDYKLn+bwxMgHdxH0aBywOkfVxf4jGxH3P85IR&#10;VibuM9mwYH3cH5rRxH0WfphVH/eHWJm4P6YrE/d5uqOuEMEvuP8M3GeTEO5zgyDvCOsSWWWVpE0H&#10;fR8JNMZKQon75FkqQehh/S/JmICi8DLuS8Gu4v6ZdHqyF9yXpzbHEpUSX7dzUlD/vXAfUT+A++oc&#10;0ajob4D708D1VanvOkmod1Ud7gfTONb1vq8eboD7CeG+m3AqG8V9jBNYD5Cd4f4AzQnuu4k/wuoE&#10;993pdESwM9wfmPEE90n44TWauO/S3mFohSbwjynrBPhpviOrF+BH4f8c4CfzMvBTYwj4oXyqlWhY&#10;xsMV4IcHXgZ++B6zvAL8LBhmdi/TnYn3gvxPPAf7rhU/zDaA/Oojy22R3/XcyFGnbUEyper+tOTH&#10;eZtDPsklP6iJ+EbQ7ybR5aOeJOKjHvxJoY4nQn3oH2JlQr+bhASMIDtjZUI/yDzg9RC3PvQPsTKh&#10;n3iMsDKhnzYiQ6z6yD8kkon8xMNg9YL8z0N+Vjcf9ZDHjCO/Nt3Vkp8c8CLyk+s9AfmlYED+yxsI&#10;CfyGdC/A/38A/BG2h+fAj14A7q2PetQJZOgnQPcTyD/9VuL7sRPqKuNZpzx0JO/F3uVqP/bpSB6f&#10;F/hg1NwU9CF/iJUJ+RifjrAyIR9kBPlD3PqQPySVCfnEY4SVCfl0uj/EyoT8MV2ZkE88DFYvkP88&#10;yGcP4GKfnG8I8tXhjfLNq5APhhxZINToq//VKQ9c7wmQLwW7espzJp2e7OWU5+tOeY7fd/kgSF2M&#10;kkj8X786hMpYpYJ36eaQWrjDco/jGGHJktnIBlZ7+IvAtycupal/5CJRErpyaxlM/Slu6ZyCfjQN&#10;fD8B4nGdH0+TGOXIaZ2vrwtZ1Lh+o6j7LETuT5/PIh95hOKqG+HIoB55PQQ7dZrxuAZuDVyEecKF&#10;k+FbLk948Vtfc1l81h9Wl5euufClws7E3/+2C9DG+DqHJ3nRBQ3j09zvu+Ly8L90xYWDH7dE4Y8o&#10;QuSNVrqGaj6zrx7v3b75DwAAAP//AwBQSwMEFAAGAAgAAAAhAPNy96bhAAAACwEAAA8AAABkcnMv&#10;ZG93bnJldi54bWxMj09Lw0AQxe+C32EZwVu7SaVxjdmUUtRTEdoK4m2bTJPQ7GzIbpP02zs96Wn+&#10;vMeb32SrybZiwN43jjTE8wgEUuHKhioNX4f3mQLhg6HStI5QwxU9rPL7u8ykpRtph8M+VIJDyKdG&#10;Qx1Cl0rpixqt8XPXIbF2cr01gce+kmVvRg63rVxEUSKtaYgv1KbDTY3FeX+xGj5GM66f4rdhez5t&#10;rj+H5ef3NkatHx+m9SuIgFP4M8MNn9EhZ6aju1DpRathphbs5PqyBHHTY/XMmyN3iVIJyDyT/3/I&#10;fwEAAP//AwBQSwECLQAUAAYACAAAACEAtoM4kv4AAADhAQAAEwAAAAAAAAAAAAAAAAAAAAAAW0Nv&#10;bnRlbnRfVHlwZXNdLnhtbFBLAQItABQABgAIAAAAIQA4/SH/1gAAAJQBAAALAAAAAAAAAAAAAAAA&#10;AC8BAABfcmVscy8ucmVsc1BLAQItABQABgAIAAAAIQBN2qKvpggAAL8rAAAOAAAAAAAAAAAAAAAA&#10;AC4CAABkcnMvZTJvRG9jLnhtbFBLAQItABQABgAIAAAAIQDzcvem4QAAAAsBAAAPAAAAAAAAAAAA&#10;AAAAAAALAABkcnMvZG93bnJldi54bWxQSwUGAAAAAAQABADzAAAADg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â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214d85 [3122]" stroked="f" strokeweight="1pt">
                        <v:fill color2="#1c4170 [2882]" angle="348" colors="0 #5cb2dc;6554f #5cb2dc" focus="100%" type="gradient"/>
                        <v:textbox inset="54pt,54pt,1in,5in">
                          <w:txbxContent>
                            <w:p w14:paraId="07260ED5" w14:textId="77777777" w:rsidR="0065671B" w:rsidRDefault="0065671B">
                              <w:pPr>
                                <w:pStyle w:val="SemEspaament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v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v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ixa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3F89F8B1" w14:textId="264643EF" w:rsidR="0065671B" w:rsidRPr="00D27363" w:rsidRDefault="00C168BD">
                                <w:pPr>
                                  <w:pStyle w:val="SemEspaamento"/>
                                  <w:rPr>
                                    <w:rFonts w:ascii="Times New Roman" w:eastAsiaTheme="majorEastAsia" w:hAnsi="Times New Roman" w:cs="Times New Roman"/>
                                    <w:caps/>
                                    <w:color w:val="FFFFFF" w:themeColor="background1"/>
                                    <w:sz w:val="64"/>
                                    <w:szCs w:val="64"/>
                                  </w:rPr>
                                </w:pPr>
                                <w:r w:rsidRPr="00D27363">
                                  <w:rPr>
                                    <w:rFonts w:ascii="Times New Roman" w:eastAsiaTheme="majorEastAsia" w:hAnsi="Times New Roman" w:cs="Times New Roman"/>
                                    <w:caps/>
                                    <w:color w:val="FFFFFF" w:themeColor="background1"/>
                                    <w:sz w:val="64"/>
                                    <w:szCs w:val="64"/>
                                  </w:rPr>
                                  <w:t>Educação de jovens e adultos</w:t>
                                </w:r>
                              </w:p>
                            </w:sdtContent>
                          </w:sdt>
                          <w:sdt>
                            <w:sdtPr>
                              <w:rPr>
                                <w:color w:val="4F81B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B166496" w14:textId="43014AD1" w:rsidR="0065671B" w:rsidRDefault="00C168BD">
                                <w:pPr>
                                  <w:pStyle w:val="SemEspaamento"/>
                                  <w:spacing w:before="120"/>
                                  <w:rPr>
                                    <w:color w:val="4F81BD" w:themeColor="accent1"/>
                                    <w:sz w:val="36"/>
                                    <w:szCs w:val="36"/>
                                  </w:rPr>
                                </w:pPr>
                                <w:r>
                                  <w:rPr>
                                    <w:color w:val="4F81BD" w:themeColor="accent1"/>
                                    <w:sz w:val="36"/>
                                    <w:szCs w:val="36"/>
                                  </w:rPr>
                                  <w:t xml:space="preserve"> </w:t>
                                </w:r>
                              </w:p>
                            </w:sdtContent>
                          </w:sdt>
                        </w:txbxContent>
                      </v:textbox>
                    </v:shape>
                    <w10:wrap anchorx="page" anchory="page"/>
                  </v:group>
                </w:pict>
              </mc:Fallback>
            </mc:AlternateContent>
          </w:r>
        </w:p>
        <w:p w14:paraId="6A9B82A1" w14:textId="3D9967C1" w:rsidR="0065671B" w:rsidRDefault="0065671B">
          <w:r>
            <w:br w:type="page"/>
          </w:r>
        </w:p>
      </w:sdtContent>
    </w:sdt>
    <w:p w14:paraId="42D2DA55" w14:textId="77777777" w:rsidR="008E3552" w:rsidRDefault="008E3552" w:rsidP="008E3552">
      <w:pPr>
        <w:spacing w:after="249"/>
        <w:jc w:val="center"/>
      </w:pPr>
      <w:r>
        <w:rPr>
          <w:noProof/>
        </w:rPr>
        <w:lastRenderedPageBreak/>
        <w:drawing>
          <wp:inline distT="0" distB="0" distL="0" distR="0" wp14:anchorId="406E94B6" wp14:editId="6D4BE54D">
            <wp:extent cx="2639695" cy="72326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2639695" cy="723265"/>
                    </a:xfrm>
                    <a:prstGeom prst="rect">
                      <a:avLst/>
                    </a:prstGeom>
                  </pic:spPr>
                </pic:pic>
              </a:graphicData>
            </a:graphic>
          </wp:inline>
        </w:drawing>
      </w:r>
    </w:p>
    <w:p w14:paraId="2E0ED8AE" w14:textId="77777777" w:rsidR="008E3552" w:rsidRPr="00E2731F" w:rsidRDefault="008E3552" w:rsidP="008E3552">
      <w:pPr>
        <w:spacing w:after="115"/>
        <w:jc w:val="center"/>
        <w:rPr>
          <w:rFonts w:cs="Times New Roman"/>
          <w:b/>
          <w:bCs/>
          <w:szCs w:val="24"/>
        </w:rPr>
      </w:pPr>
      <w:r w:rsidRPr="00E2731F">
        <w:rPr>
          <w:rFonts w:cs="Times New Roman"/>
          <w:b/>
          <w:bCs/>
          <w:szCs w:val="24"/>
        </w:rPr>
        <w:t>FACULDADE DE TECNOLOGIA SENAI CENTRO</w:t>
      </w:r>
    </w:p>
    <w:p w14:paraId="0A9B67FA" w14:textId="77777777" w:rsidR="008E3552" w:rsidRPr="00E2731F" w:rsidRDefault="008E3552" w:rsidP="008E3552">
      <w:pPr>
        <w:spacing w:after="115"/>
        <w:jc w:val="center"/>
        <w:rPr>
          <w:rFonts w:cs="Times New Roman"/>
          <w:b/>
          <w:bCs/>
          <w:szCs w:val="24"/>
        </w:rPr>
      </w:pPr>
      <w:r w:rsidRPr="00E2731F">
        <w:rPr>
          <w:rFonts w:cs="Times New Roman"/>
          <w:b/>
          <w:bCs/>
          <w:szCs w:val="24"/>
        </w:rPr>
        <w:t>CURSO TÉCNICO INFORMATICA PARA INTERNET</w:t>
      </w:r>
    </w:p>
    <w:p w14:paraId="06F0905B" w14:textId="77777777" w:rsidR="008E3552" w:rsidRPr="00E2731F" w:rsidRDefault="008E3552" w:rsidP="008E3552">
      <w:pPr>
        <w:spacing w:after="117"/>
        <w:ind w:left="634"/>
        <w:jc w:val="center"/>
        <w:rPr>
          <w:rFonts w:cs="Times New Roman"/>
          <w:b/>
          <w:bCs/>
          <w:szCs w:val="24"/>
        </w:rPr>
      </w:pPr>
    </w:p>
    <w:p w14:paraId="55DE9ED1" w14:textId="77777777" w:rsidR="008E3552" w:rsidRPr="00E2731F" w:rsidRDefault="008E3552" w:rsidP="008E3552">
      <w:pPr>
        <w:spacing w:after="115"/>
        <w:ind w:left="634"/>
        <w:jc w:val="center"/>
        <w:rPr>
          <w:rFonts w:cs="Times New Roman"/>
          <w:b/>
          <w:bCs/>
          <w:szCs w:val="24"/>
        </w:rPr>
      </w:pPr>
    </w:p>
    <w:p w14:paraId="587F94C3" w14:textId="77777777" w:rsidR="008E3552" w:rsidRPr="00E2731F" w:rsidRDefault="008E3552" w:rsidP="008E3552">
      <w:pPr>
        <w:spacing w:after="116"/>
        <w:jc w:val="center"/>
        <w:rPr>
          <w:rFonts w:cs="Times New Roman"/>
          <w:b/>
          <w:bCs/>
          <w:szCs w:val="24"/>
        </w:rPr>
      </w:pPr>
      <w:r w:rsidRPr="00E2731F">
        <w:rPr>
          <w:rFonts w:eastAsia="Arial" w:cs="Times New Roman"/>
          <w:b/>
          <w:bCs/>
          <w:szCs w:val="24"/>
        </w:rPr>
        <w:t>Gustavo Roberto Da Silva</w:t>
      </w:r>
    </w:p>
    <w:p w14:paraId="317AD8B4" w14:textId="77777777" w:rsidR="008E3552" w:rsidRPr="00E2731F" w:rsidRDefault="008E3552" w:rsidP="008E3552">
      <w:pPr>
        <w:spacing w:after="115"/>
        <w:ind w:left="634"/>
        <w:jc w:val="center"/>
        <w:rPr>
          <w:rFonts w:cs="Times New Roman"/>
          <w:b/>
          <w:bCs/>
          <w:szCs w:val="24"/>
        </w:rPr>
      </w:pPr>
    </w:p>
    <w:p w14:paraId="50D83F64" w14:textId="77777777" w:rsidR="008E3552" w:rsidRPr="00E2731F" w:rsidRDefault="008E3552" w:rsidP="008E3552">
      <w:pPr>
        <w:spacing w:after="116"/>
        <w:ind w:right="2"/>
        <w:jc w:val="center"/>
        <w:rPr>
          <w:rFonts w:cs="Times New Roman"/>
          <w:b/>
          <w:bCs/>
          <w:szCs w:val="24"/>
        </w:rPr>
      </w:pPr>
      <w:bookmarkStart w:id="0" w:name="_Hlk48918013"/>
      <w:r w:rsidRPr="00E2731F">
        <w:rPr>
          <w:rFonts w:eastAsia="Arial" w:cs="Times New Roman"/>
          <w:b/>
          <w:bCs/>
          <w:szCs w:val="24"/>
        </w:rPr>
        <w:t>TURMA:</w:t>
      </w:r>
      <w:r w:rsidRPr="00E2731F">
        <w:rPr>
          <w:rFonts w:cs="Times New Roman"/>
          <w:b/>
          <w:bCs/>
          <w:szCs w:val="24"/>
        </w:rPr>
        <w:t xml:space="preserve"> </w:t>
      </w:r>
      <w:r w:rsidRPr="00E2731F">
        <w:rPr>
          <w:rFonts w:eastAsia="Arial" w:cs="Times New Roman"/>
          <w:b/>
          <w:bCs/>
          <w:szCs w:val="24"/>
        </w:rPr>
        <w:t>TII2002T01</w:t>
      </w:r>
    </w:p>
    <w:bookmarkEnd w:id="0"/>
    <w:p w14:paraId="1304BC8B" w14:textId="77777777" w:rsidR="008E3552" w:rsidRPr="00E2731F" w:rsidRDefault="008E3552" w:rsidP="008E3552">
      <w:pPr>
        <w:spacing w:after="115"/>
        <w:jc w:val="center"/>
        <w:rPr>
          <w:rFonts w:cs="Times New Roman"/>
          <w:b/>
          <w:bCs/>
          <w:szCs w:val="24"/>
        </w:rPr>
      </w:pPr>
    </w:p>
    <w:p w14:paraId="37C1D279" w14:textId="77777777" w:rsidR="008E3552" w:rsidRPr="00E2731F" w:rsidRDefault="008E3552" w:rsidP="008E3552">
      <w:pPr>
        <w:spacing w:after="117"/>
        <w:jc w:val="center"/>
        <w:rPr>
          <w:rFonts w:cs="Times New Roman"/>
          <w:b/>
          <w:bCs/>
          <w:szCs w:val="24"/>
        </w:rPr>
      </w:pPr>
    </w:p>
    <w:p w14:paraId="21B44BB8" w14:textId="77777777" w:rsidR="008E3552" w:rsidRPr="00E2731F" w:rsidRDefault="008E3552" w:rsidP="008E3552">
      <w:pPr>
        <w:spacing w:after="115"/>
        <w:jc w:val="center"/>
        <w:rPr>
          <w:rFonts w:cs="Times New Roman"/>
          <w:b/>
          <w:bCs/>
          <w:szCs w:val="24"/>
        </w:rPr>
      </w:pPr>
    </w:p>
    <w:p w14:paraId="1CC98A91" w14:textId="77777777" w:rsidR="008E3552" w:rsidRPr="00E2731F" w:rsidRDefault="008E3552" w:rsidP="008E3552">
      <w:pPr>
        <w:spacing w:after="117"/>
        <w:jc w:val="center"/>
        <w:rPr>
          <w:rFonts w:cs="Times New Roman"/>
          <w:b/>
          <w:bCs/>
          <w:szCs w:val="24"/>
        </w:rPr>
      </w:pPr>
    </w:p>
    <w:p w14:paraId="7AD5A368" w14:textId="77777777" w:rsidR="008E3552" w:rsidRPr="00E2731F" w:rsidRDefault="008E3552" w:rsidP="008E3552">
      <w:pPr>
        <w:spacing w:after="115"/>
        <w:jc w:val="center"/>
        <w:rPr>
          <w:rFonts w:cs="Times New Roman"/>
          <w:b/>
          <w:bCs/>
          <w:szCs w:val="24"/>
        </w:rPr>
      </w:pPr>
    </w:p>
    <w:p w14:paraId="70EAB89A" w14:textId="77777777" w:rsidR="008E3552" w:rsidRPr="00E2731F" w:rsidRDefault="008E3552" w:rsidP="008E3552">
      <w:pPr>
        <w:spacing w:after="117"/>
        <w:jc w:val="center"/>
        <w:rPr>
          <w:rFonts w:cs="Times New Roman"/>
          <w:b/>
          <w:bCs/>
          <w:szCs w:val="24"/>
        </w:rPr>
      </w:pPr>
    </w:p>
    <w:p w14:paraId="77B8D478" w14:textId="77777777" w:rsidR="008E3552" w:rsidRPr="00E2731F" w:rsidRDefault="008E3552" w:rsidP="008E3552">
      <w:pPr>
        <w:spacing w:after="115"/>
        <w:jc w:val="center"/>
        <w:rPr>
          <w:rFonts w:cs="Times New Roman"/>
          <w:b/>
          <w:bCs/>
          <w:szCs w:val="24"/>
        </w:rPr>
      </w:pPr>
    </w:p>
    <w:p w14:paraId="08BBE86C" w14:textId="77777777" w:rsidR="008E3552" w:rsidRPr="00E2731F" w:rsidRDefault="008E3552" w:rsidP="008E3552">
      <w:pPr>
        <w:spacing w:after="118"/>
        <w:jc w:val="center"/>
        <w:rPr>
          <w:rFonts w:cs="Times New Roman"/>
          <w:b/>
          <w:bCs/>
          <w:szCs w:val="24"/>
        </w:rPr>
      </w:pPr>
    </w:p>
    <w:p w14:paraId="2BD02F35" w14:textId="5D43D574" w:rsidR="008E3552" w:rsidRPr="00E2731F" w:rsidRDefault="002E62DD" w:rsidP="008E3552">
      <w:pPr>
        <w:jc w:val="center"/>
        <w:rPr>
          <w:rFonts w:cs="Times New Roman"/>
          <w:b/>
          <w:bCs/>
          <w:sz w:val="28"/>
          <w:szCs w:val="28"/>
        </w:rPr>
      </w:pPr>
      <w:r>
        <w:rPr>
          <w:rFonts w:cs="Times New Roman"/>
          <w:b/>
          <w:bCs/>
          <w:sz w:val="28"/>
          <w:szCs w:val="28"/>
        </w:rPr>
        <w:t>Educação</w:t>
      </w:r>
      <w:r w:rsidR="00A5194B">
        <w:rPr>
          <w:rFonts w:cs="Times New Roman"/>
          <w:b/>
          <w:bCs/>
          <w:sz w:val="28"/>
          <w:szCs w:val="28"/>
        </w:rPr>
        <w:t xml:space="preserve"> de jovens e adultos </w:t>
      </w:r>
    </w:p>
    <w:p w14:paraId="4248AEF1" w14:textId="77777777" w:rsidR="00A86542" w:rsidRDefault="00A86542" w:rsidP="00A86542">
      <w:pPr>
        <w:spacing w:after="160" w:line="259" w:lineRule="auto"/>
        <w:jc w:val="left"/>
        <w:rPr>
          <w:rFonts w:cs="Times New Roman"/>
          <w:b/>
          <w:sz w:val="28"/>
          <w:szCs w:val="28"/>
        </w:rPr>
        <w:sectPr w:rsidR="00A86542" w:rsidSect="00FE5CC8">
          <w:headerReference w:type="default" r:id="rId8"/>
          <w:headerReference w:type="first" r:id="rId9"/>
          <w:pgSz w:w="11906" w:h="16838" w:code="9"/>
          <w:pgMar w:top="1701" w:right="1134" w:bottom="1418" w:left="1134" w:header="709" w:footer="709"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pPr>
    </w:p>
    <w:sdt>
      <w:sdtPr>
        <w:id w:val="-1707863175"/>
        <w:docPartObj>
          <w:docPartGallery w:val="Table of Contents"/>
          <w:docPartUnique/>
        </w:docPartObj>
      </w:sdtPr>
      <w:sdtEndPr>
        <w:rPr>
          <w:rFonts w:ascii="Times New Roman" w:eastAsia="Calibri" w:hAnsi="Times New Roman" w:cs="Calibri"/>
          <w:b/>
          <w:bCs/>
          <w:color w:val="000000"/>
          <w:spacing w:val="0"/>
          <w:sz w:val="24"/>
          <w:szCs w:val="22"/>
        </w:rPr>
      </w:sdtEndPr>
      <w:sdtContent>
        <w:p w14:paraId="766EAAAC" w14:textId="00761543" w:rsidR="00396D39" w:rsidRDefault="00396D39">
          <w:pPr>
            <w:pStyle w:val="CabealhodoSumrio"/>
          </w:pPr>
          <w:r>
            <w:t>Sumário</w:t>
          </w:r>
        </w:p>
        <w:p w14:paraId="1C0806F6" w14:textId="256B5C91" w:rsidR="00890E12" w:rsidRDefault="00396D39">
          <w:pPr>
            <w:pStyle w:val="Sumrio1"/>
            <w:tabs>
              <w:tab w:val="right" w:leader="do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1000226" w:history="1">
            <w:r w:rsidR="00890E12" w:rsidRPr="0089282A">
              <w:rPr>
                <w:rStyle w:val="Hyperlink"/>
                <w:noProof/>
              </w:rPr>
              <w:t>Introdução</w:t>
            </w:r>
            <w:r w:rsidR="00890E12">
              <w:rPr>
                <w:noProof/>
                <w:webHidden/>
              </w:rPr>
              <w:tab/>
            </w:r>
            <w:r w:rsidR="00890E12">
              <w:rPr>
                <w:noProof/>
                <w:webHidden/>
              </w:rPr>
              <w:fldChar w:fldCharType="begin"/>
            </w:r>
            <w:r w:rsidR="00890E12">
              <w:rPr>
                <w:noProof/>
                <w:webHidden/>
              </w:rPr>
              <w:instrText xml:space="preserve"> PAGEREF _Toc51000226 \h </w:instrText>
            </w:r>
            <w:r w:rsidR="00890E12">
              <w:rPr>
                <w:noProof/>
                <w:webHidden/>
              </w:rPr>
            </w:r>
            <w:r w:rsidR="00890E12">
              <w:rPr>
                <w:noProof/>
                <w:webHidden/>
              </w:rPr>
              <w:fldChar w:fldCharType="separate"/>
            </w:r>
            <w:r w:rsidR="00890E12">
              <w:rPr>
                <w:noProof/>
                <w:webHidden/>
              </w:rPr>
              <w:t>3</w:t>
            </w:r>
            <w:r w:rsidR="00890E12">
              <w:rPr>
                <w:noProof/>
                <w:webHidden/>
              </w:rPr>
              <w:fldChar w:fldCharType="end"/>
            </w:r>
          </w:hyperlink>
        </w:p>
        <w:p w14:paraId="7AFFDC70" w14:textId="0515D9B7" w:rsidR="00890E12" w:rsidRDefault="00890E12">
          <w:pPr>
            <w:pStyle w:val="Sumrio1"/>
            <w:tabs>
              <w:tab w:val="right" w:leader="dot" w:pos="9628"/>
            </w:tabs>
            <w:rPr>
              <w:rFonts w:asciiTheme="minorHAnsi" w:eastAsiaTheme="minorEastAsia" w:hAnsiTheme="minorHAnsi" w:cstheme="minorBidi"/>
              <w:noProof/>
              <w:color w:val="auto"/>
              <w:sz w:val="22"/>
            </w:rPr>
          </w:pPr>
          <w:hyperlink w:anchor="_Toc51000227" w:history="1">
            <w:r w:rsidRPr="0089282A">
              <w:rPr>
                <w:rStyle w:val="Hyperlink"/>
                <w:noProof/>
              </w:rPr>
              <w:t>Desenvolvimento:</w:t>
            </w:r>
            <w:r>
              <w:rPr>
                <w:noProof/>
                <w:webHidden/>
              </w:rPr>
              <w:tab/>
            </w:r>
            <w:r>
              <w:rPr>
                <w:noProof/>
                <w:webHidden/>
              </w:rPr>
              <w:fldChar w:fldCharType="begin"/>
            </w:r>
            <w:r>
              <w:rPr>
                <w:noProof/>
                <w:webHidden/>
              </w:rPr>
              <w:instrText xml:space="preserve"> PAGEREF _Toc51000227 \h </w:instrText>
            </w:r>
            <w:r>
              <w:rPr>
                <w:noProof/>
                <w:webHidden/>
              </w:rPr>
            </w:r>
            <w:r>
              <w:rPr>
                <w:noProof/>
                <w:webHidden/>
              </w:rPr>
              <w:fldChar w:fldCharType="separate"/>
            </w:r>
            <w:r>
              <w:rPr>
                <w:noProof/>
                <w:webHidden/>
              </w:rPr>
              <w:t>4</w:t>
            </w:r>
            <w:r>
              <w:rPr>
                <w:noProof/>
                <w:webHidden/>
              </w:rPr>
              <w:fldChar w:fldCharType="end"/>
            </w:r>
          </w:hyperlink>
        </w:p>
        <w:p w14:paraId="44B8A30F" w14:textId="5DA1D23E" w:rsidR="00890E12" w:rsidRDefault="00890E12">
          <w:pPr>
            <w:pStyle w:val="Sumrio1"/>
            <w:tabs>
              <w:tab w:val="right" w:leader="dot" w:pos="9628"/>
            </w:tabs>
            <w:rPr>
              <w:rFonts w:asciiTheme="minorHAnsi" w:eastAsiaTheme="minorEastAsia" w:hAnsiTheme="minorHAnsi" w:cstheme="minorBidi"/>
              <w:noProof/>
              <w:color w:val="auto"/>
              <w:sz w:val="22"/>
            </w:rPr>
          </w:pPr>
          <w:hyperlink w:anchor="_Toc51000228" w:history="1">
            <w:r w:rsidRPr="0089282A">
              <w:rPr>
                <w:rStyle w:val="Hyperlink"/>
                <w:noProof/>
              </w:rPr>
              <w:t>Conclusão:</w:t>
            </w:r>
            <w:r>
              <w:rPr>
                <w:noProof/>
                <w:webHidden/>
              </w:rPr>
              <w:tab/>
            </w:r>
            <w:r>
              <w:rPr>
                <w:noProof/>
                <w:webHidden/>
              </w:rPr>
              <w:fldChar w:fldCharType="begin"/>
            </w:r>
            <w:r>
              <w:rPr>
                <w:noProof/>
                <w:webHidden/>
              </w:rPr>
              <w:instrText xml:space="preserve"> PAGEREF _Toc51000228 \h </w:instrText>
            </w:r>
            <w:r>
              <w:rPr>
                <w:noProof/>
                <w:webHidden/>
              </w:rPr>
            </w:r>
            <w:r>
              <w:rPr>
                <w:noProof/>
                <w:webHidden/>
              </w:rPr>
              <w:fldChar w:fldCharType="separate"/>
            </w:r>
            <w:r>
              <w:rPr>
                <w:noProof/>
                <w:webHidden/>
              </w:rPr>
              <w:t>6</w:t>
            </w:r>
            <w:r>
              <w:rPr>
                <w:noProof/>
                <w:webHidden/>
              </w:rPr>
              <w:fldChar w:fldCharType="end"/>
            </w:r>
          </w:hyperlink>
        </w:p>
        <w:p w14:paraId="7A543F5A" w14:textId="0248420C" w:rsidR="00890E12" w:rsidRDefault="00890E12">
          <w:pPr>
            <w:pStyle w:val="Sumrio1"/>
            <w:tabs>
              <w:tab w:val="right" w:leader="dot" w:pos="9628"/>
            </w:tabs>
            <w:rPr>
              <w:rFonts w:asciiTheme="minorHAnsi" w:eastAsiaTheme="minorEastAsia" w:hAnsiTheme="minorHAnsi" w:cstheme="minorBidi"/>
              <w:noProof/>
              <w:color w:val="auto"/>
              <w:sz w:val="22"/>
            </w:rPr>
          </w:pPr>
          <w:hyperlink w:anchor="_Toc51000229" w:history="1">
            <w:r w:rsidRPr="0089282A">
              <w:rPr>
                <w:rStyle w:val="Hyperlink"/>
                <w:noProof/>
              </w:rPr>
              <w:t>Bibliografia</w:t>
            </w:r>
            <w:r>
              <w:rPr>
                <w:noProof/>
                <w:webHidden/>
              </w:rPr>
              <w:tab/>
            </w:r>
            <w:r>
              <w:rPr>
                <w:noProof/>
                <w:webHidden/>
              </w:rPr>
              <w:fldChar w:fldCharType="begin"/>
            </w:r>
            <w:r>
              <w:rPr>
                <w:noProof/>
                <w:webHidden/>
              </w:rPr>
              <w:instrText xml:space="preserve"> PAGEREF _Toc51000229 \h </w:instrText>
            </w:r>
            <w:r>
              <w:rPr>
                <w:noProof/>
                <w:webHidden/>
              </w:rPr>
            </w:r>
            <w:r>
              <w:rPr>
                <w:noProof/>
                <w:webHidden/>
              </w:rPr>
              <w:fldChar w:fldCharType="separate"/>
            </w:r>
            <w:r>
              <w:rPr>
                <w:noProof/>
                <w:webHidden/>
              </w:rPr>
              <w:t>7</w:t>
            </w:r>
            <w:r>
              <w:rPr>
                <w:noProof/>
                <w:webHidden/>
              </w:rPr>
              <w:fldChar w:fldCharType="end"/>
            </w:r>
          </w:hyperlink>
        </w:p>
        <w:p w14:paraId="0E967D3A" w14:textId="0D0F55C9" w:rsidR="00396D39" w:rsidRDefault="00396D39">
          <w:r>
            <w:rPr>
              <w:b/>
              <w:bCs/>
            </w:rPr>
            <w:fldChar w:fldCharType="end"/>
          </w:r>
        </w:p>
      </w:sdtContent>
    </w:sdt>
    <w:p w14:paraId="1AA2ADE1" w14:textId="77777777" w:rsidR="00100C28" w:rsidRDefault="00100C28">
      <w:pPr>
        <w:spacing w:after="160" w:line="259" w:lineRule="auto"/>
        <w:jc w:val="left"/>
        <w:rPr>
          <w:rFonts w:cs="Times New Roman"/>
          <w:b/>
          <w:sz w:val="28"/>
          <w:szCs w:val="28"/>
        </w:rPr>
        <w:sectPr w:rsidR="00100C28" w:rsidSect="00FE5CC8">
          <w:footerReference w:type="default" r:id="rId10"/>
          <w:pgSz w:w="11906" w:h="16838" w:code="9"/>
          <w:pgMar w:top="1701" w:right="1134" w:bottom="1418" w:left="1134" w:header="709" w:footer="709"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pPr>
    </w:p>
    <w:p w14:paraId="67910572" w14:textId="0A9BEB68" w:rsidR="00396D39" w:rsidRDefault="00396D39">
      <w:pPr>
        <w:spacing w:after="160" w:line="259" w:lineRule="auto"/>
        <w:jc w:val="left"/>
        <w:rPr>
          <w:rFonts w:cs="Times New Roman"/>
          <w:b/>
          <w:sz w:val="28"/>
          <w:szCs w:val="28"/>
        </w:rPr>
      </w:pPr>
    </w:p>
    <w:p w14:paraId="3AB3DE99" w14:textId="431A1E02" w:rsidR="00870F6F" w:rsidRDefault="00097CCB" w:rsidP="008B0EE9">
      <w:pPr>
        <w:pStyle w:val="Ttulo1"/>
      </w:pPr>
      <w:bookmarkStart w:id="1" w:name="_Toc51000226"/>
      <w:r w:rsidRPr="00097CCB">
        <w:t>Introdução</w:t>
      </w:r>
      <w:bookmarkEnd w:id="1"/>
    </w:p>
    <w:p w14:paraId="6416A827" w14:textId="77777777" w:rsidR="00386E0B" w:rsidRDefault="00386E0B" w:rsidP="00386E0B"/>
    <w:p w14:paraId="078CBDC7" w14:textId="77777777" w:rsidR="00AA518E" w:rsidRDefault="00B8514A" w:rsidP="00B8514A">
      <w:pPr>
        <w:spacing w:after="160" w:line="259" w:lineRule="auto"/>
        <w:jc w:val="left"/>
      </w:pPr>
      <w:r>
        <w:t>Mais de mil escolas estaduais paulistas oferecem EJA (Educação para Jovens e Adultos) para conclusão dos Anos Finais do Ensino Fundamental e do Ensino Médio.</w:t>
      </w:r>
    </w:p>
    <w:p w14:paraId="1F05A308" w14:textId="6A598694" w:rsidR="00B8514A" w:rsidRDefault="00B8514A" w:rsidP="00B8514A">
      <w:pPr>
        <w:spacing w:after="160" w:line="259" w:lineRule="auto"/>
        <w:jc w:val="left"/>
      </w:pPr>
      <w:r>
        <w:t>Os cursos do Ensino Fundamental-Anos Finais são oferecidos para alunos a partir de 15 anos. Já os interessados em concluir o Ensino Médio precisam ter, no mínimo, 18 anos.</w:t>
      </w:r>
    </w:p>
    <w:p w14:paraId="364C2D31" w14:textId="77777777" w:rsidR="00B8514A" w:rsidRDefault="00B8514A" w:rsidP="00B8514A">
      <w:pPr>
        <w:spacing w:after="160" w:line="259" w:lineRule="auto"/>
        <w:jc w:val="left"/>
      </w:pPr>
      <w:r>
        <w:t>Os módulos de 6 meses cada são equivalentes aos anos e séries do ensino regular. O curso conta com quatro horas diárias, de segunda à sexta-feira.</w:t>
      </w:r>
    </w:p>
    <w:p w14:paraId="2E3DC71A" w14:textId="130BEA85" w:rsidR="00B8514A" w:rsidRDefault="00B8514A">
      <w:pPr>
        <w:spacing w:after="160" w:line="259" w:lineRule="auto"/>
        <w:jc w:val="left"/>
      </w:pPr>
      <w:r>
        <w:br w:type="page"/>
      </w:r>
    </w:p>
    <w:p w14:paraId="4B309B06" w14:textId="7D598EA4" w:rsidR="00B8514A" w:rsidRDefault="008B0EE9" w:rsidP="008B0EE9">
      <w:pPr>
        <w:pStyle w:val="Ttulo1"/>
      </w:pPr>
      <w:bookmarkStart w:id="2" w:name="_Toc51000227"/>
      <w:r>
        <w:lastRenderedPageBreak/>
        <w:t>Desenvolvimento:</w:t>
      </w:r>
      <w:bookmarkEnd w:id="2"/>
    </w:p>
    <w:p w14:paraId="1F750C0C" w14:textId="3FFD5818" w:rsidR="00EB0A68" w:rsidRDefault="00F356B5" w:rsidP="00EB0A68">
      <w:pPr>
        <w:rPr>
          <w:lang w:eastAsia="en-US"/>
        </w:rPr>
      </w:pPr>
      <w:r>
        <w:rPr>
          <w:noProof/>
        </w:rPr>
        <w:drawing>
          <wp:anchor distT="0" distB="0" distL="114300" distR="114300" simplePos="0" relativeHeight="251660288" behindDoc="0" locked="0" layoutInCell="1" allowOverlap="1" wp14:anchorId="622AEB13" wp14:editId="3E2891DF">
            <wp:simplePos x="0" y="0"/>
            <wp:positionH relativeFrom="margin">
              <wp:posOffset>941070</wp:posOffset>
            </wp:positionH>
            <wp:positionV relativeFrom="margin">
              <wp:posOffset>2413647</wp:posOffset>
            </wp:positionV>
            <wp:extent cx="4237990" cy="2828925"/>
            <wp:effectExtent l="76200" t="76200" r="124460" b="142875"/>
            <wp:wrapTopAndBottom/>
            <wp:docPr id="1" name="Imagem 1" descr="educomparada9.files.wordpress.com/2009/11/gd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omparada9.files.wordpress.com/2009/11/gd_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990" cy="2828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B0A68">
        <w:rPr>
          <w:lang w:eastAsia="en-US"/>
        </w:rPr>
        <w:t>A Educação de Jovens e Adultos (EJA) é uma modalidade de ensino amparada por lei e voltada para pessoas que não tiveram, por algum motivo, acesso ao ensino regular na idade apropriada. O EJA tem como objetivo tentar ou corrigir algumas questões sociais como exclusão e exploração, entre outras que geram consequências maiores, como a perigosa marginalização. A história da EJA no Brasil está muito ligada a Paulo Freire. O projeto de alfabetização que ele implementou em 1963 atendeu 380 trabalhadores em Angico-RN, repercutindo por todo o país, mas sendo sufocado pelo golpe militar de 1964.</w:t>
      </w:r>
      <w:r w:rsidR="007079F6" w:rsidRPr="007079F6">
        <w:t xml:space="preserve"> </w:t>
      </w:r>
    </w:p>
    <w:p w14:paraId="685BFC34" w14:textId="60BCA470" w:rsidR="00EB0A68" w:rsidRDefault="00EB0A68" w:rsidP="00EB0A68">
      <w:pPr>
        <w:rPr>
          <w:lang w:eastAsia="en-US"/>
        </w:rPr>
      </w:pPr>
    </w:p>
    <w:p w14:paraId="2BE73A8C" w14:textId="6D3B9257" w:rsidR="00EB0A68" w:rsidRDefault="00EB0A68" w:rsidP="00EB0A68">
      <w:pPr>
        <w:rPr>
          <w:lang w:eastAsia="en-US"/>
        </w:rPr>
      </w:pPr>
      <w:r>
        <w:rPr>
          <w:lang w:eastAsia="en-US"/>
        </w:rPr>
        <w:t>Retornando ao Brasil após experiências de alfabetização de adultos na África e na América Latina, influenciou práticas públicas de ações educacionais. Essa proposta favo</w:t>
      </w:r>
      <w:r w:rsidR="001642C3">
        <w:rPr>
          <w:lang w:eastAsia="en-US"/>
        </w:rPr>
        <w:t xml:space="preserve"> </w:t>
      </w:r>
      <w:r>
        <w:rPr>
          <w:lang w:eastAsia="en-US"/>
        </w:rPr>
        <w:t>rece a Inclusão econômica, social e política de indivíduos.</w:t>
      </w:r>
    </w:p>
    <w:p w14:paraId="60BDD6A9" w14:textId="77777777" w:rsidR="00EB0A68" w:rsidRDefault="00EB0A68" w:rsidP="00EB0A68">
      <w:pPr>
        <w:rPr>
          <w:lang w:eastAsia="en-US"/>
        </w:rPr>
      </w:pPr>
    </w:p>
    <w:p w14:paraId="35B25387" w14:textId="4A190AD1" w:rsidR="00AA518E" w:rsidRDefault="00EB0A68" w:rsidP="000B6DC1">
      <w:pPr>
        <w:rPr>
          <w:lang w:eastAsia="en-US"/>
        </w:rPr>
      </w:pPr>
      <w:r>
        <w:rPr>
          <w:lang w:eastAsia="en-US"/>
        </w:rPr>
        <w:t>A inserção na realidade da Educação de Jovens e Adultos pelo estágio supervisionado ocorre devido às exigências curriculares do Curso de Pedagogia, que prevê estágios em várias modalidades de ensino. Essa atividade deve “proporcionar ao estagiário uma reflexão contextualizada, conferindo-lhe condições para que se forme como autor de sua prática” (Brasil, 2005). Nesse sentido, o estágio supervisionado em Educação de Jovens e Adultos possibilita a articulação das atividades de ensino e pesquisa e a vivência de situações reais de trabalho.</w:t>
      </w:r>
      <w:r w:rsidR="00AA518E">
        <w:rPr>
          <w:lang w:eastAsia="en-US"/>
        </w:rPr>
        <w:br w:type="page"/>
      </w:r>
    </w:p>
    <w:p w14:paraId="46F915A0" w14:textId="55763083" w:rsidR="005674E0" w:rsidRDefault="00AA518E" w:rsidP="00AA518E">
      <w:pPr>
        <w:pStyle w:val="Ttulo1"/>
      </w:pPr>
      <w:bookmarkStart w:id="3" w:name="_Toc51000228"/>
      <w:r>
        <w:lastRenderedPageBreak/>
        <w:t>Conclusão:</w:t>
      </w:r>
      <w:bookmarkEnd w:id="3"/>
    </w:p>
    <w:p w14:paraId="10BF289E" w14:textId="75E5CAAF" w:rsidR="00AA518E" w:rsidRDefault="00AA518E" w:rsidP="00AA518E">
      <w:pPr>
        <w:rPr>
          <w:lang w:eastAsia="en-US"/>
        </w:rPr>
      </w:pPr>
      <w:r>
        <w:rPr>
          <w:lang w:eastAsia="en-US"/>
        </w:rPr>
        <w:t xml:space="preserve">Muitas vezes as pessoas que se formam nessa modalidade de educação são vítimas de diversas espécies de preconceitos. É importante lembrar que a maioria das pessoas que </w:t>
      </w:r>
      <w:r>
        <w:rPr>
          <w:lang w:eastAsia="en-US"/>
        </w:rPr>
        <w:t>frequentam</w:t>
      </w:r>
      <w:r>
        <w:rPr>
          <w:lang w:eastAsia="en-US"/>
        </w:rPr>
        <w:t xml:space="preserve"> a Educação de Jovens e Adultos são comprometidas com a aprendizagem, entendem a importância da educação, portanto estão lá por que desejam e/ou precisam.</w:t>
      </w:r>
    </w:p>
    <w:p w14:paraId="4C2028A1" w14:textId="20DC1594" w:rsidR="00973091" w:rsidRDefault="00AA518E" w:rsidP="000B6DC1">
      <w:pPr>
        <w:rPr>
          <w:lang w:eastAsia="en-US"/>
        </w:rPr>
      </w:pPr>
      <w:r>
        <w:rPr>
          <w:lang w:eastAsia="en-US"/>
        </w:rPr>
        <w:t>Geralmente, as pessoas que se formam nessa modalidade de educação, assim como as formadas pelo ensino regular, podem apresentar desempenho satisfatório no mercado de trabalho, assim como na continuidade dos estudos, inclusive no Ensino Superi</w:t>
      </w:r>
      <w:r w:rsidR="00F44735">
        <w:rPr>
          <w:lang w:eastAsia="en-US"/>
        </w:rPr>
        <w:t>or.</w:t>
      </w:r>
      <w:r w:rsidR="00155911">
        <w:rPr>
          <w:lang w:eastAsia="en-US"/>
        </w:rPr>
        <w:br w:type="page"/>
      </w:r>
    </w:p>
    <w:bookmarkStart w:id="4" w:name="_Toc51000229" w:displacedByCustomXml="next"/>
    <w:sdt>
      <w:sdtPr>
        <w:id w:val="111950943"/>
        <w:docPartObj>
          <w:docPartGallery w:val="Bibliographies"/>
          <w:docPartUnique/>
        </w:docPartObj>
      </w:sdtPr>
      <w:sdtEndPr>
        <w:rPr>
          <w:rFonts w:eastAsia="Calibri" w:cs="Calibri"/>
          <w:color w:val="000000"/>
          <w:spacing w:val="0"/>
          <w:sz w:val="24"/>
          <w:lang w:eastAsia="pt-BR"/>
        </w:rPr>
      </w:sdtEndPr>
      <w:sdtContent>
        <w:p w14:paraId="14663784" w14:textId="1D7DEF68" w:rsidR="00890E12" w:rsidRDefault="00890E12">
          <w:pPr>
            <w:pStyle w:val="Ttulo1"/>
          </w:pPr>
          <w:r>
            <w:t>Bibliografia</w:t>
          </w:r>
          <w:bookmarkEnd w:id="4"/>
        </w:p>
        <w:sdt>
          <w:sdtPr>
            <w:id w:val="111145805"/>
            <w:bibliography/>
          </w:sdtPr>
          <w:sdtContent>
            <w:p w14:paraId="2A610172" w14:textId="77777777" w:rsidR="00890E12" w:rsidRDefault="00890E12" w:rsidP="00890E12">
              <w:pPr>
                <w:pStyle w:val="Bibliografia"/>
                <w:rPr>
                  <w:noProof/>
                  <w:szCs w:val="24"/>
                </w:rPr>
              </w:pPr>
              <w:r>
                <w:fldChar w:fldCharType="begin"/>
              </w:r>
              <w:r>
                <w:instrText>BIBLIOGRAPHY</w:instrText>
              </w:r>
              <w:r>
                <w:fldChar w:fldCharType="separate"/>
              </w:r>
              <w:r>
                <w:rPr>
                  <w:noProof/>
                </w:rPr>
                <w:t xml:space="preserve">CARDOSO, M. A. Reflexões sobre a Educação de Jovens e Adultos e a formação docente. </w:t>
              </w:r>
              <w:r>
                <w:rPr>
                  <w:b/>
                  <w:bCs/>
                  <w:noProof/>
                </w:rPr>
                <w:t>Educação pública</w:t>
              </w:r>
              <w:r>
                <w:rPr>
                  <w:noProof/>
                </w:rPr>
                <w:t>, 06 dez 2016. Disponivel em: &lt;https://educacaopublica.cecierj.edu.br/artigos/16/25/reflexes-sobre-a-educao-de-jovens-e-adultos-e-a-formao-docente&gt;.</w:t>
              </w:r>
            </w:p>
            <w:p w14:paraId="668144FC" w14:textId="77777777" w:rsidR="00890E12" w:rsidRDefault="00890E12" w:rsidP="00890E12">
              <w:pPr>
                <w:pStyle w:val="Bibliografia"/>
                <w:rPr>
                  <w:noProof/>
                </w:rPr>
              </w:pPr>
              <w:r>
                <w:rPr>
                  <w:noProof/>
                </w:rPr>
                <w:t xml:space="preserve">DESCONHECIDO. Educação para jovens e adultos. </w:t>
              </w:r>
              <w:r>
                <w:rPr>
                  <w:b/>
                  <w:bCs/>
                  <w:noProof/>
                </w:rPr>
                <w:t>educação sp</w:t>
              </w:r>
              <w:r>
                <w:rPr>
                  <w:noProof/>
                </w:rPr>
                <w:t>, 14 set. 2020. Disponivel em: &lt;https://www.educacao.sp.gov.br/educacao-jovens-adultos&gt;.</w:t>
              </w:r>
            </w:p>
            <w:p w14:paraId="084057D5" w14:textId="77777777" w:rsidR="00890E12" w:rsidRDefault="00890E12" w:rsidP="00890E12">
              <w:pPr>
                <w:pStyle w:val="Bibliografia"/>
                <w:rPr>
                  <w:noProof/>
                </w:rPr>
              </w:pPr>
              <w:r>
                <w:rPr>
                  <w:noProof/>
                </w:rPr>
                <w:t xml:space="preserve">PACIEVITCH, T. Educação de Jovens e Adultos. </w:t>
              </w:r>
              <w:r>
                <w:rPr>
                  <w:b/>
                  <w:bCs/>
                  <w:noProof/>
                </w:rPr>
                <w:t>Info Escola</w:t>
              </w:r>
              <w:r>
                <w:rPr>
                  <w:noProof/>
                </w:rPr>
                <w:t>, 14 set. 2020. Disponivel em: &lt;https://www.infoescola.com/educacao/de-jovens-e-adultos/&gt;.</w:t>
              </w:r>
            </w:p>
            <w:p w14:paraId="306C7E73" w14:textId="13401BFA" w:rsidR="00890E12" w:rsidRDefault="00890E12" w:rsidP="00890E12">
              <w:r>
                <w:rPr>
                  <w:b/>
                  <w:bCs/>
                </w:rPr>
                <w:fldChar w:fldCharType="end"/>
              </w:r>
            </w:p>
          </w:sdtContent>
        </w:sdt>
      </w:sdtContent>
    </w:sdt>
    <w:p w14:paraId="5D722E0C" w14:textId="77777777" w:rsidR="00263ECA" w:rsidRPr="00263ECA" w:rsidRDefault="00263ECA" w:rsidP="00263ECA">
      <w:pPr>
        <w:rPr>
          <w:lang w:eastAsia="en-US"/>
        </w:rPr>
      </w:pPr>
    </w:p>
    <w:sectPr w:rsidR="00263ECA" w:rsidRPr="00263ECA" w:rsidSect="00FE5CC8">
      <w:pgSz w:w="11906" w:h="16838" w:code="9"/>
      <w:pgMar w:top="1701" w:right="1134" w:bottom="1418" w:left="1134" w:header="709" w:footer="709" w:gutter="0"/>
      <w:pgBorders w:offsetFrom="page">
        <w:top w:val="single" w:sz="8" w:space="24" w:color="auto"/>
        <w:left w:val="single" w:sz="8" w:space="24" w:color="auto"/>
        <w:bottom w:val="single" w:sz="8" w:space="24" w:color="auto"/>
        <w:right w:val="single" w:sz="8" w:space="24" w:color="auto"/>
      </w:pgBorders>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DA2C" w14:textId="77777777" w:rsidR="00A5194B" w:rsidRDefault="00A5194B" w:rsidP="00A5194B">
      <w:pPr>
        <w:spacing w:after="0" w:line="240" w:lineRule="auto"/>
      </w:pPr>
      <w:r>
        <w:separator/>
      </w:r>
    </w:p>
  </w:endnote>
  <w:endnote w:type="continuationSeparator" w:id="0">
    <w:p w14:paraId="2D1B6A43" w14:textId="77777777" w:rsidR="00A5194B" w:rsidRDefault="00A5194B" w:rsidP="00A5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717388"/>
      <w:docPartObj>
        <w:docPartGallery w:val="Page Numbers (Bottom of Page)"/>
        <w:docPartUnique/>
      </w:docPartObj>
    </w:sdtPr>
    <w:sdtEndPr/>
    <w:sdtContent>
      <w:p w14:paraId="704FEF68" w14:textId="4A34A497" w:rsidR="006032E2" w:rsidRDefault="00B47EFA" w:rsidP="006032E2">
        <w:pPr>
          <w:pStyle w:val="Rodap"/>
          <w:tabs>
            <w:tab w:val="clear" w:pos="4252"/>
            <w:tab w:val="center" w:pos="4820"/>
          </w:tabs>
        </w:pPr>
        <w:r>
          <w:fldChar w:fldCharType="begin"/>
        </w:r>
        <w:r>
          <w:instrText>PAGE   \* MERGEFORMAT</w:instrText>
        </w:r>
        <w:r>
          <w:fldChar w:fldCharType="separate"/>
        </w:r>
        <w:r>
          <w:t>2</w:t>
        </w:r>
        <w:r>
          <w:fldChar w:fldCharType="end"/>
        </w:r>
      </w:p>
      <w:p w14:paraId="67EC08D2" w14:textId="2E550638" w:rsidR="00C136E0" w:rsidRDefault="00AD33BE" w:rsidP="006032E2">
        <w:pPr>
          <w:pStyle w:val="Rodap"/>
          <w:tabs>
            <w:tab w:val="clear" w:pos="4252"/>
            <w:tab w:val="center" w:pos="4820"/>
          </w:tabs>
          <w:jc w:val="center"/>
        </w:pPr>
        <w:r w:rsidRPr="00C136E0">
          <w:t>B</w:t>
        </w:r>
        <w:r w:rsidR="00C136E0">
          <w:t>elo Horizonte</w:t>
        </w:r>
      </w:p>
      <w:p w14:paraId="60CC516C" w14:textId="3D37EBA6" w:rsidR="0076785A" w:rsidRPr="00C136E0" w:rsidRDefault="00C136E0" w:rsidP="006032E2">
        <w:pPr>
          <w:pStyle w:val="Rodap"/>
          <w:tabs>
            <w:tab w:val="clear" w:pos="4252"/>
            <w:tab w:val="center" w:pos="4820"/>
          </w:tabs>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79B83" w14:textId="77777777" w:rsidR="00A5194B" w:rsidRDefault="00A5194B" w:rsidP="00A5194B">
      <w:pPr>
        <w:spacing w:after="0" w:line="240" w:lineRule="auto"/>
      </w:pPr>
      <w:r>
        <w:separator/>
      </w:r>
    </w:p>
  </w:footnote>
  <w:footnote w:type="continuationSeparator" w:id="0">
    <w:p w14:paraId="03C778DC" w14:textId="77777777" w:rsidR="00A5194B" w:rsidRDefault="00A5194B" w:rsidP="00A51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C2824" w14:textId="20CF9DA1" w:rsidR="00363F5E" w:rsidRDefault="00363F5E">
    <w:pPr>
      <w:pStyle w:val="Cabealho"/>
    </w:pPr>
  </w:p>
  <w:p w14:paraId="4B74DB45" w14:textId="77777777" w:rsidR="00ED2363" w:rsidRDefault="000B6D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17BDC" w14:textId="77777777" w:rsidR="00C33C7B" w:rsidRDefault="000B6DC1">
    <w:pPr>
      <w:pStyle w:val="Cabealho"/>
      <w:jc w:val="right"/>
    </w:pPr>
  </w:p>
  <w:p w14:paraId="78399B6F" w14:textId="77777777" w:rsidR="00ED2363" w:rsidRDefault="000B6DC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67"/>
    <w:rsid w:val="00004561"/>
    <w:rsid w:val="00097CCB"/>
    <w:rsid w:val="000B6DC1"/>
    <w:rsid w:val="00100C28"/>
    <w:rsid w:val="00143047"/>
    <w:rsid w:val="00155911"/>
    <w:rsid w:val="001642C3"/>
    <w:rsid w:val="001672C6"/>
    <w:rsid w:val="00167E04"/>
    <w:rsid w:val="001D764B"/>
    <w:rsid w:val="00263ECA"/>
    <w:rsid w:val="002E62DD"/>
    <w:rsid w:val="00363F5E"/>
    <w:rsid w:val="00386E0B"/>
    <w:rsid w:val="00396D39"/>
    <w:rsid w:val="003C1649"/>
    <w:rsid w:val="004B4651"/>
    <w:rsid w:val="004E2FD6"/>
    <w:rsid w:val="00502452"/>
    <w:rsid w:val="005674E0"/>
    <w:rsid w:val="006032E2"/>
    <w:rsid w:val="0065671B"/>
    <w:rsid w:val="00694E8E"/>
    <w:rsid w:val="006B7C70"/>
    <w:rsid w:val="007079F6"/>
    <w:rsid w:val="0076785A"/>
    <w:rsid w:val="00890E12"/>
    <w:rsid w:val="008A5878"/>
    <w:rsid w:val="008B0EE9"/>
    <w:rsid w:val="008E3552"/>
    <w:rsid w:val="00973091"/>
    <w:rsid w:val="00985628"/>
    <w:rsid w:val="00A5194B"/>
    <w:rsid w:val="00A86542"/>
    <w:rsid w:val="00AA518E"/>
    <w:rsid w:val="00AA6DE9"/>
    <w:rsid w:val="00AD33BE"/>
    <w:rsid w:val="00B26081"/>
    <w:rsid w:val="00B47EFA"/>
    <w:rsid w:val="00B6047B"/>
    <w:rsid w:val="00B8514A"/>
    <w:rsid w:val="00C03686"/>
    <w:rsid w:val="00C136E0"/>
    <w:rsid w:val="00C168BD"/>
    <w:rsid w:val="00CB6858"/>
    <w:rsid w:val="00D27363"/>
    <w:rsid w:val="00D76080"/>
    <w:rsid w:val="00E378E2"/>
    <w:rsid w:val="00E809BD"/>
    <w:rsid w:val="00EB0A68"/>
    <w:rsid w:val="00EE7B67"/>
    <w:rsid w:val="00F3283A"/>
    <w:rsid w:val="00F356B5"/>
    <w:rsid w:val="00F44735"/>
    <w:rsid w:val="00F6239E"/>
    <w:rsid w:val="00FE5C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FA531"/>
  <w15:chartTrackingRefBased/>
  <w15:docId w15:val="{D53EA870-FC68-4CD6-A7EE-1ED6E5F4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47B"/>
    <w:pPr>
      <w:spacing w:after="40" w:line="360" w:lineRule="auto"/>
      <w:jc w:val="both"/>
    </w:pPr>
    <w:rPr>
      <w:rFonts w:ascii="Times New Roman" w:hAnsi="Times New Roman" w:cs="Calibri"/>
      <w:color w:val="000000"/>
      <w:sz w:val="24"/>
      <w:lang w:eastAsia="pt-BR"/>
    </w:rPr>
  </w:style>
  <w:style w:type="paragraph" w:styleId="Ttulo1">
    <w:name w:val="heading 1"/>
    <w:aliases w:val="Sub titulo com Sumario"/>
    <w:basedOn w:val="Subttulo"/>
    <w:next w:val="Normal"/>
    <w:link w:val="Ttulo1Char"/>
    <w:uiPriority w:val="9"/>
    <w:qFormat/>
    <w:rsid w:val="008B0EE9"/>
    <w:pPr>
      <w:keepNext/>
      <w:keepLines/>
      <w:spacing w:after="117"/>
      <w:ind w:right="551"/>
      <w:jc w:val="left"/>
      <w:outlineLvl w:val="0"/>
    </w:pPr>
    <w:rPr>
      <w:rFonts w:ascii="Times New Roman" w:eastAsia="Arial" w:hAnsi="Times New Roman" w:cs="Arial"/>
      <w:sz w:val="36"/>
      <w:lang w:eastAsia="en-US"/>
    </w:rPr>
  </w:style>
  <w:style w:type="paragraph" w:styleId="Ttulo2">
    <w:name w:val="heading 2"/>
    <w:basedOn w:val="Normal"/>
    <w:next w:val="Normal"/>
    <w:link w:val="Ttulo2Char"/>
    <w:uiPriority w:val="9"/>
    <w:semiHidden/>
    <w:unhideWhenUsed/>
    <w:qFormat/>
    <w:rsid w:val="00097C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Sub titulo com Sumario Char"/>
    <w:link w:val="Ttulo1"/>
    <w:uiPriority w:val="9"/>
    <w:rsid w:val="008B0EE9"/>
    <w:rPr>
      <w:rFonts w:ascii="Times New Roman" w:eastAsia="Arial" w:hAnsi="Times New Roman" w:cs="Arial"/>
      <w:color w:val="5A5A5A" w:themeColor="text1" w:themeTint="A5"/>
      <w:spacing w:val="15"/>
      <w:sz w:val="36"/>
    </w:rPr>
  </w:style>
  <w:style w:type="paragraph" w:styleId="SemEspaamento">
    <w:name w:val="No Spacing"/>
    <w:link w:val="SemEspaamentoChar"/>
    <w:uiPriority w:val="1"/>
    <w:qFormat/>
    <w:rsid w:val="0065671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65671B"/>
    <w:rPr>
      <w:rFonts w:eastAsiaTheme="minorEastAsia"/>
      <w:lang w:eastAsia="pt-BR"/>
    </w:rPr>
  </w:style>
  <w:style w:type="paragraph" w:styleId="Cabealho">
    <w:name w:val="header"/>
    <w:basedOn w:val="Normal"/>
    <w:link w:val="CabealhoChar"/>
    <w:uiPriority w:val="99"/>
    <w:unhideWhenUsed/>
    <w:rsid w:val="008E3552"/>
    <w:pPr>
      <w:tabs>
        <w:tab w:val="center" w:pos="4252"/>
        <w:tab w:val="right" w:pos="8504"/>
      </w:tabs>
      <w:spacing w:after="0"/>
      <w:jc w:val="left"/>
    </w:pPr>
    <w:rPr>
      <w:rFonts w:ascii="Arial" w:hAnsi="Arial"/>
    </w:rPr>
  </w:style>
  <w:style w:type="character" w:customStyle="1" w:styleId="CabealhoChar">
    <w:name w:val="Cabeçalho Char"/>
    <w:basedOn w:val="Fontepargpadro"/>
    <w:link w:val="Cabealho"/>
    <w:uiPriority w:val="99"/>
    <w:rsid w:val="008E3552"/>
    <w:rPr>
      <w:rFonts w:ascii="Arial" w:hAnsi="Arial" w:cs="Calibri"/>
      <w:color w:val="000000"/>
      <w:sz w:val="24"/>
      <w:lang w:eastAsia="pt-BR"/>
    </w:rPr>
  </w:style>
  <w:style w:type="paragraph" w:styleId="Rodap">
    <w:name w:val="footer"/>
    <w:basedOn w:val="Normal"/>
    <w:link w:val="RodapChar"/>
    <w:uiPriority w:val="99"/>
    <w:unhideWhenUsed/>
    <w:rsid w:val="008E3552"/>
    <w:pPr>
      <w:tabs>
        <w:tab w:val="center" w:pos="4252"/>
        <w:tab w:val="right" w:pos="8504"/>
      </w:tabs>
      <w:spacing w:after="0"/>
      <w:jc w:val="left"/>
    </w:pPr>
    <w:rPr>
      <w:rFonts w:ascii="Arial" w:hAnsi="Arial"/>
    </w:rPr>
  </w:style>
  <w:style w:type="character" w:customStyle="1" w:styleId="RodapChar">
    <w:name w:val="Rodapé Char"/>
    <w:basedOn w:val="Fontepargpadro"/>
    <w:link w:val="Rodap"/>
    <w:uiPriority w:val="99"/>
    <w:rsid w:val="008E3552"/>
    <w:rPr>
      <w:rFonts w:ascii="Arial" w:hAnsi="Arial" w:cs="Calibri"/>
      <w:color w:val="000000"/>
      <w:sz w:val="24"/>
      <w:lang w:eastAsia="pt-BR"/>
    </w:rPr>
  </w:style>
  <w:style w:type="paragraph" w:styleId="CabealhodoSumrio">
    <w:name w:val="TOC Heading"/>
    <w:basedOn w:val="Ttulo1"/>
    <w:next w:val="Normal"/>
    <w:uiPriority w:val="39"/>
    <w:unhideWhenUsed/>
    <w:qFormat/>
    <w:rsid w:val="00396D39"/>
    <w:pPr>
      <w:spacing w:before="240" w:after="0" w:line="259" w:lineRule="auto"/>
      <w:ind w:right="0"/>
      <w:outlineLvl w:val="9"/>
    </w:pPr>
    <w:rPr>
      <w:rFonts w:asciiTheme="majorHAnsi" w:eastAsiaTheme="majorEastAsia" w:hAnsiTheme="majorHAnsi" w:cstheme="majorBidi"/>
      <w:color w:val="365F91" w:themeColor="accent1" w:themeShade="BF"/>
      <w:sz w:val="32"/>
      <w:szCs w:val="32"/>
      <w:lang w:eastAsia="pt-BR"/>
    </w:rPr>
  </w:style>
  <w:style w:type="character" w:customStyle="1" w:styleId="Ttulo2Char">
    <w:name w:val="Título 2 Char"/>
    <w:basedOn w:val="Fontepargpadro"/>
    <w:link w:val="Ttulo2"/>
    <w:uiPriority w:val="9"/>
    <w:semiHidden/>
    <w:rsid w:val="00097CCB"/>
    <w:rPr>
      <w:rFonts w:asciiTheme="majorHAnsi" w:eastAsiaTheme="majorEastAsia" w:hAnsiTheme="majorHAnsi" w:cstheme="majorBidi"/>
      <w:color w:val="365F91" w:themeColor="accent1" w:themeShade="BF"/>
      <w:sz w:val="26"/>
      <w:szCs w:val="26"/>
      <w:lang w:eastAsia="pt-BR"/>
    </w:rPr>
  </w:style>
  <w:style w:type="paragraph" w:styleId="Ttulo">
    <w:name w:val="Title"/>
    <w:basedOn w:val="Ttulo1"/>
    <w:next w:val="Normal"/>
    <w:link w:val="TtuloChar"/>
    <w:uiPriority w:val="10"/>
    <w:qFormat/>
    <w:rsid w:val="00097CCB"/>
    <w:pPr>
      <w:spacing w:after="0"/>
      <w:contextualSpacing/>
      <w:jc w:val="center"/>
    </w:pPr>
    <w:rPr>
      <w:rFonts w:eastAsiaTheme="majorEastAsia" w:cstheme="majorBidi"/>
      <w:color w:val="auto"/>
      <w:spacing w:val="-10"/>
      <w:kern w:val="28"/>
      <w:sz w:val="56"/>
      <w:szCs w:val="56"/>
    </w:rPr>
  </w:style>
  <w:style w:type="character" w:customStyle="1" w:styleId="TtuloChar">
    <w:name w:val="Título Char"/>
    <w:basedOn w:val="Fontepargpadro"/>
    <w:link w:val="Ttulo"/>
    <w:uiPriority w:val="10"/>
    <w:rsid w:val="00097CCB"/>
    <w:rPr>
      <w:rFonts w:ascii="Times New Roman" w:eastAsiaTheme="majorEastAsia" w:hAnsi="Times New Roman" w:cstheme="majorBidi"/>
      <w:spacing w:val="-10"/>
      <w:kern w:val="28"/>
      <w:sz w:val="56"/>
      <w:szCs w:val="56"/>
    </w:rPr>
  </w:style>
  <w:style w:type="paragraph" w:styleId="Sumrio1">
    <w:name w:val="toc 1"/>
    <w:basedOn w:val="Normal"/>
    <w:next w:val="Normal"/>
    <w:autoRedefine/>
    <w:uiPriority w:val="39"/>
    <w:unhideWhenUsed/>
    <w:rsid w:val="00097CCB"/>
    <w:pPr>
      <w:spacing w:after="100"/>
    </w:pPr>
  </w:style>
  <w:style w:type="character" w:styleId="Hyperlink">
    <w:name w:val="Hyperlink"/>
    <w:basedOn w:val="Fontepargpadro"/>
    <w:uiPriority w:val="99"/>
    <w:unhideWhenUsed/>
    <w:rsid w:val="00097CCB"/>
    <w:rPr>
      <w:color w:val="0000FF" w:themeColor="hyperlink"/>
      <w:u w:val="single"/>
    </w:rPr>
  </w:style>
  <w:style w:type="paragraph" w:styleId="Bibliografia">
    <w:name w:val="Bibliography"/>
    <w:basedOn w:val="Normal"/>
    <w:next w:val="Normal"/>
    <w:uiPriority w:val="37"/>
    <w:unhideWhenUsed/>
    <w:rsid w:val="00890E12"/>
  </w:style>
  <w:style w:type="paragraph" w:styleId="Subttulo">
    <w:name w:val="Subtitle"/>
    <w:basedOn w:val="Normal"/>
    <w:next w:val="Normal"/>
    <w:link w:val="SubttuloChar"/>
    <w:uiPriority w:val="11"/>
    <w:qFormat/>
    <w:rsid w:val="00386E0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386E0B"/>
    <w:rPr>
      <w:rFonts w:eastAsiaTheme="minorEastAsia"/>
      <w:color w:val="5A5A5A" w:themeColor="text1" w:themeTint="A5"/>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404">
      <w:bodyDiv w:val="1"/>
      <w:marLeft w:val="0"/>
      <w:marRight w:val="0"/>
      <w:marTop w:val="0"/>
      <w:marBottom w:val="0"/>
      <w:divBdr>
        <w:top w:val="none" w:sz="0" w:space="0" w:color="auto"/>
        <w:left w:val="none" w:sz="0" w:space="0" w:color="auto"/>
        <w:bottom w:val="none" w:sz="0" w:space="0" w:color="auto"/>
        <w:right w:val="none" w:sz="0" w:space="0" w:color="auto"/>
      </w:divBdr>
    </w:div>
    <w:div w:id="569115893">
      <w:bodyDiv w:val="1"/>
      <w:marLeft w:val="0"/>
      <w:marRight w:val="0"/>
      <w:marTop w:val="0"/>
      <w:marBottom w:val="0"/>
      <w:divBdr>
        <w:top w:val="none" w:sz="0" w:space="0" w:color="auto"/>
        <w:left w:val="none" w:sz="0" w:space="0" w:color="auto"/>
        <w:bottom w:val="none" w:sz="0" w:space="0" w:color="auto"/>
        <w:right w:val="none" w:sz="0" w:space="0" w:color="auto"/>
      </w:divBdr>
    </w:div>
    <w:div w:id="1025406735">
      <w:bodyDiv w:val="1"/>
      <w:marLeft w:val="0"/>
      <w:marRight w:val="0"/>
      <w:marTop w:val="0"/>
      <w:marBottom w:val="0"/>
      <w:divBdr>
        <w:top w:val="none" w:sz="0" w:space="0" w:color="auto"/>
        <w:left w:val="none" w:sz="0" w:space="0" w:color="auto"/>
        <w:bottom w:val="none" w:sz="0" w:space="0" w:color="auto"/>
        <w:right w:val="none" w:sz="0" w:space="0" w:color="auto"/>
      </w:divBdr>
    </w:div>
    <w:div w:id="1077434611">
      <w:bodyDiv w:val="1"/>
      <w:marLeft w:val="0"/>
      <w:marRight w:val="0"/>
      <w:marTop w:val="0"/>
      <w:marBottom w:val="0"/>
      <w:divBdr>
        <w:top w:val="none" w:sz="0" w:space="0" w:color="auto"/>
        <w:left w:val="none" w:sz="0" w:space="0" w:color="auto"/>
        <w:bottom w:val="none" w:sz="0" w:space="0" w:color="auto"/>
        <w:right w:val="none" w:sz="0" w:space="0" w:color="auto"/>
      </w:divBdr>
    </w:div>
    <w:div w:id="1295714285">
      <w:bodyDiv w:val="1"/>
      <w:marLeft w:val="0"/>
      <w:marRight w:val="0"/>
      <w:marTop w:val="0"/>
      <w:marBottom w:val="0"/>
      <w:divBdr>
        <w:top w:val="none" w:sz="0" w:space="0" w:color="auto"/>
        <w:left w:val="none" w:sz="0" w:space="0" w:color="auto"/>
        <w:bottom w:val="none" w:sz="0" w:space="0" w:color="auto"/>
        <w:right w:val="none" w:sz="0" w:space="0" w:color="auto"/>
      </w:divBdr>
    </w:div>
    <w:div w:id="17651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des20</b:Tag>
    <b:SourceType>InternetSite</b:SourceType>
    <b:Guid>{2776BCE8-2FE1-485C-A70D-6AB168F42E27}</b:Guid>
    <b:Author>
      <b:Author>
        <b:NameList>
          <b:Person>
            <b:Last>desconhecido</b:Last>
          </b:Person>
        </b:NameList>
      </b:Author>
    </b:Author>
    <b:Title>Educação para jovens e adultos </b:Title>
    <b:InternetSiteTitle>educação sp</b:InternetSiteTitle>
    <b:Year>2020</b:Year>
    <b:Month>09</b:Month>
    <b:Day>14</b:Day>
    <b:URL>https://www.educacao.sp.gov.br/educacao-jovens-adultos</b:URL>
    <b:RefOrder>1</b:RefOrder>
  </b:Source>
  <b:Source>
    <b:Tag>Mar16</b:Tag>
    <b:SourceType>InternetSite</b:SourceType>
    <b:Guid>{397B5692-EC98-4236-93AB-643DA6B19798}</b:Guid>
    <b:Author>
      <b:Author>
        <b:NameList>
          <b:Person>
            <b:Last>Cardoso</b:Last>
            <b:First>Marcélia</b:First>
            <b:Middle>Amorim</b:Middle>
          </b:Person>
        </b:NameList>
      </b:Author>
    </b:Author>
    <b:Title>Reflexões sobre a Educação de Jovens e Adultos e a formação docente</b:Title>
    <b:InternetSiteTitle>Educação pública</b:InternetSiteTitle>
    <b:Year>2016</b:Year>
    <b:Month>dez</b:Month>
    <b:Day>06</b:Day>
    <b:URL>https://educacaopublica.cecierj.edu.br/artigos/16/25/reflexes-sobre-a-educao-de-jovens-e-adultos-e-a-formao-docente</b:URL>
    <b:RefOrder>2</b:RefOrder>
  </b:Source>
  <b:Source>
    <b:Tag>Tha20</b:Tag>
    <b:SourceType>InternetSite</b:SourceType>
    <b:Guid>{42ACAF70-C21B-4ACD-AD54-37F4B929D440}</b:Guid>
    <b:Author>
      <b:Author>
        <b:NameList>
          <b:Person>
            <b:Last>Pacievitch</b:Last>
            <b:First>Thais</b:First>
          </b:Person>
        </b:NameList>
      </b:Author>
    </b:Author>
    <b:Title>Educação de Jovens e Adultos</b:Title>
    <b:InternetSiteTitle>Info Escola</b:InternetSiteTitle>
    <b:Year>2020</b:Year>
    <b:Month>09</b:Month>
    <b:Day>14</b:Day>
    <b:URL>https://www.infoescola.com/educacao/de-jovens-e-adultos/</b:URL>
    <b:RefOrder>3</b:RefOrder>
  </b:Source>
</b:Sources>
</file>

<file path=customXml/itemProps1.xml><?xml version="1.0" encoding="utf-8"?>
<ds:datastoreItem xmlns:ds="http://schemas.openxmlformats.org/officeDocument/2006/customXml" ds:itemID="{AFF3D765-D6CE-4CF0-BB19-A3955028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556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Educação de jovens e adultos</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Educação de jovens e adultos</dc:title>
  <dc:subject/>
  <dc:creator>gustavo roberto</dc:creator>
  <cp:keywords/>
  <dc:description/>
  <cp:lastModifiedBy>gustavo roberto</cp:lastModifiedBy>
  <cp:revision>4</cp:revision>
  <dcterms:created xsi:type="dcterms:W3CDTF">2020-09-14T19:23:00Z</dcterms:created>
  <dcterms:modified xsi:type="dcterms:W3CDTF">2020-09-14T21:29:00Z</dcterms:modified>
</cp:coreProperties>
</file>