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Resumen por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Cuota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  <w:vMerge w:val="restart"/>
          </w:tcPr>
          <w:p>
            <w:r>
              <w:t>Ferretería Núñez, S.L.</w:t>
            </w:r>
          </w:p>
        </w:tc>
        <w:tc>
          <w:tcPr>
            <w:tcW w:type="dxa" w:w="2160"/>
          </w:tcPr>
          <w:p>
            <w:r>
              <w:t>1.250,00</w:t>
            </w:r>
          </w:p>
        </w:tc>
        <w:tc>
          <w:tcPr>
            <w:tcW w:type="dxa" w:w="2160"/>
          </w:tcPr>
          <w:p>
            <w:r>
              <w:t>262,50</w:t>
            </w:r>
          </w:p>
        </w:tc>
        <w:tc>
          <w:tcPr>
            <w:tcW w:type="dxa" w:w="2160"/>
          </w:tcPr>
          <w:p>
            <w:r>
              <w:t>1.512,50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100,00</w:t>
            </w:r>
          </w:p>
        </w:tc>
        <w:tc>
          <w:tcPr>
            <w:tcW w:type="dxa" w:w="2160"/>
          </w:tcPr>
          <w:p>
            <w:r>
              <w:t>21,00</w:t>
            </w:r>
          </w:p>
        </w:tc>
        <w:tc>
          <w:tcPr>
            <w:tcW w:type="dxa" w:w="2160"/>
          </w:tcPr>
          <w:p>
            <w:r>
              <w:t>121,00</w:t>
            </w:r>
          </w:p>
        </w:tc>
      </w:tr>
      <w:tr>
        <w:tc>
          <w:tcPr>
            <w:tcW w:type="dxa" w:w="4320"/>
            <w:gridSpan w:val="2"/>
          </w:tcPr>
          <w:p>
            <w:r>
              <w:t>Total general</w:t>
            </w:r>
          </w:p>
        </w:tc>
        <w:tc>
          <w:tcPr>
            <w:tcW w:type="dxa" w:w="2160"/>
          </w:tcPr>
          <w:p>
            <w:r>
              <w:t>283,50</w:t>
            </w:r>
          </w:p>
        </w:tc>
        <w:tc>
          <w:tcPr>
            <w:tcW w:type="dxa" w:w="2160"/>
          </w:tcPr>
          <w:p>
            <w:r>
              <w:t>1.633,50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