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233A81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000000"/>
          <w:kern w:val="0"/>
          <w:lang w:val="en-CL"/>
          <w14:ligatures w14:val="none"/>
        </w:rPr>
        <w:t>Dataset: Default of Credit Card Clients</w:t>
      </w:r>
    </w:p>
    <w:p w14:paraId="71884CFD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CL"/>
          <w14:ligatures w14:val="none"/>
        </w:rPr>
      </w:pPr>
    </w:p>
    <w:p w14:paraId="14FE75DB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000000"/>
          <w:kern w:val="0"/>
          <w:lang w:val="en-CL"/>
          <w14:ligatures w14:val="none"/>
        </w:rPr>
        <w:t>Nombre: Default of Credit Card Clients Tipo: Clasificación binaria</w:t>
      </w:r>
    </w:p>
    <w:p w14:paraId="00FC1446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000000"/>
          <w:kern w:val="0"/>
          <w:lang w:val="en-CL"/>
          <w14:ligatures w14:val="none"/>
        </w:rPr>
        <w:t>Variable a Predecir: Incumplimiento de pago (1 = sí, 0 = no)</w:t>
      </w:r>
    </w:p>
    <w:p w14:paraId="61A2805E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000000"/>
          <w:kern w:val="0"/>
          <w:lang w:val="en-CL"/>
          <w14:ligatures w14:val="none"/>
        </w:rPr>
        <w:t>Descripción:</w:t>
      </w:r>
    </w:p>
    <w:p w14:paraId="3223862B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000000"/>
          <w:kern w:val="0"/>
          <w:lang w:val="en-CL"/>
          <w14:ligatures w14:val="none"/>
        </w:rPr>
        <w:t>Dataset de clientes de tarjetas de crédito en Taiwán (2005). Contiene información sobre historial</w:t>
      </w:r>
    </w:p>
    <w:p w14:paraId="17DEF3C5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000000"/>
          <w:kern w:val="0"/>
          <w:lang w:val="en-CL"/>
          <w14:ligatures w14:val="none"/>
        </w:rPr>
        <w:t>de pagos, montos de facturas, montos de pagos y características demográficas. El objetivo es</w:t>
      </w:r>
    </w:p>
    <w:p w14:paraId="5F3A7F5E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000000"/>
          <w:kern w:val="0"/>
          <w:lang w:val="en-CL"/>
          <w14:ligatures w14:val="none"/>
        </w:rPr>
        <w:t>predecir si el cliente incumplirá el pago el próximo mes.</w:t>
      </w:r>
    </w:p>
    <w:p w14:paraId="623518D5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000000"/>
          <w:kern w:val="0"/>
          <w:lang w:val="en-CL"/>
          <w14:ligatures w14:val="none"/>
        </w:rPr>
        <w:t>Variables: límite de crédito, información demográfica (género, educación, estado civil, edad),</w:t>
      </w:r>
    </w:p>
    <w:p w14:paraId="2A067B7F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000000"/>
          <w:kern w:val="0"/>
          <w:lang w:val="en-CL"/>
          <w14:ligatures w14:val="none"/>
        </w:rPr>
        <w:t>historial de pagos en los últimos 6 meses, montos de facturas de los últimos 6 meses, montos de</w:t>
      </w:r>
    </w:p>
    <w:p w14:paraId="55BC81FD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000000"/>
          <w:kern w:val="0"/>
          <w:lang w:val="en-CL"/>
          <w14:ligatures w14:val="none"/>
        </w:rPr>
        <w:t>pagos de los últimos 6 meses.</w:t>
      </w:r>
    </w:p>
    <w:p w14:paraId="3BD3B25C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000000"/>
          <w:kern w:val="0"/>
          <w:lang w:val="en-CL"/>
          <w14:ligatures w14:val="none"/>
        </w:rPr>
        <w:t>Aplicaciones prácticas: gestión de riesgo de crédito, estrategias de cobranza proactiva, ajuste</w:t>
      </w:r>
    </w:p>
    <w:p w14:paraId="436E3908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000000"/>
          <w:kern w:val="0"/>
          <w:lang w:val="en-CL"/>
          <w14:ligatures w14:val="none"/>
        </w:rPr>
        <w:t>delímitesdecrédito,identificacióntempranadecuentasproblemáticas,optimizacióndepolíticas</w:t>
      </w:r>
    </w:p>
    <w:p w14:paraId="768EB7ED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000000"/>
          <w:kern w:val="0"/>
          <w:lang w:val="en-CL"/>
          <w14:ligatures w14:val="none"/>
        </w:rPr>
        <w:t>crediticias.</w:t>
      </w:r>
    </w:p>
    <w:p w14:paraId="5C32FF00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C1D32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000000"/>
          <w:kern w:val="0"/>
          <w:lang w:val="en-CL"/>
          <w14:ligatures w14:val="none"/>
        </w:rPr>
        <w:t xml:space="preserve">Fuente: </w:t>
      </w:r>
      <w:r w:rsidRPr="00525CC5">
        <w:rPr>
          <w:rFonts w:ascii="Arial" w:eastAsia="Times New Roman" w:hAnsi="Arial" w:cs="Arial"/>
          <w:color w:val="0C1D32"/>
          <w:kern w:val="0"/>
          <w:lang w:val="en-CL"/>
          <w14:ligatures w14:val="none"/>
        </w:rPr>
        <w:t>https://www.kaggle.com/datasets/uciml/default-of-credit-card-clients-d</w:t>
      </w:r>
    </w:p>
    <w:p w14:paraId="2B6D7F3D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C1D32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0C1D32"/>
          <w:kern w:val="0"/>
          <w:lang w:val="en-CL"/>
          <w14:ligatures w14:val="none"/>
        </w:rPr>
        <w:t>ataset</w:t>
      </w:r>
    </w:p>
    <w:p w14:paraId="22B711A4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000000"/>
          <w:kern w:val="0"/>
          <w:lang w:val="en-CL"/>
          <w14:ligatures w14:val="none"/>
        </w:rPr>
        <w:t>Desafíos: series temporales de pagos (6 meses), posible autocorrelación en el historial de pagos,</w:t>
      </w:r>
    </w:p>
    <w:p w14:paraId="642C892F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000000"/>
          <w:kern w:val="0"/>
          <w:lang w:val="en-CL"/>
          <w14:ligatures w14:val="none"/>
        </w:rPr>
        <w:t>interpretación de los códigos de estado de pago, balance entre sensibilidad y especificidad. Datos</w:t>
      </w:r>
    </w:p>
    <w:p w14:paraId="1B97AA4A" w14:textId="77777777" w:rsidR="00CC4638" w:rsidRPr="00525CC5" w:rsidRDefault="00CC4638" w:rsidP="00CC4638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000000"/>
          <w:kern w:val="0"/>
          <w:lang w:val="en-CL"/>
          <w14:ligatures w14:val="none"/>
        </w:rPr>
        <w:t>limpios (sin faltantes), aunque con varios predictores categóricos.</w:t>
      </w:r>
    </w:p>
    <w:p w14:paraId="246CA709" w14:textId="77777777" w:rsidR="00CC4638" w:rsidRPr="00525CC5" w:rsidRDefault="00CC4638" w:rsidP="00CC4638">
      <w:pPr>
        <w:jc w:val="both"/>
        <w:rPr>
          <w:rFonts w:ascii="Arial" w:hAnsi="Arial" w:cs="Arial"/>
        </w:rPr>
      </w:pPr>
    </w:p>
    <w:p w14:paraId="7750C90D" w14:textId="77777777" w:rsidR="00CC4638" w:rsidRPr="00525CC5" w:rsidRDefault="00CC4638" w:rsidP="00CC4638">
      <w:pPr>
        <w:jc w:val="both"/>
        <w:rPr>
          <w:rFonts w:ascii="Arial" w:hAnsi="Arial" w:cs="Arial"/>
        </w:rPr>
      </w:pPr>
    </w:p>
    <w:p w14:paraId="713DEE2E" w14:textId="77777777" w:rsidR="00CC4638" w:rsidRPr="00525CC5" w:rsidRDefault="00CC4638" w:rsidP="00CC4638">
      <w:pPr>
        <w:shd w:val="clear" w:color="auto" w:fill="FFFFFF"/>
        <w:spacing w:after="0" w:line="480" w:lineRule="atLeast"/>
        <w:jc w:val="both"/>
        <w:textAlignment w:val="baseline"/>
        <w:outlineLvl w:val="1"/>
        <w:rPr>
          <w:rFonts w:ascii="Arial" w:eastAsia="Times New Roman" w:hAnsi="Arial" w:cs="Arial"/>
          <w:color w:val="202124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202124"/>
          <w:kern w:val="0"/>
          <w:lang w:val="en-CL"/>
          <w14:ligatures w14:val="none"/>
        </w:rPr>
        <w:t>About Dataset</w:t>
      </w:r>
    </w:p>
    <w:p w14:paraId="6FE761A7" w14:textId="77777777" w:rsidR="00CC4638" w:rsidRPr="00525CC5" w:rsidRDefault="00CC4638" w:rsidP="00CC4638">
      <w:pPr>
        <w:shd w:val="clear" w:color="auto" w:fill="FFFFFF"/>
        <w:spacing w:after="180" w:line="330" w:lineRule="atLeast"/>
        <w:jc w:val="both"/>
        <w:textAlignment w:val="baseline"/>
        <w:outlineLvl w:val="1"/>
        <w:rPr>
          <w:rFonts w:ascii="Arial" w:eastAsia="Times New Roman" w:hAnsi="Arial" w:cs="Arial"/>
          <w:color w:val="202124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202124"/>
          <w:kern w:val="0"/>
          <w:lang w:val="en-CL"/>
          <w14:ligatures w14:val="none"/>
        </w:rPr>
        <w:t>Dataset Information</w:t>
      </w:r>
    </w:p>
    <w:p w14:paraId="1A9A491E" w14:textId="77777777" w:rsidR="00CC4638" w:rsidRPr="00525CC5" w:rsidRDefault="00CC4638" w:rsidP="00CC4638">
      <w:pPr>
        <w:shd w:val="clear" w:color="auto" w:fill="FFFFFF"/>
        <w:spacing w:after="24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This dataset contains information on default payments, demographic factors, credit data, history of payment, and bill statements of credit card clients in Taiwan from April 2005 to September 2005.</w:t>
      </w:r>
    </w:p>
    <w:p w14:paraId="2BF3CAB5" w14:textId="77777777" w:rsidR="00CC4638" w:rsidRPr="00525CC5" w:rsidRDefault="00CC4638" w:rsidP="00CC4638">
      <w:pPr>
        <w:shd w:val="clear" w:color="auto" w:fill="FFFFFF"/>
        <w:spacing w:before="360" w:after="180" w:line="330" w:lineRule="atLeast"/>
        <w:jc w:val="both"/>
        <w:textAlignment w:val="baseline"/>
        <w:outlineLvl w:val="1"/>
        <w:rPr>
          <w:rFonts w:ascii="Arial" w:eastAsia="Times New Roman" w:hAnsi="Arial" w:cs="Arial"/>
          <w:color w:val="202124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202124"/>
          <w:kern w:val="0"/>
          <w:lang w:val="en-CL"/>
          <w14:ligatures w14:val="none"/>
        </w:rPr>
        <w:t>Content</w:t>
      </w:r>
    </w:p>
    <w:p w14:paraId="42B44E2E" w14:textId="77777777" w:rsidR="00CC4638" w:rsidRPr="00525CC5" w:rsidRDefault="00CC4638" w:rsidP="00CC4638">
      <w:pPr>
        <w:shd w:val="clear" w:color="auto" w:fill="FFFFFF"/>
        <w:spacing w:after="24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There are 25 variables:</w:t>
      </w:r>
    </w:p>
    <w:p w14:paraId="1A281F0B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ID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ID of each client</w:t>
      </w:r>
    </w:p>
    <w:p w14:paraId="103BA4CB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LIMIT_BAL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Amount of given credit in NT dollars (includes individual and family/supplementary credit</w:t>
      </w:r>
    </w:p>
    <w:p w14:paraId="5B2DB146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lastRenderedPageBreak/>
        <w:t>SEX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Gender (1=male, 2=female)</w:t>
      </w:r>
    </w:p>
    <w:p w14:paraId="02F6A6BF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EDUCATION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(1=graduate school, 2=university, 3=high school, 4=others, 5=unknown, 6=unknown)</w:t>
      </w:r>
    </w:p>
    <w:p w14:paraId="4B679878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MARRIAGE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Marital status (1=married, 2=single, 3=others)</w:t>
      </w:r>
    </w:p>
    <w:p w14:paraId="60511E71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AGE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Age in years</w:t>
      </w:r>
    </w:p>
    <w:p w14:paraId="2309C6A5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PAY_0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Repayment status in September, 2005 (-1=pay duly, 1=payment delay for one month, 2=payment delay for two months, … 8=payment delay for eight months, 9=payment delay for nine months and above)</w:t>
      </w:r>
    </w:p>
    <w:p w14:paraId="49166981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PAY_2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Repayment status in August, 2005 (scale same as above)</w:t>
      </w:r>
    </w:p>
    <w:p w14:paraId="7BDA513A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PAY_3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Repayment status in July, 2005 (scale same as above)</w:t>
      </w:r>
    </w:p>
    <w:p w14:paraId="016B1656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PAY_4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Repayment status in June, 2005 (scale same as above)</w:t>
      </w:r>
    </w:p>
    <w:p w14:paraId="044482E4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PAY_5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Repayment status in May, 2005 (scale same as above)</w:t>
      </w:r>
    </w:p>
    <w:p w14:paraId="535E074C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PAY_6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Repayment status in April, 2005 (scale same as above)</w:t>
      </w:r>
    </w:p>
    <w:p w14:paraId="594AC2DD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BILL_AMT1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Amount of bill statement in September, 2005 (NT dollar)</w:t>
      </w:r>
    </w:p>
    <w:p w14:paraId="24228F20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BILL_AMT2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Amount of bill statement in August, 2005 (NT dollar)</w:t>
      </w:r>
    </w:p>
    <w:p w14:paraId="5CD9753F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BILL_AMT3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Amount of bill statement in July, 2005 (NT dollar)</w:t>
      </w:r>
    </w:p>
    <w:p w14:paraId="1D73DBB0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BILL_AMT4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Amount of bill statement in June, 2005 (NT dollar)</w:t>
      </w:r>
    </w:p>
    <w:p w14:paraId="00BFB4B3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BILL_AMT5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Amount of bill statement in May, 2005 (NT dollar)</w:t>
      </w:r>
    </w:p>
    <w:p w14:paraId="5583EEA0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BILL_AMT6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Amount of bill statement in April, 2005 (NT dollar)</w:t>
      </w:r>
    </w:p>
    <w:p w14:paraId="4166416C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PAY_AMT1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Amount of previous payment in September, 2005 (NT dollar)</w:t>
      </w:r>
    </w:p>
    <w:p w14:paraId="0AE8B49D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PAY_AMT2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Amount of previous payment in August, 2005 (NT dollar)</w:t>
      </w:r>
    </w:p>
    <w:p w14:paraId="1C659F7D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PAY_AMT3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Amount of previous payment in July, 2005 (NT dollar)</w:t>
      </w:r>
    </w:p>
    <w:p w14:paraId="01A43796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PAY_AMT4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Amount of previous payment in June, 2005 (NT dollar)</w:t>
      </w:r>
    </w:p>
    <w:p w14:paraId="13F51950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PAY_AMT5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Amount of previous payment in May, 2005 (NT dollar)</w:t>
      </w:r>
    </w:p>
    <w:p w14:paraId="3CD8BECC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PAY_AMT6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Amount of previous payment in April, 2005 (NT dollar)</w:t>
      </w:r>
    </w:p>
    <w:p w14:paraId="621C67F2" w14:textId="77777777" w:rsidR="00CC4638" w:rsidRPr="00525CC5" w:rsidRDefault="00CC4638" w:rsidP="00CC4638">
      <w:pPr>
        <w:numPr>
          <w:ilvl w:val="0"/>
          <w:numId w:val="1"/>
        </w:num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bdr w:val="none" w:sz="0" w:space="0" w:color="auto" w:frame="1"/>
          <w:lang w:val="en-CL"/>
          <w14:ligatures w14:val="none"/>
        </w:rPr>
        <w:t>default.payment.next.month</w:t>
      </w: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: Default payment (1=yes, 0=no)</w:t>
      </w:r>
    </w:p>
    <w:p w14:paraId="76CC8A40" w14:textId="77777777" w:rsidR="00CC4638" w:rsidRPr="00525CC5" w:rsidRDefault="00CC4638" w:rsidP="00CC4638">
      <w:pPr>
        <w:shd w:val="clear" w:color="auto" w:fill="FFFFFF"/>
        <w:spacing w:before="360" w:after="180" w:line="330" w:lineRule="atLeast"/>
        <w:jc w:val="both"/>
        <w:textAlignment w:val="baseline"/>
        <w:outlineLvl w:val="1"/>
        <w:rPr>
          <w:rFonts w:ascii="Arial" w:eastAsia="Times New Roman" w:hAnsi="Arial" w:cs="Arial"/>
          <w:color w:val="202124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202124"/>
          <w:kern w:val="0"/>
          <w:lang w:val="en-CL"/>
          <w14:ligatures w14:val="none"/>
        </w:rPr>
        <w:t>Inspiration</w:t>
      </w:r>
    </w:p>
    <w:p w14:paraId="1FE0A333" w14:textId="77777777" w:rsidR="00CC4638" w:rsidRPr="00525CC5" w:rsidRDefault="00CC4638" w:rsidP="00CC4638">
      <w:pPr>
        <w:shd w:val="clear" w:color="auto" w:fill="FFFFFF"/>
        <w:spacing w:after="24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Some ideas for exploration:</w:t>
      </w:r>
    </w:p>
    <w:p w14:paraId="07E1AF3A" w14:textId="77777777" w:rsidR="00CC4638" w:rsidRPr="00525CC5" w:rsidRDefault="00CC4638" w:rsidP="00CC4638">
      <w:pPr>
        <w:numPr>
          <w:ilvl w:val="0"/>
          <w:numId w:val="2"/>
        </w:numPr>
        <w:shd w:val="clear" w:color="auto" w:fill="FFFFFF"/>
        <w:spacing w:before="120" w:after="12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How does the probability of default payment vary by categories of different demographic variables?</w:t>
      </w:r>
    </w:p>
    <w:p w14:paraId="780BF36C" w14:textId="77777777" w:rsidR="00CC4638" w:rsidRPr="00525CC5" w:rsidRDefault="00CC4638" w:rsidP="00CC4638">
      <w:pPr>
        <w:numPr>
          <w:ilvl w:val="0"/>
          <w:numId w:val="2"/>
        </w:numPr>
        <w:shd w:val="clear" w:color="auto" w:fill="FFFFFF"/>
        <w:spacing w:before="120" w:after="12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Which variables are the strongest predictors of default payment?</w:t>
      </w:r>
    </w:p>
    <w:p w14:paraId="7D866EA4" w14:textId="77777777" w:rsidR="00CC4638" w:rsidRPr="00525CC5" w:rsidRDefault="00CC4638" w:rsidP="00CC4638">
      <w:pPr>
        <w:shd w:val="clear" w:color="auto" w:fill="FFFFFF"/>
        <w:spacing w:before="360" w:after="180" w:line="330" w:lineRule="atLeast"/>
        <w:jc w:val="both"/>
        <w:textAlignment w:val="baseline"/>
        <w:outlineLvl w:val="1"/>
        <w:rPr>
          <w:rFonts w:ascii="Arial" w:eastAsia="Times New Roman" w:hAnsi="Arial" w:cs="Arial"/>
          <w:color w:val="202124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202124"/>
          <w:kern w:val="0"/>
          <w:lang w:val="en-CL"/>
          <w14:ligatures w14:val="none"/>
        </w:rPr>
        <w:t>Acknowledgements</w:t>
      </w:r>
    </w:p>
    <w:p w14:paraId="294F85E3" w14:textId="77777777" w:rsidR="00CC4638" w:rsidRPr="00525CC5" w:rsidRDefault="00CC4638" w:rsidP="00CC4638">
      <w:pPr>
        <w:shd w:val="clear" w:color="auto" w:fill="FFFFFF"/>
        <w:spacing w:after="24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Any publications based on this dataset should acknowledge the following:</w:t>
      </w:r>
    </w:p>
    <w:p w14:paraId="6AD01620" w14:textId="77777777" w:rsidR="00CC4638" w:rsidRPr="00525CC5" w:rsidRDefault="00CC4638" w:rsidP="00CC4638">
      <w:p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lastRenderedPageBreak/>
        <w:t>Lichman, M. (2013). UCI Machine Learning Repository [</w:t>
      </w:r>
      <w:hyperlink r:id="rId5" w:tgtFrame="_blank" w:history="1">
        <w:r w:rsidRPr="00525CC5">
          <w:rPr>
            <w:rFonts w:ascii="Arial" w:eastAsia="Times New Roman" w:hAnsi="Arial" w:cs="Arial"/>
            <w:color w:val="202124"/>
            <w:kern w:val="0"/>
            <w:bdr w:val="none" w:sz="0" w:space="0" w:color="auto" w:frame="1"/>
            <w:lang w:val="en-CL"/>
            <w14:ligatures w14:val="none"/>
          </w:rPr>
          <w:t>http://archive.ics.uci.edu/ml]</w:t>
        </w:r>
      </w:hyperlink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. Irvine, CA: University of California, School of Information and Computer Science.</w:t>
      </w:r>
    </w:p>
    <w:p w14:paraId="4BEDC076" w14:textId="77777777" w:rsidR="00CC4638" w:rsidRPr="00525CC5" w:rsidRDefault="00CC4638" w:rsidP="00CC4638">
      <w:pPr>
        <w:shd w:val="clear" w:color="auto" w:fill="FFFFFF"/>
        <w:spacing w:after="0" w:line="330" w:lineRule="atLeast"/>
        <w:jc w:val="both"/>
        <w:textAlignment w:val="baseline"/>
        <w:rPr>
          <w:rFonts w:ascii="Arial" w:eastAsia="Times New Roman" w:hAnsi="Arial" w:cs="Arial"/>
          <w:color w:val="3C4043"/>
          <w:kern w:val="0"/>
          <w:lang w:val="en-CL"/>
          <w14:ligatures w14:val="none"/>
        </w:rPr>
      </w:pPr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The original dataset can be found </w:t>
      </w:r>
      <w:hyperlink r:id="rId6" w:tgtFrame="_blank" w:history="1">
        <w:r w:rsidRPr="00525CC5">
          <w:rPr>
            <w:rFonts w:ascii="Arial" w:eastAsia="Times New Roman" w:hAnsi="Arial" w:cs="Arial"/>
            <w:color w:val="202124"/>
            <w:kern w:val="0"/>
            <w:bdr w:val="none" w:sz="0" w:space="0" w:color="auto" w:frame="1"/>
            <w:lang w:val="en-CL"/>
            <w14:ligatures w14:val="none"/>
          </w:rPr>
          <w:t>here</w:t>
        </w:r>
      </w:hyperlink>
      <w:r w:rsidRPr="00525CC5">
        <w:rPr>
          <w:rFonts w:ascii="Arial" w:eastAsia="Times New Roman" w:hAnsi="Arial" w:cs="Arial"/>
          <w:color w:val="3C4043"/>
          <w:kern w:val="0"/>
          <w:lang w:val="en-CL"/>
          <w14:ligatures w14:val="none"/>
        </w:rPr>
        <w:t> at the UCI Machine Learning Repository.</w:t>
      </w:r>
    </w:p>
    <w:p w14:paraId="7AFD4BDA" w14:textId="77777777" w:rsidR="00CC4638" w:rsidRPr="00525CC5" w:rsidRDefault="00CC4638" w:rsidP="00CC4638">
      <w:pPr>
        <w:jc w:val="both"/>
        <w:rPr>
          <w:rFonts w:ascii="Arial" w:hAnsi="Arial" w:cs="Arial"/>
        </w:rPr>
      </w:pPr>
    </w:p>
    <w:p w14:paraId="6253D3FE" w14:textId="77777777" w:rsidR="00CC4638" w:rsidRPr="00525CC5" w:rsidRDefault="00CC4638" w:rsidP="00CC4638">
      <w:pPr>
        <w:jc w:val="both"/>
        <w:rPr>
          <w:rFonts w:ascii="Arial" w:hAnsi="Arial" w:cs="Arial"/>
        </w:rPr>
      </w:pPr>
    </w:p>
    <w:p w14:paraId="5FEBC2DA" w14:textId="77777777" w:rsidR="001B6862" w:rsidRDefault="001B6862"/>
    <w:sectPr w:rsidR="001B6862" w:rsidSect="00CC46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04247D"/>
    <w:multiLevelType w:val="multilevel"/>
    <w:tmpl w:val="173A6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26C44"/>
    <w:multiLevelType w:val="multilevel"/>
    <w:tmpl w:val="197C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9430297">
    <w:abstractNumId w:val="1"/>
  </w:num>
  <w:num w:numId="2" w16cid:durableId="5168443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38"/>
    <w:rsid w:val="001B6862"/>
    <w:rsid w:val="0055789F"/>
    <w:rsid w:val="00631D49"/>
    <w:rsid w:val="00643DD8"/>
    <w:rsid w:val="00772C81"/>
    <w:rsid w:val="00965754"/>
    <w:rsid w:val="00CC4638"/>
    <w:rsid w:val="00DE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A3F07A"/>
  <w15:chartTrackingRefBased/>
  <w15:docId w15:val="{5CC90D71-505C-1449-8EE1-4DFA0EA0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638"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4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63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63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638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638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638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638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638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638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638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CC4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63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638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CC4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638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CC4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638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CC4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ml/datasets/default+of+credit+card+clients" TargetMode="External"/><Relationship Id="rId5" Type="http://schemas.openxmlformats.org/officeDocument/2006/relationships/hyperlink" Target="http://archive.ics.uci.edu/ml%5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Knopke Vera</dc:creator>
  <cp:keywords/>
  <dc:description/>
  <cp:lastModifiedBy>Arturo Knopke Vera</cp:lastModifiedBy>
  <cp:revision>1</cp:revision>
  <dcterms:created xsi:type="dcterms:W3CDTF">2026-06-25T23:33:00Z</dcterms:created>
  <dcterms:modified xsi:type="dcterms:W3CDTF">2026-06-25T23:34:00Z</dcterms:modified>
</cp:coreProperties>
</file>