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42B5" w14:textId="77777777" w:rsidR="00D84312" w:rsidRDefault="00000000">
      <w:pPr>
        <w:spacing w:before="400"/>
        <w:jc w:val="center"/>
      </w:pPr>
      <w:r>
        <w:rPr>
          <w:noProof/>
        </w:rPr>
        <w:drawing>
          <wp:inline distT="0" distB="0" distL="0" distR="0" wp14:anchorId="3C9D7158" wp14:editId="7F120B57">
            <wp:extent cx="1238250" cy="1028700"/>
            <wp:effectExtent l="0" t="0" r="0" b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FFF5" w14:textId="77777777" w:rsidR="00D84312" w:rsidRDefault="00000000">
      <w:pPr>
        <w:spacing w:before="500"/>
        <w:jc w:val="center"/>
      </w:pPr>
      <w:r>
        <w:rPr>
          <w:b/>
          <w:bCs/>
          <w:color w:val="5A5A5A"/>
          <w:sz w:val="18"/>
          <w:szCs w:val="18"/>
        </w:rPr>
        <w:t>MAGÍSTER EN CIENCIA DE DATOS E INTELIGENCIA ARTIFICIAL</w:t>
      </w:r>
    </w:p>
    <w:p w14:paraId="43082A8D" w14:textId="77777777" w:rsidR="00D84312" w:rsidRDefault="00000000">
      <w:pPr>
        <w:spacing w:before="60" w:after="700"/>
        <w:jc w:val="center"/>
      </w:pPr>
      <w:r>
        <w:rPr>
          <w:i/>
          <w:iCs/>
          <w:color w:val="8C8C8C"/>
          <w:sz w:val="18"/>
          <w:szCs w:val="18"/>
        </w:rPr>
        <w:t>MCDI501: Estadística Computacional para la Toma de Decisiones</w:t>
      </w:r>
    </w:p>
    <w:p w14:paraId="2B55472E" w14:textId="77777777" w:rsidR="00D84312" w:rsidRDefault="00000000">
      <w:pPr>
        <w:spacing w:after="160"/>
        <w:jc w:val="center"/>
      </w:pPr>
      <w:r>
        <w:rPr>
          <w:b/>
          <w:bCs/>
          <w:sz w:val="32"/>
          <w:szCs w:val="32"/>
        </w:rPr>
        <w:t>Evaluación Formativa 1</w:t>
      </w:r>
    </w:p>
    <w:p w14:paraId="01986F08" w14:textId="77777777" w:rsidR="00D84312" w:rsidRDefault="00000000">
      <w:pPr>
        <w:spacing w:after="700"/>
        <w:jc w:val="center"/>
      </w:pPr>
      <w:r>
        <w:rPr>
          <w:sz w:val="26"/>
          <w:szCs w:val="26"/>
        </w:rPr>
        <w:t>Análisis Exploratorio e Inferencial (práctica)</w:t>
      </w:r>
    </w:p>
    <w:p w14:paraId="4FE825AD" w14:textId="77777777" w:rsidR="00D84312" w:rsidRDefault="00000000">
      <w:pPr>
        <w:spacing w:after="900"/>
        <w:jc w:val="center"/>
      </w:pPr>
      <w:r>
        <w:rPr>
          <w:i/>
          <w:iCs/>
          <w:color w:val="5A5A5A"/>
          <w:sz w:val="20"/>
          <w:szCs w:val="20"/>
        </w:rPr>
        <w:t>Informe individual o grupal · 0 % (formativa)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D84312" w14:paraId="54A25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7FA384A" w14:textId="77777777" w:rsidR="00D84312" w:rsidRDefault="00000000">
            <w:r>
              <w:rPr>
                <w:b/>
                <w:bCs/>
                <w:sz w:val="20"/>
                <w:szCs w:val="20"/>
              </w:rPr>
              <w:t>Título del proyecto: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4E3709" w14:textId="5F7055BB" w:rsidR="00D84312" w:rsidRDefault="00486DCF">
            <w:r>
              <w:rPr>
                <w:rFonts w:ascii="Arial" w:hAnsi="Arial" w:cs="Arial"/>
              </w:rPr>
              <w:t xml:space="preserve">Análisis </w:t>
            </w:r>
            <w:r w:rsidRPr="008B397E">
              <w:rPr>
                <w:rFonts w:ascii="Arial" w:hAnsi="Arial" w:cs="Arial"/>
                <w:lang w:val="es-ES"/>
              </w:rPr>
              <w:t>incumplimiento de clientes de tarjetas de crédito</w:t>
            </w:r>
            <w:r>
              <w:rPr>
                <w:rFonts w:ascii="Arial" w:hAnsi="Arial" w:cs="Arial"/>
                <w:lang w:val="es-ES"/>
              </w:rPr>
              <w:t xml:space="preserve"> (</w:t>
            </w:r>
            <w:r w:rsidRPr="008B397E">
              <w:rPr>
                <w:rFonts w:ascii="Arial" w:hAnsi="Arial" w:cs="Arial"/>
                <w:i/>
                <w:iCs/>
                <w:lang w:val="es-ES"/>
              </w:rPr>
              <w:t xml:space="preserve">Default </w:t>
            </w:r>
            <w:proofErr w:type="spellStart"/>
            <w:r w:rsidRPr="008B397E">
              <w:rPr>
                <w:rFonts w:ascii="Arial" w:hAnsi="Arial" w:cs="Arial"/>
                <w:i/>
                <w:iCs/>
                <w:lang w:val="es-ES"/>
              </w:rPr>
              <w:t>of</w:t>
            </w:r>
            <w:proofErr w:type="spellEnd"/>
            <w:r w:rsidRPr="008B397E">
              <w:rPr>
                <w:rFonts w:ascii="Arial" w:hAnsi="Arial" w:cs="Arial"/>
                <w:i/>
                <w:iCs/>
                <w:lang w:val="es-ES"/>
              </w:rPr>
              <w:t xml:space="preserve"> Credit Card </w:t>
            </w:r>
            <w:proofErr w:type="spellStart"/>
            <w:r w:rsidRPr="008B397E">
              <w:rPr>
                <w:rFonts w:ascii="Arial" w:hAnsi="Arial" w:cs="Arial"/>
                <w:i/>
                <w:iCs/>
                <w:lang w:val="es-ES"/>
              </w:rPr>
              <w:t>Clients</w:t>
            </w:r>
            <w:proofErr w:type="spellEnd"/>
            <w:r w:rsidRPr="008B397E">
              <w:rPr>
                <w:rFonts w:ascii="Arial" w:hAnsi="Arial" w:cs="Arial"/>
                <w:i/>
                <w:iCs/>
                <w:lang w:val="es-ES"/>
              </w:rPr>
              <w:t xml:space="preserve"> </w:t>
            </w:r>
            <w:proofErr w:type="spellStart"/>
            <w:r w:rsidRPr="008B397E">
              <w:rPr>
                <w:rFonts w:ascii="Arial" w:hAnsi="Arial" w:cs="Arial"/>
                <w:i/>
                <w:iCs/>
                <w:lang w:val="es-ES"/>
              </w:rPr>
              <w:t>Dataset</w:t>
            </w:r>
            <w:proofErr w:type="spellEnd"/>
            <w:r>
              <w:rPr>
                <w:rFonts w:ascii="Arial" w:hAnsi="Arial" w:cs="Arial"/>
                <w:lang w:val="es-ES"/>
              </w:rPr>
              <w:t>)</w:t>
            </w:r>
          </w:p>
        </w:tc>
      </w:tr>
      <w:tr w:rsidR="00D84312" w14:paraId="706665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2199D14" w14:textId="77777777" w:rsidR="00D84312" w:rsidRDefault="00000000">
            <w:r>
              <w:rPr>
                <w:b/>
                <w:bCs/>
                <w:sz w:val="20"/>
                <w:szCs w:val="20"/>
              </w:rPr>
              <w:t>Integrantes: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ABFF1A" w14:textId="79491125" w:rsidR="00D84312" w:rsidRDefault="00486DCF">
            <w:r w:rsidRPr="00E80F98">
              <w:rPr>
                <w:rFonts w:ascii="Arial" w:hAnsi="Arial" w:cs="Arial"/>
              </w:rPr>
              <w:t>Arturo Knope Vera, Nicolás Soletic Cobos, Sebastián Navarrete Soto y Roberto Moncada González</w:t>
            </w:r>
          </w:p>
        </w:tc>
      </w:tr>
      <w:tr w:rsidR="00D84312" w:rsidRPr="00486DCF" w14:paraId="0444B7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353D681" w14:textId="77777777" w:rsidR="00D84312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Dataset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58D087" w14:textId="3A1A49F6" w:rsidR="00D84312" w:rsidRPr="00486DCF" w:rsidRDefault="00486DCF">
            <w:pPr>
              <w:rPr>
                <w:lang w:val="en-US"/>
              </w:rPr>
            </w:pPr>
            <w:r w:rsidRPr="00E80F98">
              <w:rPr>
                <w:rFonts w:ascii="Arial" w:hAnsi="Arial" w:cs="Arial"/>
                <w:lang w:val="en-US"/>
              </w:rPr>
              <w:t>Default of Credit Card Clients</w:t>
            </w:r>
          </w:p>
        </w:tc>
      </w:tr>
      <w:tr w:rsidR="00D84312" w14:paraId="466DA6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B47C350" w14:textId="77777777" w:rsidR="00D84312" w:rsidRDefault="00000000"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1CAEE0" w14:textId="139FFD27" w:rsidR="00D84312" w:rsidRDefault="00486DCF">
            <w:r w:rsidRPr="00FD2FB9">
              <w:rPr>
                <w:rFonts w:ascii="Arial" w:hAnsi="Arial" w:cs="Arial"/>
              </w:rPr>
              <w:t>Jean Paul Maidana</w:t>
            </w:r>
          </w:p>
        </w:tc>
      </w:tr>
      <w:tr w:rsidR="00D84312" w14:paraId="39879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7A902E5" w14:textId="77777777" w:rsidR="00D84312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E10B9F" w14:textId="22102331" w:rsidR="00D84312" w:rsidRDefault="00486DCF">
            <w:r w:rsidRPr="008B397E">
              <w:rPr>
                <w:rFonts w:ascii="Arial" w:hAnsi="Arial" w:cs="Arial"/>
              </w:rPr>
              <w:t>24/06/2026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D84312" w14:paraId="0E3F65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1240D97" w14:textId="77777777" w:rsidR="00D84312" w:rsidRDefault="00000000">
            <w:r>
              <w:rPr>
                <w:b/>
                <w:bCs/>
                <w:sz w:val="20"/>
                <w:szCs w:val="20"/>
              </w:rPr>
              <w:t>Repositorio GitHub:</w:t>
            </w:r>
          </w:p>
        </w:tc>
        <w:tc>
          <w:tcPr>
            <w:tcW w:w="64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2A20F5" w14:textId="388CA55C" w:rsidR="00D84312" w:rsidRDefault="00486DCF">
            <w:r w:rsidRPr="00FD2FB9">
              <w:rPr>
                <w:rFonts w:ascii="Arial" w:hAnsi="Arial" w:cs="Arial"/>
                <w:sz w:val="18"/>
                <w:szCs w:val="18"/>
              </w:rPr>
              <w:t>https://github.com/robertomoncada-blip/Magister_ciencia_datos.git</w:t>
            </w:r>
          </w:p>
        </w:tc>
      </w:tr>
    </w:tbl>
    <w:p w14:paraId="312C24F8" w14:textId="77777777" w:rsidR="00D84312" w:rsidRDefault="00000000">
      <w:r>
        <w:br w:type="page"/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D84312" w14:paraId="72C2CEC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none" w:sz="0" w:space="0" w:color="FFFFFF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FB64" w14:textId="77777777" w:rsidR="00D8431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Información de la evaluación</w:t>
            </w:r>
          </w:p>
        </w:tc>
      </w:tr>
      <w:tr w:rsidR="00D84312" w14:paraId="5C0B7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683322F" w14:textId="77777777" w:rsidR="00D84312" w:rsidRDefault="00000000">
            <w:r>
              <w:rPr>
                <w:b/>
                <w:bCs/>
                <w:sz w:val="20"/>
                <w:szCs w:val="20"/>
              </w:rPr>
              <w:t>Fase del proyecto: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2290E03" w14:textId="77777777" w:rsidR="00D84312" w:rsidRDefault="00000000">
            <w:r>
              <w:rPr>
                <w:sz w:val="20"/>
                <w:szCs w:val="20"/>
              </w:rPr>
              <w:t>Fase 2: Búsqueda y recopilación de información</w:t>
            </w:r>
          </w:p>
        </w:tc>
      </w:tr>
      <w:tr w:rsidR="00D84312" w14:paraId="3B8F8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F5D0DEA" w14:textId="77777777" w:rsidR="00D84312" w:rsidRDefault="00000000">
            <w:r>
              <w:rPr>
                <w:b/>
                <w:bCs/>
                <w:sz w:val="20"/>
                <w:szCs w:val="20"/>
              </w:rPr>
              <w:t>Modalidad: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FEB93BC" w14:textId="77777777" w:rsidR="00D84312" w:rsidRDefault="00000000">
            <w:r>
              <w:rPr>
                <w:sz w:val="20"/>
                <w:szCs w:val="20"/>
              </w:rPr>
              <w:t>Grupal</w:t>
            </w:r>
          </w:p>
        </w:tc>
      </w:tr>
      <w:tr w:rsidR="00D84312" w14:paraId="6B72E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C9378D7" w14:textId="77777777" w:rsidR="00D84312" w:rsidRDefault="00000000">
            <w:r>
              <w:rPr>
                <w:b/>
                <w:bCs/>
                <w:sz w:val="20"/>
                <w:szCs w:val="20"/>
              </w:rPr>
              <w:t>Ponderación: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08F7B1E" w14:textId="77777777" w:rsidR="00D84312" w:rsidRDefault="00000000">
            <w:r>
              <w:rPr>
                <w:sz w:val="20"/>
                <w:szCs w:val="20"/>
              </w:rPr>
              <w:t>0 % (formativa)</w:t>
            </w:r>
          </w:p>
        </w:tc>
      </w:tr>
      <w:tr w:rsidR="00D84312" w14:paraId="2B909D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32BE2038" w14:textId="77777777" w:rsidR="00D84312" w:rsidRDefault="00000000">
            <w:r>
              <w:rPr>
                <w:b/>
                <w:bCs/>
                <w:sz w:val="20"/>
                <w:szCs w:val="20"/>
              </w:rPr>
              <w:t>Entregable: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2E6CE99" w14:textId="77777777" w:rsidR="00D84312" w:rsidRDefault="00000000">
            <w:r>
              <w:rPr>
                <w:sz w:val="20"/>
                <w:szCs w:val="20"/>
              </w:rPr>
              <w:t xml:space="preserve">Informe en formato PDF, subido a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</w:p>
        </w:tc>
      </w:tr>
      <w:tr w:rsidR="00D84312" w14:paraId="04E59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5FCA984" w14:textId="77777777" w:rsidR="00D84312" w:rsidRDefault="00000000">
            <w:r>
              <w:rPr>
                <w:b/>
                <w:bCs/>
                <w:sz w:val="20"/>
                <w:szCs w:val="20"/>
              </w:rPr>
              <w:t>Resultado de aprendizaje: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002058" w14:textId="77777777" w:rsidR="00D84312" w:rsidRDefault="00000000">
            <w:r>
              <w:rPr>
                <w:sz w:val="20"/>
                <w:szCs w:val="20"/>
              </w:rPr>
              <w:t>RA1: aplicar conceptos fundamentales de probabilidad e inferencia estadística en la resolución de problemas de decisión bajo incertidumbre.</w:t>
            </w:r>
          </w:p>
        </w:tc>
      </w:tr>
      <w:tr w:rsidR="00D84312" w14:paraId="373468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81DCDF9" w14:textId="77777777" w:rsidR="00D84312" w:rsidRDefault="00000000">
            <w:r>
              <w:rPr>
                <w:b/>
                <w:bCs/>
                <w:sz w:val="20"/>
                <w:szCs w:val="20"/>
              </w:rPr>
              <w:t>Indicadores:</w:t>
            </w:r>
          </w:p>
        </w:tc>
        <w:tc>
          <w:tcPr>
            <w:tcW w:w="6672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A73CAB6" w14:textId="77777777" w:rsidR="00D84312" w:rsidRDefault="00000000">
            <w:r>
              <w:rPr>
                <w:sz w:val="20"/>
                <w:szCs w:val="20"/>
              </w:rPr>
              <w:t>ID1.2, ID1.3, ID1.4</w:t>
            </w:r>
          </w:p>
        </w:tc>
      </w:tr>
    </w:tbl>
    <w:p w14:paraId="709351E7" w14:textId="77777777" w:rsidR="00D84312" w:rsidRDefault="00D84312">
      <w:pPr>
        <w:spacing w:after="200"/>
      </w:pPr>
    </w:p>
    <w:p w14:paraId="5EBA00A1" w14:textId="77777777" w:rsidR="00D84312" w:rsidRDefault="00000000">
      <w:pPr>
        <w:pStyle w:val="Ttulo1"/>
      </w:pPr>
      <w:bookmarkStart w:id="0" w:name="_Toc233205443"/>
      <w:r>
        <w:t>Índice</w:t>
      </w:r>
      <w:bookmarkEnd w:id="0"/>
    </w:p>
    <w:sdt>
      <w:sdtPr>
        <w:alias w:val="Índice"/>
        <w:id w:val="-1137565057"/>
      </w:sdtPr>
      <w:sdtContent>
        <w:p w14:paraId="20B7081E" w14:textId="77777777" w:rsidR="00A74C78" w:rsidRDefault="00000000">
          <w:pPr>
            <w:pStyle w:val="TD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05443" w:history="1">
            <w:r w:rsidR="00A74C78" w:rsidRPr="00240E92">
              <w:rPr>
                <w:rStyle w:val="Hipervnculo"/>
                <w:noProof/>
              </w:rPr>
              <w:t>Índice</w:t>
            </w:r>
            <w:r w:rsidR="00A74C78">
              <w:rPr>
                <w:noProof/>
              </w:rPr>
              <w:tab/>
            </w:r>
            <w:r w:rsidR="00A74C78">
              <w:rPr>
                <w:noProof/>
              </w:rPr>
              <w:fldChar w:fldCharType="begin"/>
            </w:r>
            <w:r w:rsidR="00A74C78">
              <w:rPr>
                <w:noProof/>
              </w:rPr>
              <w:instrText xml:space="preserve"> PAGEREF _Toc233205443 \h </w:instrText>
            </w:r>
            <w:r w:rsidR="00A74C78">
              <w:rPr>
                <w:noProof/>
              </w:rPr>
            </w:r>
            <w:r w:rsidR="00A74C78">
              <w:rPr>
                <w:noProof/>
              </w:rPr>
              <w:fldChar w:fldCharType="separate"/>
            </w:r>
            <w:r w:rsidR="00A74C78">
              <w:rPr>
                <w:noProof/>
              </w:rPr>
              <w:t>1</w:t>
            </w:r>
            <w:r w:rsidR="00A74C78">
              <w:rPr>
                <w:noProof/>
              </w:rPr>
              <w:fldChar w:fldCharType="end"/>
            </w:r>
          </w:hyperlink>
        </w:p>
        <w:p w14:paraId="28BF2265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44" w:history="1">
            <w:r w:rsidRPr="00240E92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9738B5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45" w:history="1">
            <w:r w:rsidRPr="00240E92">
              <w:rPr>
                <w:rStyle w:val="Hipervnculo"/>
                <w:noProof/>
              </w:rPr>
              <w:t>Aplicación de estadística descriptiva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7648E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46" w:history="1">
            <w:r w:rsidRPr="00240E92">
              <w:rPr>
                <w:rStyle w:val="Hipervnculo"/>
                <w:noProof/>
              </w:rPr>
              <w:t>Estimación puntual e intervalos de confianza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89452D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47" w:history="1">
            <w:r w:rsidRPr="00240E92">
              <w:rPr>
                <w:rStyle w:val="Hipervnculo"/>
                <w:noProof/>
              </w:rPr>
              <w:t>Aplicación de una prueba de hipótesis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2F7B8F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48" w:history="1">
            <w:r w:rsidRPr="00240E92">
              <w:rPr>
                <w:rStyle w:val="Hipervnculo"/>
                <w:noProof/>
              </w:rPr>
              <w:t>Documentación de procedimientos y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A3D6DE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49" w:history="1">
            <w:r w:rsidRPr="00240E92">
              <w:rPr>
                <w:rStyle w:val="Hipervnculo"/>
                <w:noProof/>
              </w:rPr>
              <w:t>Interpretación preliminar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6EC27" w14:textId="77777777" w:rsidR="00A74C78" w:rsidRDefault="00A74C78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3205450" w:history="1">
            <w:r w:rsidRPr="00240E92">
              <w:rPr>
                <w:rStyle w:val="Hipervnculo"/>
                <w:noProof/>
              </w:rPr>
              <w:t>Presentación formal del informe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4E3E0E" w14:textId="77777777" w:rsidR="00D84312" w:rsidRDefault="00000000">
          <w:r>
            <w:fldChar w:fldCharType="end"/>
          </w:r>
        </w:p>
      </w:sdtContent>
    </w:sdt>
    <w:p w14:paraId="46AF672B" w14:textId="77777777" w:rsidR="00D84312" w:rsidRDefault="00000000">
      <w:r>
        <w:br w:type="page"/>
      </w:r>
    </w:p>
    <w:p w14:paraId="5215AC6B" w14:textId="77777777" w:rsidR="00D84312" w:rsidRDefault="00000000">
      <w:pPr>
        <w:pStyle w:val="Ttulo1"/>
      </w:pPr>
      <w:bookmarkStart w:id="1" w:name="_Toc233205444"/>
      <w:r>
        <w:lastRenderedPageBreak/>
        <w:t>Introducción</w:t>
      </w:r>
      <w:bookmarkEnd w:id="1"/>
    </w:p>
    <w:p w14:paraId="24846FDF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>Presenten brevemente el conjunto de datos definido por el equipo en la fase anterior del proyecto y el propósito de este informe de avance.</w:t>
      </w:r>
    </w:p>
    <w:p w14:paraId="30AF3F75" w14:textId="77777777" w:rsidR="00A74C78" w:rsidRDefault="00A74C78" w:rsidP="00A74C78">
      <w:pPr>
        <w:spacing w:after="140"/>
        <w:jc w:val="both"/>
        <w:rPr>
          <w:rFonts w:ascii="Arial" w:hAnsi="Arial" w:cs="Arial"/>
        </w:rPr>
      </w:pPr>
      <w:bookmarkStart w:id="2" w:name="_Toc233205445"/>
      <w:r w:rsidRPr="009C3C2A">
        <w:rPr>
          <w:rFonts w:ascii="Arial" w:hAnsi="Arial" w:cs="Arial"/>
        </w:rPr>
        <w:t xml:space="preserve">El conjunto de datos </w:t>
      </w:r>
      <w:r w:rsidRPr="00D24269">
        <w:rPr>
          <w:rFonts w:ascii="Arial" w:hAnsi="Arial" w:cs="Arial"/>
          <w:b/>
          <w:bCs/>
          <w:i/>
          <w:iCs/>
        </w:rPr>
        <w:t xml:space="preserve">“Default </w:t>
      </w:r>
      <w:proofErr w:type="spellStart"/>
      <w:r w:rsidRPr="00D24269">
        <w:rPr>
          <w:rFonts w:ascii="Arial" w:hAnsi="Arial" w:cs="Arial"/>
          <w:b/>
          <w:bCs/>
          <w:i/>
          <w:iCs/>
        </w:rPr>
        <w:t>of</w:t>
      </w:r>
      <w:proofErr w:type="spellEnd"/>
      <w:r w:rsidRPr="00D24269">
        <w:rPr>
          <w:rFonts w:ascii="Arial" w:hAnsi="Arial" w:cs="Arial"/>
          <w:b/>
          <w:bCs/>
          <w:i/>
          <w:iCs/>
        </w:rPr>
        <w:t xml:space="preserve"> Credit Card </w:t>
      </w:r>
      <w:proofErr w:type="spellStart"/>
      <w:r w:rsidRPr="00D24269">
        <w:rPr>
          <w:rFonts w:ascii="Arial" w:hAnsi="Arial" w:cs="Arial"/>
          <w:b/>
          <w:bCs/>
          <w:i/>
          <w:iCs/>
        </w:rPr>
        <w:t>Clients</w:t>
      </w:r>
      <w:proofErr w:type="spellEnd"/>
      <w:r w:rsidRPr="00D24269">
        <w:rPr>
          <w:rFonts w:ascii="Arial" w:hAnsi="Arial" w:cs="Arial"/>
          <w:b/>
          <w:bCs/>
          <w:i/>
          <w:iCs/>
        </w:rPr>
        <w:t>”</w:t>
      </w:r>
      <w:r w:rsidRPr="009C3C2A">
        <w:rPr>
          <w:rFonts w:ascii="Arial" w:hAnsi="Arial" w:cs="Arial"/>
        </w:rPr>
        <w:t xml:space="preserve"> corresponde a información de clientes de tarjetas de crédito en Taiwán, recopilada </w:t>
      </w:r>
      <w:r>
        <w:rPr>
          <w:rFonts w:ascii="Arial" w:hAnsi="Arial" w:cs="Arial"/>
        </w:rPr>
        <w:t>desde abril</w:t>
      </w:r>
      <w:r w:rsidRPr="009C3C2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hasta septiembre d</w:t>
      </w:r>
      <w:r w:rsidRPr="009C3C2A">
        <w:rPr>
          <w:rFonts w:ascii="Arial" w:hAnsi="Arial" w:cs="Arial"/>
        </w:rPr>
        <w:t xml:space="preserve">el año 2005. </w:t>
      </w:r>
      <w:r>
        <w:rPr>
          <w:rFonts w:ascii="Arial" w:hAnsi="Arial" w:cs="Arial"/>
        </w:rPr>
        <w:t xml:space="preserve"> La principal información es referente a pagos predeterminados, factores demográficos, datos crediticios. historial de pagos y extractos de facturas de clientes de tarjetas de crédito. </w:t>
      </w:r>
    </w:p>
    <w:p w14:paraId="4E2249EA" w14:textId="77777777" w:rsidR="00A74C78" w:rsidRPr="00266BB5" w:rsidRDefault="00A74C78" w:rsidP="00A74C78">
      <w:pPr>
        <w:spacing w:after="140"/>
        <w:jc w:val="both"/>
        <w:rPr>
          <w:rFonts w:ascii="Arial" w:hAnsi="Arial" w:cs="Arial"/>
        </w:rPr>
      </w:pPr>
      <w:r w:rsidRPr="00266BB5">
        <w:rPr>
          <w:rFonts w:ascii="Arial" w:hAnsi="Arial" w:cs="Arial"/>
        </w:rPr>
        <w:t xml:space="preserve">El propósito de este estudio es analizar y predecir el comportamiento de pago de los clientes de tarjetas de crédito, específicamente la </w:t>
      </w:r>
      <w:r w:rsidRPr="00266BB5">
        <w:rPr>
          <w:rFonts w:ascii="Arial" w:hAnsi="Arial" w:cs="Arial"/>
          <w:b/>
          <w:bCs/>
        </w:rPr>
        <w:t>probabilidad de que incurran en incumplimiento</w:t>
      </w:r>
      <w:r w:rsidRPr="00266BB5">
        <w:rPr>
          <w:rFonts w:ascii="Arial" w:hAnsi="Arial" w:cs="Arial"/>
        </w:rPr>
        <w:t xml:space="preserve"> en el siguiente mes.</w:t>
      </w:r>
    </w:p>
    <w:p w14:paraId="147A6AC1" w14:textId="77777777" w:rsidR="00A74C78" w:rsidRPr="00266BB5" w:rsidRDefault="00A74C78" w:rsidP="00A74C78">
      <w:pPr>
        <w:spacing w:after="140"/>
        <w:jc w:val="both"/>
        <w:rPr>
          <w:rFonts w:ascii="Arial" w:hAnsi="Arial" w:cs="Arial"/>
        </w:rPr>
      </w:pPr>
      <w:r w:rsidRPr="00266BB5">
        <w:rPr>
          <w:rFonts w:ascii="Arial" w:hAnsi="Arial" w:cs="Arial"/>
        </w:rPr>
        <w:t>A partir de los datos históricos de los clientes incluyendo información demográfica, límites de crédito, historial de pagos, facturación y montos pagados</w:t>
      </w:r>
      <w:r>
        <w:rPr>
          <w:rFonts w:ascii="Arial" w:hAnsi="Arial" w:cs="Arial"/>
        </w:rPr>
        <w:t>,</w:t>
      </w:r>
      <w:r w:rsidRPr="00266BB5">
        <w:rPr>
          <w:rFonts w:ascii="Arial" w:hAnsi="Arial" w:cs="Arial"/>
        </w:rPr>
        <w:t xml:space="preserve"> se busca:</w:t>
      </w:r>
    </w:p>
    <w:p w14:paraId="375E324D" w14:textId="77777777" w:rsidR="00A74C78" w:rsidRPr="00266BB5" w:rsidRDefault="00A74C78" w:rsidP="00A74C78">
      <w:pPr>
        <w:numPr>
          <w:ilvl w:val="0"/>
          <w:numId w:val="2"/>
        </w:numPr>
        <w:spacing w:after="140" w:line="259" w:lineRule="auto"/>
        <w:jc w:val="both"/>
        <w:rPr>
          <w:rFonts w:ascii="Arial" w:hAnsi="Arial" w:cs="Arial"/>
        </w:rPr>
      </w:pPr>
      <w:r w:rsidRPr="00266BB5">
        <w:rPr>
          <w:rFonts w:ascii="Arial" w:hAnsi="Arial" w:cs="Arial"/>
          <w:b/>
          <w:bCs/>
        </w:rPr>
        <w:t>Identificar patrones y factores clave</w:t>
      </w:r>
      <w:r w:rsidRPr="00266BB5">
        <w:rPr>
          <w:rFonts w:ascii="Arial" w:hAnsi="Arial" w:cs="Arial"/>
        </w:rPr>
        <w:t xml:space="preserve"> asociados al riesgo de morosidad</w:t>
      </w:r>
    </w:p>
    <w:p w14:paraId="33BC72B0" w14:textId="77777777" w:rsidR="00A74C78" w:rsidRPr="00266BB5" w:rsidRDefault="00A74C78" w:rsidP="00A74C78">
      <w:pPr>
        <w:numPr>
          <w:ilvl w:val="0"/>
          <w:numId w:val="2"/>
        </w:numPr>
        <w:spacing w:after="140" w:line="259" w:lineRule="auto"/>
        <w:jc w:val="both"/>
        <w:rPr>
          <w:rFonts w:ascii="Arial" w:hAnsi="Arial" w:cs="Arial"/>
        </w:rPr>
      </w:pPr>
      <w:r w:rsidRPr="00266BB5">
        <w:rPr>
          <w:rFonts w:ascii="Arial" w:hAnsi="Arial" w:cs="Arial"/>
          <w:b/>
          <w:bCs/>
        </w:rPr>
        <w:t>Construir modelos predictivos</w:t>
      </w:r>
      <w:r w:rsidRPr="00266BB5">
        <w:rPr>
          <w:rFonts w:ascii="Arial" w:hAnsi="Arial" w:cs="Arial"/>
        </w:rPr>
        <w:t xml:space="preserve"> que permitan anticipar el default</w:t>
      </w:r>
    </w:p>
    <w:p w14:paraId="5F88A50C" w14:textId="77777777" w:rsidR="00A74C78" w:rsidRPr="00266BB5" w:rsidRDefault="00A74C78" w:rsidP="00A74C78">
      <w:pPr>
        <w:numPr>
          <w:ilvl w:val="0"/>
          <w:numId w:val="2"/>
        </w:numPr>
        <w:spacing w:after="140" w:line="259" w:lineRule="auto"/>
        <w:jc w:val="both"/>
        <w:rPr>
          <w:rFonts w:ascii="Arial" w:hAnsi="Arial" w:cs="Arial"/>
        </w:rPr>
      </w:pPr>
      <w:r w:rsidRPr="00266BB5">
        <w:rPr>
          <w:rFonts w:ascii="Arial" w:hAnsi="Arial" w:cs="Arial"/>
          <w:b/>
          <w:bCs/>
        </w:rPr>
        <w:t>Apoyar la toma de decisiones</w:t>
      </w:r>
      <w:r w:rsidRPr="00266BB5">
        <w:rPr>
          <w:rFonts w:ascii="Arial" w:hAnsi="Arial" w:cs="Arial"/>
        </w:rPr>
        <w:t xml:space="preserve"> en la gestión de riesgo crediticio</w:t>
      </w:r>
    </w:p>
    <w:p w14:paraId="1830B8C5" w14:textId="77777777" w:rsidR="00A74C78" w:rsidRPr="00266BB5" w:rsidRDefault="00A74C78" w:rsidP="00A74C78">
      <w:pPr>
        <w:numPr>
          <w:ilvl w:val="0"/>
          <w:numId w:val="2"/>
        </w:numPr>
        <w:spacing w:after="140" w:line="259" w:lineRule="auto"/>
        <w:jc w:val="both"/>
        <w:rPr>
          <w:rFonts w:ascii="Arial" w:hAnsi="Arial" w:cs="Arial"/>
        </w:rPr>
      </w:pPr>
      <w:r w:rsidRPr="00266BB5">
        <w:rPr>
          <w:rFonts w:ascii="Arial" w:hAnsi="Arial" w:cs="Arial"/>
          <w:b/>
          <w:bCs/>
        </w:rPr>
        <w:t>Optimizar estrategias</w:t>
      </w:r>
      <w:r w:rsidRPr="00266BB5">
        <w:rPr>
          <w:rFonts w:ascii="Arial" w:hAnsi="Arial" w:cs="Arial"/>
        </w:rPr>
        <w:t xml:space="preserve"> de otorgamiento de crédito y cobranza</w:t>
      </w:r>
    </w:p>
    <w:p w14:paraId="187600BD" w14:textId="77777777" w:rsidR="00D84312" w:rsidRDefault="00000000">
      <w:pPr>
        <w:pStyle w:val="Ttulo1"/>
      </w:pPr>
      <w:r>
        <w:t>Aplicación de estadística descriptiva</w:t>
      </w:r>
      <w:bookmarkEnd w:id="2"/>
    </w:p>
    <w:p w14:paraId="02070398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</w:t>
      </w:r>
      <w:proofErr w:type="spellStart"/>
      <w:r>
        <w:rPr>
          <w:i/>
          <w:iCs/>
          <w:color w:val="5A5A5A"/>
          <w:sz w:val="20"/>
          <w:szCs w:val="20"/>
        </w:rPr>
        <w:t>pts</w:t>
      </w:r>
      <w:proofErr w:type="spellEnd"/>
      <w:r>
        <w:rPr>
          <w:i/>
          <w:iCs/>
          <w:color w:val="5A5A5A"/>
          <w:sz w:val="20"/>
          <w:szCs w:val="20"/>
        </w:rPr>
        <w:t>, ID1.2) Caractericen las variables del conjunto de datos mediante medidas de tendencia central, dispersión y representaciones gráficas adecuadas a cada tipo de variable.</w:t>
      </w:r>
    </w:p>
    <w:p w14:paraId="622182C8" w14:textId="77777777" w:rsidR="00D84312" w:rsidRDefault="00000000">
      <w:pPr>
        <w:spacing w:after="280"/>
      </w:pPr>
      <w:r>
        <w:rPr>
          <w:i/>
          <w:iCs/>
          <w:color w:val="8C8C8C"/>
          <w:sz w:val="18"/>
          <w:szCs w:val="18"/>
        </w:rPr>
        <w:t>El análisis descriptivo fue realizado sobre el dataset UCI Credit Card (con_faltantes, semilla 42), compuesto por 30.000 observaciones y 25 variables. Previo al análisis, se realizó la imputación de los valores faltantes de LIMIT_BAL (n=3.750, 12,5%) con la mediana (NT$140.000) y de PAY_0 (n=3.750, 12,5%) con la moda (valor 0 = crédito rotativo), dado que el mecanismo de faltantes fue verificado como MCAR mediante prueba t (t=0,36; p=0,72).</w:t>
        <w:br/>
        <w:br/>
        <w:t>Las variables se clasifican en:</w:t>
        <w:br/>
        <w:t>• Numéricas continuas: LIMIT_BAL, BILL_AMT1–6, PAY_AMT1–6</w:t>
        <w:br/>
        <w:t>• Numéricas discretas: AGE</w:t>
        <w:br/>
        <w:t>• Categóricas ordinales: EDUCATION, PAY_0–PAY_6</w:t>
        <w:br/>
        <w:t>• Categóricas nominales: SEX, MARRIAGE</w:t>
        <w:br/>
        <w:t>• Variable objetivo (binaria): default.payment.next.month</w:t>
        <w:br/>
        <w:br/>
        <w:t>Principales estadísticos descriptivos de variables numéricas clave:</w:t>
        <w:br/>
        <w:br/>
        <w:t>Variable       | Media      | Mediana    | Desv. Estándar | Asimetría</w:t>
        <w:br/>
        <w:t>LIMIT_BAL      | 164.247    | 140.000    | 129.419        | 1,098</w:t>
        <w:br/>
        <w:t>AGE            | 35,49      | 34         | 9,22           | 0,680</w:t>
        <w:br/>
        <w:t>BILL_AMT1      | 51.223     | 22.382     | 73.636         | 2,190</w:t>
        <w:br/>
        <w:t>PAY_AMT1       | 5.664      | 2.100      | 16.563         | 17,310</w:t>
        <w:br/>
        <w:br/>
        <w:t>Distribución de variables categóricas:</w:t>
        <w:br/>
        <w:t>• SEX: 60,4% femenino (n=18.112), 39,6% masculino (n=11.888)</w:t>
        <w:br/>
        <w:t>• EDUCATION: 46,8% universidad (n=14.030), 35,3% posgrado (n=10.585), 16,4% secundaria (n=4.917)</w:t>
        <w:br/>
        <w:t>• MARRIAGE: 53,2% soltero (n=15.964), 45,5% casado (n=13.659), 1,1% otro</w:t>
        <w:br/>
        <w:br/>
        <w:t>Variable objetivo:</w:t>
        <w:br/>
        <w:t>• No incumplimiento (0): 23.364 clientes (77,88%)</w:t>
        <w:br/>
        <w:t>• Incumplimiento (1): 6.636 clientes (22,12%)</w:t>
        <w:br/>
        <w:br/>
        <w:t>Las representaciones gráficas incluidas en el notebook (F1_semana1.ipynb) comprenden: histogramas con líneas de media y mediana para las variables continuas, boxplots comparativos por estado de incumplimiento, gráficos de barras con frecuencias y porcentajes para las variables categóricas, y un mapa de correlaciones. Se observa que las variables de facturación (BILL_AMT*) presentan alta correlación entre sí (r &gt; 0,90), lo que es esperable dado que los saldos se acumulan mensualmente.</w:t>
      </w:r>
    </w:p>
    <w:p w14:paraId="3AA32513" w14:textId="77777777" w:rsidR="00D84312" w:rsidRDefault="00000000">
      <w:pPr>
        <w:pStyle w:val="Ttulo1"/>
      </w:pPr>
      <w:bookmarkStart w:id="3" w:name="_Toc233205446"/>
      <w:r>
        <w:t>Estimación puntual e intervalos de confianza</w:t>
      </w:r>
      <w:bookmarkEnd w:id="3"/>
    </w:p>
    <w:p w14:paraId="1FD22265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</w:t>
      </w:r>
      <w:proofErr w:type="spellStart"/>
      <w:r>
        <w:rPr>
          <w:i/>
          <w:iCs/>
          <w:color w:val="5A5A5A"/>
          <w:sz w:val="20"/>
          <w:szCs w:val="20"/>
        </w:rPr>
        <w:t>pts</w:t>
      </w:r>
      <w:proofErr w:type="spellEnd"/>
      <w:r>
        <w:rPr>
          <w:i/>
          <w:iCs/>
          <w:color w:val="5A5A5A"/>
          <w:sz w:val="20"/>
          <w:szCs w:val="20"/>
        </w:rPr>
        <w:t>, ID1.3) Utilicen métodos de estimación puntual e intervalos de confianza para determinar parámetros poblacionales relevantes del conjunto de datos, interpretando los resultados.</w:t>
      </w:r>
    </w:p>
    <w:p w14:paraId="5B7E4406" w14:textId="77777777" w:rsidR="00D84312" w:rsidRDefault="00000000">
      <w:pPr>
        <w:spacing w:after="280"/>
      </w:pPr>
      <w:r>
        <w:rPr>
          <w:i/>
          <w:iCs/>
          <w:color w:val="8C8C8C"/>
          <w:sz w:val="18"/>
          <w:szCs w:val="18"/>
        </w:rPr>
        <w:t>Se estimaron los siguientes parámetros poblacionales mediante estimación puntual e intervalos de confianza al 95% (α = 0,05), aplicando distribución t-Student para medias (dada la muestra grande, n=30.000, equivale al intervalo Z por el TCL) y el método de Wilson para proporciones.</w:t>
        <w:br/>
        <w:br/>
        <w:t>Parámetro                  | Estimación puntual | IC 95% inferior | IC 95% superior</w:t>
        <w:br/>
        <w:t>Límite de crédito (NT$)    | 164.247            | 162.864         | 165.629</w:t>
        <w:br/>
        <w:t>Proporción de incumplimiento| 22,12%            | 21,65%          | 22,59%</w:t>
        <w:br/>
        <w:t>Edad promedio (años)        | 35,49              | 35,38           | 35,59</w:t>
        <w:br/>
        <w:t>Monto factura sep-05 (NT$) | 51.223             | 50.390          | 52.057</w:t>
        <w:br/>
        <w:t>Monto pago sep-05 (NT$)    | 5.664              | 5.476           | 5.851</w:t>
        <w:br/>
        <w:br/>
        <w:t>Interpretación: El límite de crédito promedio de la población se encuentra entre NT$162.864 y NT$165.629 con un 95% de confianza. La tasa de incumplimiento poblacional se estima entre 21,65% y 22,59%, es decir, aproximadamente 1 de cada 5 clientes incumplirá su pago. La precisión de estos intervalos es alta debido al gran tamaño muestral (n=30.000), lo que genera errores estándar pequeños.</w:t>
        <w:br/>
        <w:br/>
        <w:t>Adicionalmente, se compararon los intervalos de confianza del límite de crédito según estado de incumplimiento: los clientes sin incumplimiento presentan una media de NT$173.620 [IC 95%: 172.027 – 175.213], mientras que los clientes con incumplimiento muestran una media de NT$131.246 [IC 95%: 128.633 – 133.859]. Los intervalos no se solapan, lo que es consistente con la significancia estadística observada en la prueba de hipótesis.</w:t>
      </w:r>
    </w:p>
    <w:p w14:paraId="16047106" w14:textId="77777777" w:rsidR="00D84312" w:rsidRDefault="00000000">
      <w:pPr>
        <w:pStyle w:val="Ttulo1"/>
      </w:pPr>
      <w:bookmarkStart w:id="4" w:name="_Toc233205447"/>
      <w:r>
        <w:t>Aplicación de una prueba de hipótesis</w:t>
      </w:r>
      <w:bookmarkEnd w:id="4"/>
    </w:p>
    <w:p w14:paraId="4370BAA9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</w:t>
      </w:r>
      <w:proofErr w:type="spellStart"/>
      <w:r>
        <w:rPr>
          <w:i/>
          <w:iCs/>
          <w:color w:val="5A5A5A"/>
          <w:sz w:val="20"/>
          <w:szCs w:val="20"/>
        </w:rPr>
        <w:t>pts</w:t>
      </w:r>
      <w:proofErr w:type="spellEnd"/>
      <w:r>
        <w:rPr>
          <w:i/>
          <w:iCs/>
          <w:color w:val="5A5A5A"/>
          <w:sz w:val="20"/>
          <w:szCs w:val="20"/>
        </w:rPr>
        <w:t>, ID1.4) Apliquen al menos una prueba de hipótesis básica, seleccionando el procedimiento adecuado según el tipo de variable y el nivel de significancia definido.</w:t>
      </w:r>
    </w:p>
    <w:p w14:paraId="56B5CA2C" w14:textId="77777777" w:rsidR="00D84312" w:rsidRDefault="00000000">
      <w:pPr>
        <w:spacing w:after="280"/>
      </w:pPr>
      <w:r>
        <w:rPr>
          <w:i/>
          <w:iCs/>
          <w:color w:val="8C8C8C"/>
          <w:sz w:val="18"/>
          <w:szCs w:val="18"/>
        </w:rPr>
        <w:t>Se aplicaron tres pruebas de hipótesis con nivel de significancia α = 0,05:</w:t>
        <w:br/>
        <w:br/>
        <w:t>━━━ PRUEBA 1: Diferencia en límite de crédito según estado de incumplimiento ━━━</w:t>
        <w:br/>
        <w:t>Tipo: t-test de Welch (dos muestras independientes, sin asumir igualdad de varianzas)</w:t>
        <w:br/>
        <w:t>Variable: LIMIT_BAL (numérica continua)</w:t>
        <w:br/>
        <w:t>H₀: μ_NoDefault = μ_Default (no existe diferencia en el límite de crédito promedio)</w:t>
        <w:br/>
        <w:t>H₁: μ_NoDefault ≠ μ_Default (existe diferencia significativa)</w:t>
        <w:br/>
        <w:br/>
        <w:t>Resultados:</w:t>
        <w:br/>
        <w:t>• No Default (n=23.364): media = NT$173.620, σ = NT$124.181</w:t>
        <w:br/>
        <w:t>• Default    (n=6.636):  media = NT$131.246, σ = NT$108.667</w:t>
        <w:br/>
        <w:t>• Estadístico t = 27,13 | gl ≈ 10.600 | p-value = 2,30 × 10⁻¹⁵⁷</w:t>
        <w:br/>
        <w:t>• Mann-Whitney U (confirmación no paramétrica): U = 94.737.305 | p = 4,26 × 10⁻¹⁶⁹</w:t>
        <w:br/>
        <w:t>• d de Cohen = 0,363 (efecto pequeño a mediano)</w:t>
        <w:br/>
        <w:t>Decisión: Se RECHAZA H₀. El límite de crédito difiere significativamente entre grupos.</w:t>
        <w:br/>
        <w:br/>
        <w:t>━━━ PRUEBA 2: Asociación entre género e incumplimiento ━━━</w:t>
        <w:br/>
        <w:t>Tipo: Chi-cuadrado (χ²) de independencia</w:t>
        <w:br/>
        <w:t>Variables: SEX × default.payment.next.month</w:t>
        <w:br/>
        <w:t>H₀: El incumplimiento es independiente del género</w:t>
        <w:br/>
        <w:t>H₁: Existe asociación entre género e incumplimiento</w:t>
        <w:br/>
        <w:br/>
        <w:t>Resultados:</w:t>
        <w:br/>
        <w:t>• Tasa de incumplimiento masculino: 24,17% | femenino: 20,78%</w:t>
        <w:br/>
        <w:t>• χ² = 47,71 | gl = 1 | p-value &lt; 0,0001</w:t>
        <w:br/>
        <w:t>• Valor crítico χ²(1, α=0,05) = 3,84</w:t>
        <w:br/>
        <w:t>• V de Cramér = 0,040 (efecto negligible)</w:t>
        <w:br/>
        <w:t>Decisión: Se RECHAZA H₀. Existe asociación, aunque el efecto práctico es negligible.</w:t>
        <w:br/>
        <w:br/>
        <w:t>━━━ PRUEBA 3: Asociación entre nivel educacional e incumplimiento ━━━</w:t>
        <w:br/>
        <w:t>Tipo: Chi-cuadrado (χ²) de independencia</w:t>
        <w:br/>
        <w:t>Variables: EDUCATION (posgrado/universidad/secundaria) × default.payment.next.month</w:t>
        <w:br/>
        <w:t>H₀: La tasa de incumplimiento es igual en todos los niveles educacionales</w:t>
        <w:br/>
        <w:t>H₁: Al menos un nivel difiere</w:t>
        <w:br/>
        <w:br/>
        <w:t>Resultados:</w:t>
        <w:br/>
        <w:t>• Posgrado (n=10.585): 19,23% | Universidad (n=14.030): 23,73% | Secundaria (n=4.917): 25,16%</w:t>
        <w:br/>
        <w:t>• χ² = 97,00 | gl = 2 | p-value &lt; 0,000001</w:t>
        <w:br/>
        <w:t>Decisión: Se RECHAZA H₀. El nivel educacional se asocia con la tasa de incumplimiento.</w:t>
      </w:r>
    </w:p>
    <w:p w14:paraId="1719DF97" w14:textId="77777777" w:rsidR="00D84312" w:rsidRDefault="00000000">
      <w:pPr>
        <w:pStyle w:val="Ttulo1"/>
      </w:pPr>
      <w:bookmarkStart w:id="5" w:name="_Toc233205448"/>
      <w:r>
        <w:t>Documentación de procedimientos y resultados</w:t>
      </w:r>
      <w:bookmarkEnd w:id="5"/>
    </w:p>
    <w:p w14:paraId="56A36305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</w:t>
      </w:r>
      <w:proofErr w:type="spellStart"/>
      <w:r>
        <w:rPr>
          <w:i/>
          <w:iCs/>
          <w:color w:val="5A5A5A"/>
          <w:sz w:val="20"/>
          <w:szCs w:val="20"/>
        </w:rPr>
        <w:t>pts</w:t>
      </w:r>
      <w:proofErr w:type="spellEnd"/>
      <w:r>
        <w:rPr>
          <w:i/>
          <w:iCs/>
          <w:color w:val="5A5A5A"/>
          <w:sz w:val="20"/>
          <w:szCs w:val="20"/>
        </w:rPr>
        <w:t>) Documenten de forma clara, ordenada y completa los procedimientos estadísticos aplicados y los resultados obtenidos, de manera que el análisis sea trazable.</w:t>
      </w:r>
    </w:p>
    <w:p w14:paraId="551A9560" w14:textId="77777777" w:rsidR="00D84312" w:rsidRDefault="00000000">
      <w:pPr>
        <w:spacing w:after="280"/>
      </w:pPr>
      <w:r>
        <w:rPr>
          <w:i/>
          <w:iCs/>
          <w:color w:val="8C8C8C"/>
          <w:sz w:val="18"/>
          <w:szCs w:val="18"/>
        </w:rPr>
        <w:t>Los procedimientos estadísticos aplicados se documentan en el notebook Jupyter F1_semana1.ipynb (repositorio: https://github.com/robertomoncada-blip/Magister_ciencia_datos), bajo la estructura:</w:t>
        <w:br/>
        <w:br/>
        <w:t>0. Importaciones y configuración del entorno (Python 3.12, pandas, numpy, scipy, matplotlib, seaborn)</w:t>
        <w:br/>
        <w:t>1. Carga de datos mediante función cargar_datos() del módulo src/data_loading.py</w:t>
        <w:br/>
        <w:t>2. Identificación y análisis de valores faltantes (LIMIT_BAL: 12,5%; PAY_0: 12,5%)</w:t>
        <w:br/>
        <w:t>3. Verificación del mecanismo MCAR mediante t-test sobre variable AGE</w:t>
        <w:br/>
        <w:t>4. Preprocesamiento: imputación con mediana/moda, eliminación de ID, tipado correcto</w:t>
        <w:br/>
        <w:t>5. Estadística descriptiva (Sección 4):</w:t>
        <w:br/>
        <w:t xml:space="preserve">   - función resumen_estadistico() para media, mediana, moda, desviación estándar, IQR, asimetría, curtosis</w:t>
        <w:br/>
        <w:t xml:space="preserve">   - Histogramas, boxplots, gráficos de barras, mapa de correlaciones</w:t>
        <w:br/>
        <w:t>6. Estimación puntual e IC (Sección 5):</w:t>
        <w:br/>
        <w:t xml:space="preserve">   - función ic_media() basada en scipy.stats.t.interval</w:t>
        <w:br/>
        <w:t xml:space="preserve">   - función ic_proporcion_wilson() para proporciones</w:t>
        <w:br/>
        <w:t>7. Pruebas de hipótesis (Sección 6):</w:t>
        <w:br/>
        <w:t xml:space="preserve">   - scipy.stats.ttest_ind (Welch) para comparación de medias</w:t>
        <w:br/>
        <w:t xml:space="preserve">   - scipy.stats.mannwhitneyu como verificación no paramétrica</w:t>
        <w:br/>
        <w:t xml:space="preserve">   - scipy.stats.chi2_contingency para tablas de contingencia</w:t>
        <w:br/>
        <w:t xml:space="preserve">   - Tamaños del efecto: d de Cohen y V de Cramér</w:t>
        <w:br/>
        <w:t>8. Interpretación y conclusiones (Sección 7)</w:t>
        <w:br/>
        <w:br/>
        <w:t>Cada sección del notebook contiene celdas Markdown con las hipótesis, supuestos del procedimiento seleccionado, nivel de significancia y criterio de decisión, seguidas de celdas de código con los resultados y celdas de interpretación. Los gráficos fueron exportados a data/raw/ para referencia.</w:t>
      </w:r>
    </w:p>
    <w:p w14:paraId="77E1668D" w14:textId="77777777" w:rsidR="00D84312" w:rsidRDefault="00000000">
      <w:pPr>
        <w:pStyle w:val="Ttulo1"/>
      </w:pPr>
      <w:bookmarkStart w:id="6" w:name="_Toc233205449"/>
      <w:r>
        <w:t>Interpretación preliminar de resultados</w:t>
      </w:r>
      <w:bookmarkEnd w:id="6"/>
    </w:p>
    <w:p w14:paraId="1D2837E5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</w:t>
      </w:r>
      <w:proofErr w:type="spellStart"/>
      <w:r>
        <w:rPr>
          <w:i/>
          <w:iCs/>
          <w:color w:val="5A5A5A"/>
          <w:sz w:val="20"/>
          <w:szCs w:val="20"/>
        </w:rPr>
        <w:t>pts</w:t>
      </w:r>
      <w:proofErr w:type="spellEnd"/>
      <w:r>
        <w:rPr>
          <w:i/>
          <w:iCs/>
          <w:color w:val="5A5A5A"/>
          <w:sz w:val="20"/>
          <w:szCs w:val="20"/>
        </w:rPr>
        <w:t>) Presenten interpretaciones preliminares claras y coherentes, vinculando los resultados obtenidos con el problema de decisión bajo incertidumbre.</w:t>
      </w:r>
    </w:p>
    <w:p w14:paraId="2AF50BA8" w14:textId="77777777" w:rsidR="00D84312" w:rsidRDefault="00000000">
      <w:pPr>
        <w:spacing w:after="280"/>
      </w:pPr>
      <w:r>
        <w:rPr>
          <w:i/>
          <w:iCs/>
          <w:color w:val="8C8C8C"/>
          <w:sz w:val="18"/>
          <w:szCs w:val="18"/>
        </w:rPr>
        <w:t>Los análisis estadísticos realizados permiten caracterizar el riesgo crediticio del dataset y extraer las siguientes interpretaciones vinculadas al problema de predicción de incumplimiento:</w:t>
        <w:br/>
        <w:br/>
        <w:t>1. Caracterización del cliente tipo: El cliente promedio tiene 35,5 años, un límite de crédito de NT$164.247, una factura mensual de NT$51.223 y realiza pagos por NT$5.664. La tasa de incumplimiento es del 22,12%, lo que indica un nivel de riesgo moderado-alto en la cartera.</w:t>
        <w:br/>
        <w:br/>
        <w:t>2. El límite de crédito como indicador de riesgo: La diferencia de NT$42.374 en el límite de crédito entre clientes que no incumplieron (μ=NT$173.620) y los que sí (μ=NT$131.246) es estadísticamente significativa (t=27,13; p&lt;0,001). Esto sugiere que el banco tiende a otorgar límites más altos a clientes con mejor perfil crediticio, y que un límite bajo podría ser señal de mayor riesgo.</w:t>
        <w:br/>
        <w:br/>
        <w:t>3. Género y riesgo de crédito: Los hombres presentan mayor tasa de incumplimiento (24,17%) que las mujeres (20,78%), con diferencia estadísticamente significativa (χ²=47,71; p&lt;0,001). Sin embargo, el tamaño del efecto es negligible (V=0,040), por lo que el género por sí solo tiene escaso valor predictivo.</w:t>
        <w:br/>
        <w:br/>
        <w:t>4. Educación y comportamiento de pago: La asociación entre nivel educacional e incumplimiento es significativa (χ²=97,00; p&lt;0,001). El gradiente de riesgo es coherente con la teoría: mayor nivel educacional se asocia a menor incumplimiento (posgrado: 19,23%; secundaria: 25,16%), posiblemente como proxy de mayor estabilidad económica y educación financiera.</w:t>
        <w:br/>
        <w:br/>
        <w:t>5. Implicaciones para la gestión de riesgo: Los hallazgos apoyan la inclusión de LIMIT_BAL y EDUCATION como predictores relevantes en futuros modelos de scoring crediticio. La alta correlación entre variables de facturación (r&gt;0,90) sugiere la necesidad de técnicas de reducción de dimensionalidad (PCA o selección de features) en fases posteriores.</w:t>
      </w:r>
    </w:p>
    <w:p w14:paraId="15CD001B" w14:textId="77777777" w:rsidR="00D84312" w:rsidRDefault="00000000">
      <w:pPr>
        <w:pStyle w:val="Ttulo1"/>
      </w:pPr>
      <w:bookmarkStart w:id="7" w:name="_Toc233205450"/>
      <w:r>
        <w:lastRenderedPageBreak/>
        <w:t>Presentación formal del informe</w:t>
      </w:r>
      <w:bookmarkEnd w:id="7"/>
    </w:p>
    <w:p w14:paraId="7489B7A4" w14:textId="77777777" w:rsidR="00D84312" w:rsidRDefault="00000000"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</w:t>
      </w:r>
      <w:proofErr w:type="spellStart"/>
      <w:r>
        <w:rPr>
          <w:i/>
          <w:iCs/>
          <w:color w:val="5A5A5A"/>
          <w:sz w:val="20"/>
          <w:szCs w:val="20"/>
        </w:rPr>
        <w:t>pts</w:t>
      </w:r>
      <w:proofErr w:type="spellEnd"/>
      <w:r>
        <w:rPr>
          <w:i/>
          <w:iCs/>
          <w:color w:val="5A5A5A"/>
          <w:sz w:val="20"/>
          <w:szCs w:val="20"/>
        </w:rPr>
        <w:t xml:space="preserve">) Verifiquen redacción formal, uso adecuado de lenguaje estadístico y cumplimiento del formato solicitado antes de subir el PDF a </w:t>
      </w:r>
      <w:proofErr w:type="spellStart"/>
      <w:r>
        <w:rPr>
          <w:i/>
          <w:iCs/>
          <w:color w:val="5A5A5A"/>
          <w:sz w:val="20"/>
          <w:szCs w:val="20"/>
        </w:rPr>
        <w:t>Canvas</w:t>
      </w:r>
      <w:proofErr w:type="spellEnd"/>
      <w:r>
        <w:rPr>
          <w:i/>
          <w:iCs/>
          <w:color w:val="5A5A5A"/>
          <w:sz w:val="20"/>
          <w:szCs w:val="20"/>
        </w:rPr>
        <w:t>.</w:t>
      </w:r>
    </w:p>
    <w:p w14:paraId="6256F261" w14:textId="77777777" w:rsidR="00D84312" w:rsidRDefault="00000000">
      <w:pPr>
        <w:spacing w:after="280"/>
      </w:pPr>
      <w:r>
        <w:rPr>
          <w:i/>
          <w:iCs/>
          <w:color w:val="8C8C8C"/>
          <w:sz w:val="18"/>
          <w:szCs w:val="18"/>
        </w:rPr>
        <w:t>El presente informe cumple con el formato de informe técnico académico, estructurado según los lineamientos de la evaluación. El desarrollo completo con código, gráficos y resultados se documenta en el notebook F1_semana1.ipynb, mientras que este informe presenta los procedimientos, resultados e interpretaciones de forma formal y reproducible.</w:t>
        <w:br/>
        <w:br/>
        <w:t>El lenguaje estadístico empleado es consistente con los contenidos del curso: se utilizan conceptos de estimación puntual, intervalos de confianza, nivel de significancia, hipótesis nula y alternativa, estadístico de prueba, valor-p, tamaño del efecto (d de Cohen, V de Cramér) y mecanismo de datos faltantes (MCAR).</w:t>
        <w:br/>
        <w:br/>
        <w:t>Los procedimientos siguen un orden lógico: exploración inicial → tratamiento de faltantes → estadística descriptiva → estimación paramétrica → prueba de hipótesis → interpretación, garantizando la trazabilidad del análisis.</w:t>
        <w:br/>
        <w:br/>
        <w:t>La notación matemática de los procedimientos (fórmulas de IC para media y proporción, hipótesis con H₀ y H₁) y los criterios de decisión (α=0,05) se detallan en el notebook, con referencias a los métodos estadísticos utilizados (t de Welch, Wilson, Chi-cuadrado, Mann-Whitney U).</w:t>
        <w:br/>
        <w:br/>
        <w:t>Todos los gráficos presentan títulos, etiquetas de ejes, leyendas y estadísticos de prueba relevantes, cumpliendo con los estándares de presentación estadística formal.</w:t>
      </w:r>
    </w:p>
    <w:sectPr w:rsidR="00D84312"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68DB" w14:textId="77777777" w:rsidR="0085061D" w:rsidRDefault="0085061D">
      <w:r>
        <w:separator/>
      </w:r>
    </w:p>
  </w:endnote>
  <w:endnote w:type="continuationSeparator" w:id="0">
    <w:p w14:paraId="412A6865" w14:textId="77777777" w:rsidR="0085061D" w:rsidRDefault="0085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8386" w14:textId="77777777" w:rsidR="00D84312" w:rsidRDefault="00000000">
    <w:pPr>
      <w:pBdr>
        <w:top w:val="single" w:sz="4" w:space="4" w:color="BFBFBF"/>
      </w:pBdr>
      <w:tabs>
        <w:tab w:val="right" w:pos="9026"/>
      </w:tabs>
    </w:pPr>
    <w:r>
      <w:rPr>
        <w:color w:val="5A5A5A"/>
        <w:sz w:val="16"/>
        <w:szCs w:val="16"/>
      </w:rPr>
      <w:t>Magíster en Ciencia de Datos e Inteligencia Artificial</w:t>
    </w:r>
    <w:r>
      <w:tab/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A74C78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4EC94" w14:textId="77777777" w:rsidR="0085061D" w:rsidRDefault="0085061D">
      <w:r>
        <w:separator/>
      </w:r>
    </w:p>
  </w:footnote>
  <w:footnote w:type="continuationSeparator" w:id="0">
    <w:p w14:paraId="3EABCB21" w14:textId="77777777" w:rsidR="0085061D" w:rsidRDefault="00850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25542"/>
    <w:multiLevelType w:val="hybridMultilevel"/>
    <w:tmpl w:val="0C3CAEF6"/>
    <w:lvl w:ilvl="0" w:tplc="B1B29FD4">
      <w:start w:val="1"/>
      <w:numFmt w:val="bullet"/>
      <w:lvlText w:val="•"/>
      <w:lvlJc w:val="left"/>
      <w:pPr>
        <w:ind w:left="720" w:hanging="360"/>
      </w:pPr>
    </w:lvl>
    <w:lvl w:ilvl="1" w:tplc="08063F9E">
      <w:numFmt w:val="decimal"/>
      <w:lvlText w:val=""/>
      <w:lvlJc w:val="left"/>
    </w:lvl>
    <w:lvl w:ilvl="2" w:tplc="EBE2C69E">
      <w:numFmt w:val="decimal"/>
      <w:lvlText w:val=""/>
      <w:lvlJc w:val="left"/>
    </w:lvl>
    <w:lvl w:ilvl="3" w:tplc="55BC9E6A">
      <w:numFmt w:val="decimal"/>
      <w:lvlText w:val=""/>
      <w:lvlJc w:val="left"/>
    </w:lvl>
    <w:lvl w:ilvl="4" w:tplc="C13E0886">
      <w:numFmt w:val="decimal"/>
      <w:lvlText w:val=""/>
      <w:lvlJc w:val="left"/>
    </w:lvl>
    <w:lvl w:ilvl="5" w:tplc="54D85FBC">
      <w:numFmt w:val="decimal"/>
      <w:lvlText w:val=""/>
      <w:lvlJc w:val="left"/>
    </w:lvl>
    <w:lvl w:ilvl="6" w:tplc="18FAB092">
      <w:numFmt w:val="decimal"/>
      <w:lvlText w:val=""/>
      <w:lvlJc w:val="left"/>
    </w:lvl>
    <w:lvl w:ilvl="7" w:tplc="84F2D534">
      <w:numFmt w:val="decimal"/>
      <w:lvlText w:val=""/>
      <w:lvlJc w:val="left"/>
    </w:lvl>
    <w:lvl w:ilvl="8" w:tplc="B5889E80">
      <w:numFmt w:val="decimal"/>
      <w:lvlText w:val=""/>
      <w:lvlJc w:val="left"/>
    </w:lvl>
  </w:abstractNum>
  <w:abstractNum w:abstractNumId="1" w15:restartNumberingAfterBreak="0">
    <w:nsid w:val="52A124B0"/>
    <w:multiLevelType w:val="multilevel"/>
    <w:tmpl w:val="510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37C1B"/>
    <w:multiLevelType w:val="hybridMultilevel"/>
    <w:tmpl w:val="BC5C9AD4"/>
    <w:lvl w:ilvl="0" w:tplc="46989354">
      <w:start w:val="1"/>
      <w:numFmt w:val="bullet"/>
      <w:lvlText w:val="●"/>
      <w:lvlJc w:val="left"/>
      <w:pPr>
        <w:ind w:left="720" w:hanging="360"/>
      </w:pPr>
    </w:lvl>
    <w:lvl w:ilvl="1" w:tplc="815C3FA2">
      <w:start w:val="1"/>
      <w:numFmt w:val="bullet"/>
      <w:lvlText w:val="○"/>
      <w:lvlJc w:val="left"/>
      <w:pPr>
        <w:ind w:left="1440" w:hanging="360"/>
      </w:pPr>
    </w:lvl>
    <w:lvl w:ilvl="2" w:tplc="A36025DC">
      <w:start w:val="1"/>
      <w:numFmt w:val="bullet"/>
      <w:lvlText w:val="■"/>
      <w:lvlJc w:val="left"/>
      <w:pPr>
        <w:ind w:left="2160" w:hanging="360"/>
      </w:pPr>
    </w:lvl>
    <w:lvl w:ilvl="3" w:tplc="E924CC7C">
      <w:start w:val="1"/>
      <w:numFmt w:val="bullet"/>
      <w:lvlText w:val="●"/>
      <w:lvlJc w:val="left"/>
      <w:pPr>
        <w:ind w:left="2880" w:hanging="360"/>
      </w:pPr>
    </w:lvl>
    <w:lvl w:ilvl="4" w:tplc="4BF43B1A">
      <w:start w:val="1"/>
      <w:numFmt w:val="bullet"/>
      <w:lvlText w:val="○"/>
      <w:lvlJc w:val="left"/>
      <w:pPr>
        <w:ind w:left="3600" w:hanging="360"/>
      </w:pPr>
    </w:lvl>
    <w:lvl w:ilvl="5" w:tplc="CF323F24">
      <w:start w:val="1"/>
      <w:numFmt w:val="bullet"/>
      <w:lvlText w:val="■"/>
      <w:lvlJc w:val="left"/>
      <w:pPr>
        <w:ind w:left="4320" w:hanging="360"/>
      </w:pPr>
    </w:lvl>
    <w:lvl w:ilvl="6" w:tplc="CFE4EC7C">
      <w:start w:val="1"/>
      <w:numFmt w:val="bullet"/>
      <w:lvlText w:val="●"/>
      <w:lvlJc w:val="left"/>
      <w:pPr>
        <w:ind w:left="5040" w:hanging="360"/>
      </w:pPr>
    </w:lvl>
    <w:lvl w:ilvl="7" w:tplc="CEEE00AE">
      <w:start w:val="1"/>
      <w:numFmt w:val="bullet"/>
      <w:lvlText w:val="●"/>
      <w:lvlJc w:val="left"/>
      <w:pPr>
        <w:ind w:left="5760" w:hanging="360"/>
      </w:pPr>
    </w:lvl>
    <w:lvl w:ilvl="8" w:tplc="82EAAB42">
      <w:start w:val="1"/>
      <w:numFmt w:val="bullet"/>
      <w:lvlText w:val="●"/>
      <w:lvlJc w:val="left"/>
      <w:pPr>
        <w:ind w:left="6480" w:hanging="360"/>
      </w:pPr>
    </w:lvl>
  </w:abstractNum>
  <w:num w:numId="1" w16cid:durableId="1035272651">
    <w:abstractNumId w:val="2"/>
    <w:lvlOverride w:ilvl="0">
      <w:startOverride w:val="1"/>
    </w:lvlOverride>
  </w:num>
  <w:num w:numId="2" w16cid:durableId="45051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312"/>
    <w:rsid w:val="00486DCF"/>
    <w:rsid w:val="00651EA4"/>
    <w:rsid w:val="0085061D"/>
    <w:rsid w:val="00A74C78"/>
    <w:rsid w:val="00D8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679B"/>
  <w15:docId w15:val="{D1499969-6374-47C2-804C-7EFC128D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74C78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486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670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MONCADA GONZALEZ ROBERTO C</cp:lastModifiedBy>
  <cp:revision>3</cp:revision>
  <dcterms:created xsi:type="dcterms:W3CDTF">2026-06-24T15:10:00Z</dcterms:created>
  <dcterms:modified xsi:type="dcterms:W3CDTF">2026-06-24T18:59:00Z</dcterms:modified>
</cp:coreProperties>
</file>