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p>
    <w:p>
      <w:pPr>
        <w:jc w:val="center"/>
      </w:pPr>
      <w:r>
        <w:rPr>
          <w:b/>
          <w:color w:val="17365D"/>
          <w:sz w:val="40"/>
        </w:rPr>
        <w:t>MCDI504</w:t>
      </w:r>
    </w:p>
    <w:p>
      <w:pPr>
        <w:jc w:val="center"/>
      </w:pPr>
      <w:r>
        <w:rPr>
          <w:b/>
          <w:color w:val="17365D"/>
          <w:sz w:val="40"/>
        </w:rPr>
        <w:t>MACHINE LEARNING I</w:t>
      </w:r>
    </w:p>
    <w:p>
      <w:pPr>
        <w:jc w:val="center"/>
      </w:pPr>
      <w:r>
        <w:rPr>
          <w:b/>
          <w:color w:val="0A3B49"/>
          <w:sz w:val="34"/>
        </w:rPr>
        <w:t>INFORME FINAL DEL PROYECTO — FASE 4:</w:t>
      </w:r>
    </w:p>
    <w:p>
      <w:pPr>
        <w:jc w:val="center"/>
      </w:pPr>
      <w:r>
        <w:rPr>
          <w:b/>
          <w:color w:val="0A3B49"/>
          <w:sz w:val="34"/>
        </w:rPr>
        <w:t>EVALUACIÓN, VALIDACIÓN Y CONSOLIDACIÓN DEL PROYECTO</w:t>
      </w:r>
    </w:p>
    <w:p>
      <w:r>
        <w:br/>
      </w:r>
      <w:r>
        <w:br/>
      </w:r>
      <w:r>
        <w:br/>
      </w:r>
      <w:r>
        <w:br/>
      </w:r>
    </w:p>
    <w:p>
      <w:pPr>
        <w:jc w:val="center"/>
      </w:pPr>
      <w:r>
        <w:rPr>
          <w:b/>
          <w:sz w:val="24"/>
        </w:rPr>
        <w:t xml:space="preserve">Integrantes: </w:t>
      </w:r>
      <w:r>
        <w:rPr>
          <w:sz w:val="24"/>
        </w:rPr>
        <w:t>Arturo Knopke Vera, Nicolás Soletic Cobos, Sebastián Navarrete Soto, Roberto Moncada González</w:t>
      </w:r>
    </w:p>
    <w:p>
      <w:pPr>
        <w:jc w:val="center"/>
      </w:pPr>
      <w:r>
        <w:rPr>
          <w:b/>
          <w:sz w:val="24"/>
        </w:rPr>
        <w:t xml:space="preserve">Curso: </w:t>
      </w:r>
      <w:r>
        <w:rPr>
          <w:sz w:val="24"/>
        </w:rPr>
        <w:t>MCDI504 - Machine Learning I</w:t>
      </w:r>
    </w:p>
    <w:p>
      <w:pPr>
        <w:jc w:val="center"/>
      </w:pPr>
      <w:r>
        <w:rPr>
          <w:b/>
          <w:sz w:val="24"/>
        </w:rPr>
        <w:t xml:space="preserve">Evaluación: </w:t>
      </w:r>
      <w:r>
        <w:rPr>
          <w:sz w:val="24"/>
        </w:rPr>
        <w:t>Semana 04. Evaluación Sumativa 3: Informe final del proyecto — Fase 4</w:t>
      </w:r>
    </w:p>
    <w:p>
      <w:pPr>
        <w:jc w:val="center"/>
      </w:pPr>
      <w:r>
        <w:rPr>
          <w:b/>
          <w:sz w:val="24"/>
        </w:rPr>
        <w:t xml:space="preserve">Docente: </w:t>
      </w:r>
      <w:r>
        <w:rPr>
          <w:sz w:val="24"/>
        </w:rPr>
        <w:t>David Ruete</w:t>
      </w:r>
    </w:p>
    <w:p>
      <w:pPr>
        <w:jc w:val="center"/>
      </w:pPr>
      <w:r>
        <w:rPr>
          <w:b/>
          <w:sz w:val="24"/>
        </w:rPr>
        <w:t xml:space="preserve">Fecha de entrega: </w:t>
      </w:r>
      <w:r>
        <w:rPr>
          <w:sz w:val="24"/>
        </w:rPr>
        <w:t>30 de agosto de 2026</w:t>
      </w:r>
    </w:p>
    <w:p>
      <w:pPr>
        <w:jc w:val="center"/>
      </w:pPr>
      <w:r>
        <w:rPr>
          <w:b/>
          <w:sz w:val="24"/>
        </w:rPr>
        <w:t xml:space="preserve">Grupo: </w:t>
      </w:r>
      <w:r>
        <w:rPr>
          <w:sz w:val="24"/>
        </w:rPr>
        <w:t>5</w:t>
      </w:r>
    </w:p>
    <w:p>
      <w:r>
        <w:br w:type="page"/>
      </w:r>
    </w:p>
    <w:p>
      <w:pPr>
        <w:pStyle w:val="Heading1"/>
      </w:pPr>
      <w:r>
        <w:t>Índice</w:t>
      </w:r>
    </w:p>
    <w:p>
      <w:pPr>
        <w:pStyle w:val="ListBullet"/>
      </w:pPr>
      <w:r>
        <w:t>I. Portada e índice</w:t>
      </w:r>
    </w:p>
    <w:p>
      <w:pPr>
        <w:pStyle w:val="ListBullet"/>
      </w:pPr>
      <w:r>
        <w:t>II. Evaluación del desempeño del modelo</w:t>
      </w:r>
    </w:p>
    <w:p>
      <w:pPr>
        <w:pStyle w:val="ListBullet"/>
      </w:pPr>
      <w:r>
        <w:t>III. Reporte tabulado e interpretación de métricas del modelo</w:t>
      </w:r>
    </w:p>
    <w:p>
      <w:pPr>
        <w:pStyle w:val="ListBullet"/>
      </w:pPr>
      <w:r>
        <w:t>IV. Matriz de confusión y métricas de clasificación</w:t>
      </w:r>
    </w:p>
    <w:p>
      <w:pPr>
        <w:pStyle w:val="ListBullet"/>
      </w:pPr>
      <w:r>
        <w:t>V. Interpretación del desempeño del modelo</w:t>
      </w:r>
    </w:p>
    <w:p>
      <w:pPr>
        <w:pStyle w:val="ListBullet"/>
      </w:pPr>
      <w:r>
        <w:t>VI. Interpretación para toma de decisiones</w:t>
      </w:r>
    </w:p>
    <w:p>
      <w:pPr>
        <w:pStyle w:val="ListBullet"/>
      </w:pPr>
      <w:r>
        <w:t>VII. Notebook y trazabilidad del proceso de evaluación del modelo</w:t>
      </w:r>
    </w:p>
    <w:p>
      <w:pPr>
        <w:pStyle w:val="ListBullet"/>
      </w:pPr>
      <w:r>
        <w:t>VIII. Conclusiones técnicas del desempeño del modelo</w:t>
      </w:r>
    </w:p>
    <w:p>
      <w:pPr>
        <w:pStyle w:val="ListBullet"/>
      </w:pPr>
      <w:r>
        <w:t>IX. Reporte tabulado e interpretación de estabilidad de métricas</w:t>
      </w:r>
    </w:p>
    <w:p>
      <w:pPr>
        <w:pStyle w:val="ListBullet"/>
      </w:pPr>
      <w:r>
        <w:t>X. Justificación de técnica de validación</w:t>
      </w:r>
    </w:p>
    <w:p>
      <w:pPr>
        <w:pStyle w:val="ListBullet"/>
      </w:pPr>
      <w:r>
        <w:t>XI. Coherencia metodológica de validación</w:t>
      </w:r>
    </w:p>
    <w:p>
      <w:pPr>
        <w:pStyle w:val="ListBullet"/>
      </w:pPr>
      <w:r>
        <w:t>XII. Notebook y trazabilidad del proceso de validación</w:t>
      </w:r>
    </w:p>
    <w:p>
      <w:pPr>
        <w:pStyle w:val="ListBullet"/>
      </w:pPr>
      <w:r>
        <w:t>XIII. Conclusiones técnicas del proceso de validación</w:t>
      </w:r>
    </w:p>
    <w:p>
      <w:pPr>
        <w:pStyle w:val="ListBullet"/>
      </w:pPr>
      <w:r>
        <w:t>XIV. Uso de fuentes, citación y referencias</w:t>
      </w:r>
    </w:p>
    <w:p>
      <w:pPr>
        <w:pStyle w:val="ListBullet"/>
      </w:pPr>
      <w:r>
        <w:t>XV. Anexos</w:t>
      </w:r>
    </w:p>
    <w:p>
      <w:r>
        <w:br w:type="page"/>
      </w:r>
    </w:p>
    <w:p>
      <w:pPr>
        <w:pStyle w:val="Heading1"/>
      </w:pPr>
      <w:r>
        <w:t>II. Evaluación del desempeño del modelo</w:t>
      </w:r>
    </w:p>
    <w:p>
      <w:r>
        <w:rPr>
          <w:b w:val="0"/>
          <w:i w:val="0"/>
        </w:rPr>
        <w:t>El presente informe corresponde a la Fase 4 del proyecto ABP desarrollado durante el curso MCDI504 - Machine Learning I, y consolida la evaluación y validación del modelo de clasificación supervisada desarrollado para el caso a lo largo de las Fases 1 a 3. El propósito de este apartado es evidenciar la medición del desempeño del modelo mediante matriz de confusión y métricas de clasificación cuantitativas, incorporando la clase objetivo definida y relacionando los resultados obtenidos con el problema analítico abordado (Ruete, 2026a).</w:t>
      </w:r>
    </w:p>
    <w:p>
      <w:r>
        <w:rPr>
          <w:b w:val="0"/>
          <w:i w:val="0"/>
        </w:rPr>
        <w:t>El caso corresponde a la consultora ficticia NextWork Advisory, que utiliza el dataset simulado AI Impact on Jobs 2030 (3.000 perfiles laborales, 18 columnas) para estimar el riesgo de automatización de cargos hacia el año 2030 y priorizar así sus recomendaciones de inversión en recapacitación (reskilling) de personal. El problema analítico consiste en predecir la variable objetivo Risk_Category —una variable categórica ordinal con tres clases (Low, Medium, High)— a partir de variables sociolaborales (cargo, salario, años de experiencia, nivel educativo), de contexto (índice de exposición a la IA, factor de crecimiento tecnológico del sector) y de un perfil de diez puntajes de habilidades (Skill_1 a Skill_10). Se trata, por lo tanto, de un problema de clasificación supervisada multiclase.</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0A3B49"/>
          </w:tcPr>
          <w:p>
            <w:pPr>
              <w:jc w:val="center"/>
            </w:pPr>
            <w:r/>
            <w:r>
              <w:rPr>
                <w:rFonts w:ascii="Calibri" w:hAnsi="Calibri"/>
                <w:b/>
                <w:color w:val="FFFFFF"/>
                <w:sz w:val="20"/>
              </w:rPr>
              <w:t>Elemento</w:t>
            </w:r>
          </w:p>
        </w:tc>
        <w:tc>
          <w:tcPr>
            <w:tcW w:type="dxa" w:w="6520"/>
            <w:shd w:val="clear" w:color="auto" w:fill="0A3B49"/>
          </w:tcPr>
          <w:p>
            <w:pPr>
              <w:jc w:val="center"/>
            </w:pPr>
            <w:r/>
            <w:r>
              <w:rPr>
                <w:rFonts w:ascii="Calibri" w:hAnsi="Calibri"/>
                <w:b/>
                <w:color w:val="FFFFFF"/>
                <w:sz w:val="20"/>
              </w:rPr>
              <w:t>Descripción aplicada al informe</w:t>
            </w:r>
          </w:p>
        </w:tc>
      </w:tr>
      <w:tr>
        <w:tc>
          <w:tcPr>
            <w:tcW w:type="dxa" w:w="2551"/>
          </w:tcPr>
          <w:p>
            <w:r/>
            <w:r>
              <w:rPr>
                <w:rFonts w:ascii="Calibri" w:hAnsi="Calibri"/>
                <w:b w:val="0"/>
                <w:sz w:val="20"/>
              </w:rPr>
              <w:t>Problema analítico</w:t>
            </w:r>
          </w:p>
        </w:tc>
        <w:tc>
          <w:tcPr>
            <w:tcW w:type="dxa" w:w="6520"/>
          </w:tcPr>
          <w:p>
            <w:pPr>
              <w:jc w:val="center"/>
            </w:pPr>
            <w:r/>
            <w:r>
              <w:rPr>
                <w:rFonts w:ascii="Calibri" w:hAnsi="Calibri"/>
                <w:b w:val="0"/>
                <w:sz w:val="20"/>
              </w:rPr>
              <w:t>Estimar el riesgo de automatización de un cargo hacia 2030, para priorizar decisiones de recapacitación de personal en la consultora NextWork Advisory.</w:t>
            </w:r>
          </w:p>
        </w:tc>
      </w:tr>
      <w:tr>
        <w:tc>
          <w:tcPr>
            <w:tcW w:type="dxa" w:w="2551"/>
            <w:shd w:val="clear" w:color="auto" w:fill="F2F2F2"/>
          </w:tcPr>
          <w:p>
            <w:r/>
            <w:r>
              <w:rPr>
                <w:rFonts w:ascii="Calibri" w:hAnsi="Calibri"/>
                <w:b w:val="0"/>
                <w:sz w:val="20"/>
              </w:rPr>
              <w:t>Dataset</w:t>
            </w:r>
          </w:p>
        </w:tc>
        <w:tc>
          <w:tcPr>
            <w:tcW w:type="dxa" w:w="6520"/>
            <w:shd w:val="clear" w:color="auto" w:fill="F2F2F2"/>
          </w:tcPr>
          <w:p>
            <w:pPr>
              <w:jc w:val="center"/>
            </w:pPr>
            <w:r/>
            <w:r>
              <w:rPr>
                <w:rFonts w:ascii="Calibri" w:hAnsi="Calibri"/>
                <w:b w:val="0"/>
                <w:sz w:val="20"/>
              </w:rPr>
              <w:t>AI Impact on Jobs 2030: 3.000 perfiles laborales, 18 columnas, sin valores faltantes.</w:t>
            </w:r>
          </w:p>
        </w:tc>
      </w:tr>
      <w:tr>
        <w:tc>
          <w:tcPr>
            <w:tcW w:type="dxa" w:w="2551"/>
          </w:tcPr>
          <w:p>
            <w:r/>
            <w:r>
              <w:rPr>
                <w:rFonts w:ascii="Calibri" w:hAnsi="Calibri"/>
                <w:b w:val="0"/>
                <w:sz w:val="20"/>
              </w:rPr>
              <w:t>Variable objetivo</w:t>
            </w:r>
          </w:p>
        </w:tc>
        <w:tc>
          <w:tcPr>
            <w:tcW w:type="dxa" w:w="6520"/>
          </w:tcPr>
          <w:p>
            <w:pPr>
              <w:jc w:val="center"/>
            </w:pPr>
            <w:r/>
            <w:r>
              <w:rPr>
                <w:rFonts w:ascii="Calibri" w:hAnsi="Calibri"/>
                <w:b w:val="0"/>
                <w:sz w:val="20"/>
              </w:rPr>
              <w:t>Risk_Category (Low / Medium / High), variable ordinal derivada de Automation_Probability_2030 por corte de umbrales.</w:t>
            </w:r>
          </w:p>
        </w:tc>
      </w:tr>
      <w:tr>
        <w:tc>
          <w:tcPr>
            <w:tcW w:type="dxa" w:w="2551"/>
            <w:shd w:val="clear" w:color="auto" w:fill="F2F2F2"/>
          </w:tcPr>
          <w:p>
            <w:r/>
            <w:r>
              <w:rPr>
                <w:rFonts w:ascii="Calibri" w:hAnsi="Calibri"/>
                <w:b w:val="0"/>
                <w:sz w:val="20"/>
              </w:rPr>
              <w:t>Variables predictoras</w:t>
            </w:r>
          </w:p>
        </w:tc>
        <w:tc>
          <w:tcPr>
            <w:tcW w:type="dxa" w:w="6520"/>
            <w:shd w:val="clear" w:color="auto" w:fill="F2F2F2"/>
          </w:tcPr>
          <w:p>
            <w:pPr>
              <w:jc w:val="center"/>
            </w:pPr>
            <w:r/>
            <w:r>
              <w:rPr>
                <w:rFonts w:ascii="Calibri" w:hAnsi="Calibri"/>
                <w:b w:val="0"/>
                <w:sz w:val="20"/>
              </w:rPr>
              <w:t>34 variables: Average_Salary, Years_Experience, Education_Level (ordinal), AI_Exposure_Index, Tech_Growth_Factor, Skill_1–Skill_10 y Job_Title (19 columnas dummy).</w:t>
            </w:r>
          </w:p>
        </w:tc>
      </w:tr>
      <w:tr>
        <w:tc>
          <w:tcPr>
            <w:tcW w:type="dxa" w:w="2551"/>
          </w:tcPr>
          <w:p>
            <w:r/>
            <w:r>
              <w:rPr>
                <w:rFonts w:ascii="Calibri" w:hAnsi="Calibri"/>
                <w:b w:val="0"/>
                <w:sz w:val="20"/>
              </w:rPr>
              <w:t>Modelo evaluado (campeón)</w:t>
            </w:r>
          </w:p>
        </w:tc>
        <w:tc>
          <w:tcPr>
            <w:tcW w:type="dxa" w:w="6520"/>
          </w:tcPr>
          <w:p>
            <w:pPr>
              <w:jc w:val="center"/>
            </w:pPr>
            <w:r/>
            <w:r>
              <w:rPr>
                <w:rFonts w:ascii="Calibri" w:hAnsi="Calibri"/>
                <w:b w:val="0"/>
                <w:sz w:val="20"/>
              </w:rPr>
              <w:t>MLPClassifier de una capa oculta (32 neuronas, ReLU, solver adam), desarrollado y entrenado en la Fase 3 (F3_RedesNeuronales.ipynb).</w:t>
            </w:r>
          </w:p>
        </w:tc>
      </w:tr>
      <w:tr>
        <w:tc>
          <w:tcPr>
            <w:tcW w:type="dxa" w:w="2551"/>
            <w:shd w:val="clear" w:color="auto" w:fill="F2F2F2"/>
          </w:tcPr>
          <w:p>
            <w:r/>
            <w:r>
              <w:rPr>
                <w:rFonts w:ascii="Calibri" w:hAnsi="Calibri"/>
                <w:b w:val="0"/>
                <w:sz w:val="20"/>
              </w:rPr>
              <w:t>Modelos de contraste</w:t>
            </w:r>
          </w:p>
        </w:tc>
        <w:tc>
          <w:tcPr>
            <w:tcW w:type="dxa" w:w="6520"/>
            <w:shd w:val="clear" w:color="auto" w:fill="F2F2F2"/>
          </w:tcPr>
          <w:p>
            <w:pPr>
              <w:jc w:val="center"/>
            </w:pPr>
            <w:r/>
            <w:r>
              <w:rPr>
                <w:rFonts w:ascii="Calibri" w:hAnsi="Calibri"/>
                <w:b w:val="0"/>
                <w:sz w:val="20"/>
              </w:rPr>
              <w:t>KNN, Árbol de Decisión, SVM y Naive Bayes, entrenados en esta fase sobre el mismo conjunto de datos para contextualizar el desempeño del modelo campeón.</w:t>
            </w:r>
          </w:p>
        </w:tc>
      </w:tr>
      <w:tr>
        <w:tc>
          <w:tcPr>
            <w:tcW w:type="dxa" w:w="2551"/>
          </w:tcPr>
          <w:p>
            <w:r/>
            <w:r>
              <w:rPr>
                <w:rFonts w:ascii="Calibri" w:hAnsi="Calibri"/>
                <w:b w:val="0"/>
                <w:sz w:val="20"/>
              </w:rPr>
              <w:t>Técnica de validación</w:t>
            </w:r>
          </w:p>
        </w:tc>
        <w:tc>
          <w:tcPr>
            <w:tcW w:type="dxa" w:w="6520"/>
          </w:tcPr>
          <w:p>
            <w:pPr>
              <w:jc w:val="center"/>
            </w:pPr>
            <w:r/>
            <w:r>
              <w:rPr>
                <w:rFonts w:ascii="Calibri" w:hAnsi="Calibri"/>
                <w:b w:val="0"/>
                <w:sz w:val="20"/>
              </w:rPr>
              <w:t>Hold-Out 80/20 estratificado (evaluación puntual) y K-Fold Cross-Validation k=5 (evaluación de estabilidad).</w:t>
            </w:r>
          </w:p>
        </w:tc>
      </w:tr>
      <w:tr>
        <w:tc>
          <w:tcPr>
            <w:tcW w:type="dxa" w:w="2551"/>
            <w:shd w:val="clear" w:color="auto" w:fill="F2F2F2"/>
          </w:tcPr>
          <w:p>
            <w:r/>
            <w:r>
              <w:rPr>
                <w:rFonts w:ascii="Calibri" w:hAnsi="Calibri"/>
                <w:b w:val="0"/>
                <w:sz w:val="20"/>
              </w:rPr>
              <w:t>Notebook</w:t>
            </w:r>
          </w:p>
        </w:tc>
        <w:tc>
          <w:tcPr>
            <w:tcW w:type="dxa" w:w="6520"/>
            <w:shd w:val="clear" w:color="auto" w:fill="F2F2F2"/>
          </w:tcPr>
          <w:p>
            <w:pPr>
              <w:jc w:val="center"/>
            </w:pPr>
            <w:r/>
            <w:r>
              <w:rPr>
                <w:rFonts w:ascii="Calibri" w:hAnsi="Calibri"/>
                <w:b w:val="0"/>
                <w:sz w:val="20"/>
              </w:rPr>
              <w:t>notebooks/F4_EvaluacionValidacion.ipynb</w:t>
            </w:r>
          </w:p>
        </w:tc>
      </w:tr>
    </w:tbl>
    <w:p>
      <w:pPr>
        <w:spacing w:after="40"/>
      </w:pPr>
    </w:p>
    <w:p>
      <w:r>
        <w:rPr>
          <w:b w:val="0"/>
          <w:i w:val="0"/>
        </w:rPr>
        <w:t>La Figura 1 muestra la distribución de la variable objetivo en el dataset completo: Medium concentra el 50,70% de las observaciones (1.521 casos), mientras que Low (24,63%; 739 casos) y High (24,67%; 740 casos) se reparten el resto en proporciones casi idénticas entre sí. Este desbalance moderado justificó el uso de partición estratificada (stratify=y) y de métricas macro-promediadas, que ponderan igual a las tres clases y evitan sobrestimar el desempeño del modelo únicamente por acertar en la clase mayoritaria.</w:t>
      </w:r>
    </w:p>
    <w:p>
      <w:pPr>
        <w:jc w:val="center"/>
      </w:pPr>
      <w:r>
        <w:drawing>
          <wp:inline xmlns:a="http://schemas.openxmlformats.org/drawingml/2006/main" xmlns:pic="http://schemas.openxmlformats.org/drawingml/2006/picture">
            <wp:extent cx="3600000" cy="2680678"/>
            <wp:docPr id="1" name="Picture 1"/>
            <wp:cNvGraphicFramePr>
              <a:graphicFrameLocks noChangeAspect="1"/>
            </wp:cNvGraphicFramePr>
            <a:graphic>
              <a:graphicData uri="http://schemas.openxmlformats.org/drawingml/2006/picture">
                <pic:pic>
                  <pic:nvPicPr>
                    <pic:cNvPr id="0" name="f3_distribucion_clases.png"/>
                    <pic:cNvPicPr/>
                  </pic:nvPicPr>
                  <pic:blipFill>
                    <a:blip r:embed="rId9"/>
                    <a:stretch>
                      <a:fillRect/>
                    </a:stretch>
                  </pic:blipFill>
                  <pic:spPr>
                    <a:xfrm>
                      <a:off x="0" y="0"/>
                      <a:ext cx="3600000" cy="2680678"/>
                    </a:xfrm>
                    <a:prstGeom prst="rect"/>
                  </pic:spPr>
                </pic:pic>
              </a:graphicData>
            </a:graphic>
          </wp:inline>
        </w:drawing>
      </w:r>
    </w:p>
    <w:p>
      <w:pPr>
        <w:pStyle w:val="Caption2"/>
      </w:pPr>
      <w:r>
        <w:t>Figura 1. Distribución de la variable objetivo Risk_Category en el dataset completo.</w:t>
      </w:r>
    </w:p>
    <w:p>
      <w:r>
        <w:rPr>
          <w:b w:val="0"/>
          <w:i w:val="0"/>
        </w:rPr>
        <w:t>El pipeline analítico utilizado para evaluar el desempeño del modelo se compone de las siguientes etapas, documentadas íntegramente en el notebook de esta fase: (1) carga del dataset AI Impact on Jobs 2030; (2) preparación de variables (codificación ordinal de Education_Level, codificación dummy de Job_Title); (3) partición Hold-Out 80/20 estratificada y escalado de variables mediante StandardScaler (ajustado solo con datos de entrenamiento); (4) entrenamiento de siete modelos de clasificación (cuatro tradicionales y tres redes neuronales); (5) cálculo, para cada modelo, de accuracy, precision, recall, F1-score y ROC-AUC sobre el conjunto de prueba; (6) selección de un modelo campeón; (7) validación cruzada K-Fold (k=5) del modelo campeón para estimar la estabilidad de sus métricas.</w:t>
      </w:r>
    </w:p>
    <w:p>
      <w:pPr>
        <w:pStyle w:val="Heading1"/>
      </w:pPr>
      <w:r>
        <w:t>III. Reporte tabulado e interpretación de métricas del modelo</w:t>
      </w:r>
    </w:p>
    <w:p>
      <w:r>
        <w:rPr>
          <w:b w:val="0"/>
          <w:i w:val="0"/>
        </w:rPr>
        <w:t>La evaluación cuantitativa de los siete modelos entrenados se presenta mediante accuracy, precision (macro), recall (macro), F1-score (macro) y ROC-AUC (macro, esquema One-vs-Rest), calculadas sobre el mismo conjunto de prueba (600 observaciones) para asegurar comparabilidad directa entre modelos (scikit-learn Developers, 2026a). Dado que Risk_Category tiene tres clases, el ROC-AUC se calcula mediante el esquema One-vs-Rest: para cada clase se construye una curva ROC tratándola como positiva frente a las otras dos, y se promedian las tres áreas bajo la curva (AUC).</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041"/>
            <w:shd w:val="clear" w:color="auto" w:fill="0A3B49"/>
          </w:tcPr>
          <w:p>
            <w:pPr>
              <w:jc w:val="center"/>
            </w:pPr>
            <w:r/>
            <w:r>
              <w:rPr>
                <w:rFonts w:ascii="Calibri" w:hAnsi="Calibri"/>
                <w:b/>
                <w:color w:val="FFFFFF"/>
                <w:sz w:val="20"/>
              </w:rPr>
              <w:t>Modelo</w:t>
            </w:r>
          </w:p>
        </w:tc>
        <w:tc>
          <w:tcPr>
            <w:tcW w:type="dxa" w:w="1247"/>
            <w:shd w:val="clear" w:color="auto" w:fill="0A3B49"/>
          </w:tcPr>
          <w:p>
            <w:pPr>
              <w:jc w:val="center"/>
            </w:pPr>
            <w:r/>
            <w:r>
              <w:rPr>
                <w:rFonts w:ascii="Calibri" w:hAnsi="Calibri"/>
                <w:b/>
                <w:color w:val="FFFFFF"/>
                <w:sz w:val="20"/>
              </w:rPr>
              <w:t>Accuracy</w:t>
            </w:r>
          </w:p>
        </w:tc>
        <w:tc>
          <w:tcPr>
            <w:tcW w:type="dxa" w:w="1361"/>
            <w:shd w:val="clear" w:color="auto" w:fill="0A3B49"/>
          </w:tcPr>
          <w:p>
            <w:pPr>
              <w:jc w:val="center"/>
            </w:pPr>
            <w:r/>
            <w:r>
              <w:rPr>
                <w:rFonts w:ascii="Calibri" w:hAnsi="Calibri"/>
                <w:b/>
                <w:color w:val="FFFFFF"/>
                <w:sz w:val="20"/>
              </w:rPr>
              <w:t>Precision</w:t>
              <w:br/>
              <w:t>(macro)</w:t>
            </w:r>
          </w:p>
        </w:tc>
        <w:tc>
          <w:tcPr>
            <w:tcW w:type="dxa" w:w="1247"/>
            <w:shd w:val="clear" w:color="auto" w:fill="0A3B49"/>
          </w:tcPr>
          <w:p>
            <w:pPr>
              <w:jc w:val="center"/>
            </w:pPr>
            <w:r/>
            <w:r>
              <w:rPr>
                <w:rFonts w:ascii="Calibri" w:hAnsi="Calibri"/>
                <w:b/>
                <w:color w:val="FFFFFF"/>
                <w:sz w:val="20"/>
              </w:rPr>
              <w:t>Recall</w:t>
              <w:br/>
              <w:t>(macro)</w:t>
            </w:r>
          </w:p>
        </w:tc>
        <w:tc>
          <w:tcPr>
            <w:tcW w:type="dxa" w:w="1361"/>
            <w:shd w:val="clear" w:color="auto" w:fill="0A3B49"/>
          </w:tcPr>
          <w:p>
            <w:pPr>
              <w:jc w:val="center"/>
            </w:pPr>
            <w:r/>
            <w:r>
              <w:rPr>
                <w:rFonts w:ascii="Calibri" w:hAnsi="Calibri"/>
                <w:b/>
                <w:color w:val="FFFFFF"/>
                <w:sz w:val="20"/>
              </w:rPr>
              <w:t>F1-score</w:t>
              <w:br/>
              <w:t>(macro)</w:t>
            </w:r>
          </w:p>
        </w:tc>
        <w:tc>
          <w:tcPr>
            <w:tcW w:type="dxa" w:w="1361"/>
            <w:shd w:val="clear" w:color="auto" w:fill="0A3B49"/>
          </w:tcPr>
          <w:p>
            <w:pPr>
              <w:jc w:val="center"/>
            </w:pPr>
            <w:r/>
            <w:r>
              <w:rPr>
                <w:rFonts w:ascii="Calibri" w:hAnsi="Calibri"/>
                <w:b/>
                <w:color w:val="FFFFFF"/>
                <w:sz w:val="20"/>
              </w:rPr>
              <w:t>ROC-AUC</w:t>
              <w:br/>
              <w:t>(macro OvR)</w:t>
            </w:r>
          </w:p>
        </w:tc>
      </w:tr>
      <w:tr>
        <w:tc>
          <w:tcPr>
            <w:tcW w:type="dxa" w:w="2041"/>
          </w:tcPr>
          <w:p>
            <w:r/>
            <w:r>
              <w:rPr>
                <w:rFonts w:ascii="Calibri" w:hAnsi="Calibri"/>
                <w:b w:val="0"/>
                <w:sz w:val="20"/>
              </w:rPr>
              <w:t>KNN</w:t>
            </w:r>
          </w:p>
        </w:tc>
        <w:tc>
          <w:tcPr>
            <w:tcW w:type="dxa" w:w="1247"/>
          </w:tcPr>
          <w:p>
            <w:pPr>
              <w:jc w:val="center"/>
            </w:pPr>
            <w:r/>
            <w:r>
              <w:rPr>
                <w:rFonts w:ascii="Calibri" w:hAnsi="Calibri"/>
                <w:b w:val="0"/>
                <w:sz w:val="20"/>
              </w:rPr>
              <w:t>0,9933</w:t>
            </w:r>
          </w:p>
        </w:tc>
        <w:tc>
          <w:tcPr>
            <w:tcW w:type="dxa" w:w="1361"/>
          </w:tcPr>
          <w:p>
            <w:pPr>
              <w:jc w:val="center"/>
            </w:pPr>
            <w:r/>
            <w:r>
              <w:rPr>
                <w:rFonts w:ascii="Calibri" w:hAnsi="Calibri"/>
                <w:b w:val="0"/>
                <w:sz w:val="20"/>
              </w:rPr>
              <w:t>0,9912</w:t>
            </w:r>
          </w:p>
        </w:tc>
        <w:tc>
          <w:tcPr>
            <w:tcW w:type="dxa" w:w="1247"/>
          </w:tcPr>
          <w:p>
            <w:pPr>
              <w:jc w:val="center"/>
            </w:pPr>
            <w:r/>
            <w:r>
              <w:rPr>
                <w:rFonts w:ascii="Calibri" w:hAnsi="Calibri"/>
                <w:b w:val="0"/>
                <w:sz w:val="20"/>
              </w:rPr>
              <w:t>0,9956</w:t>
            </w:r>
          </w:p>
        </w:tc>
        <w:tc>
          <w:tcPr>
            <w:tcW w:type="dxa" w:w="1361"/>
          </w:tcPr>
          <w:p>
            <w:pPr>
              <w:jc w:val="center"/>
            </w:pPr>
            <w:r/>
            <w:r>
              <w:rPr>
                <w:rFonts w:ascii="Calibri" w:hAnsi="Calibri"/>
                <w:b w:val="0"/>
                <w:sz w:val="20"/>
              </w:rPr>
              <w:t>0,9933</w:t>
            </w:r>
          </w:p>
        </w:tc>
        <w:tc>
          <w:tcPr>
            <w:tcW w:type="dxa" w:w="1361"/>
          </w:tcPr>
          <w:p>
            <w:pPr>
              <w:jc w:val="center"/>
            </w:pPr>
            <w:r/>
            <w:r>
              <w:rPr>
                <w:rFonts w:ascii="Calibri" w:hAnsi="Calibri"/>
                <w:b w:val="0"/>
                <w:sz w:val="20"/>
              </w:rPr>
              <w:t>0,9963</w:t>
            </w:r>
          </w:p>
        </w:tc>
      </w:tr>
      <w:tr>
        <w:tc>
          <w:tcPr>
            <w:tcW w:type="dxa" w:w="2041"/>
            <w:shd w:val="clear" w:color="auto" w:fill="F2F2F2"/>
          </w:tcPr>
          <w:p>
            <w:r/>
            <w:r>
              <w:rPr>
                <w:rFonts w:ascii="Calibri" w:hAnsi="Calibri"/>
                <w:b w:val="0"/>
                <w:sz w:val="20"/>
              </w:rPr>
              <w:t>SVM</w:t>
            </w:r>
          </w:p>
        </w:tc>
        <w:tc>
          <w:tcPr>
            <w:tcW w:type="dxa" w:w="1247"/>
            <w:shd w:val="clear" w:color="auto" w:fill="F2F2F2"/>
          </w:tcPr>
          <w:p>
            <w:pPr>
              <w:jc w:val="center"/>
            </w:pPr>
            <w:r/>
            <w:r>
              <w:rPr>
                <w:rFonts w:ascii="Calibri" w:hAnsi="Calibri"/>
                <w:b w:val="0"/>
                <w:sz w:val="20"/>
              </w:rPr>
              <w:t>0,9933</w:t>
            </w:r>
          </w:p>
        </w:tc>
        <w:tc>
          <w:tcPr>
            <w:tcW w:type="dxa" w:w="1361"/>
            <w:shd w:val="clear" w:color="auto" w:fill="F2F2F2"/>
          </w:tcPr>
          <w:p>
            <w:pPr>
              <w:jc w:val="center"/>
            </w:pPr>
            <w:r/>
            <w:r>
              <w:rPr>
                <w:rFonts w:ascii="Calibri" w:hAnsi="Calibri"/>
                <w:b w:val="0"/>
                <w:sz w:val="20"/>
              </w:rPr>
              <w:t>0,9912</w:t>
            </w:r>
          </w:p>
        </w:tc>
        <w:tc>
          <w:tcPr>
            <w:tcW w:type="dxa" w:w="1247"/>
            <w:shd w:val="clear" w:color="auto" w:fill="F2F2F2"/>
          </w:tcPr>
          <w:p>
            <w:pPr>
              <w:jc w:val="center"/>
            </w:pPr>
            <w:r/>
            <w:r>
              <w:rPr>
                <w:rFonts w:ascii="Calibri" w:hAnsi="Calibri"/>
                <w:b w:val="0"/>
                <w:sz w:val="20"/>
              </w:rPr>
              <w:t>0,9956</w:t>
            </w:r>
          </w:p>
        </w:tc>
        <w:tc>
          <w:tcPr>
            <w:tcW w:type="dxa" w:w="1361"/>
            <w:shd w:val="clear" w:color="auto" w:fill="F2F2F2"/>
          </w:tcPr>
          <w:p>
            <w:pPr>
              <w:jc w:val="center"/>
            </w:pPr>
            <w:r/>
            <w:r>
              <w:rPr>
                <w:rFonts w:ascii="Calibri" w:hAnsi="Calibri"/>
                <w:b w:val="0"/>
                <w:sz w:val="20"/>
              </w:rPr>
              <w:t>0,9933</w:t>
            </w:r>
          </w:p>
        </w:tc>
        <w:tc>
          <w:tcPr>
            <w:tcW w:type="dxa" w:w="1361"/>
            <w:shd w:val="clear" w:color="auto" w:fill="F2F2F2"/>
          </w:tcPr>
          <w:p>
            <w:pPr>
              <w:jc w:val="center"/>
            </w:pPr>
            <w:r/>
            <w:r>
              <w:rPr>
                <w:rFonts w:ascii="Calibri" w:hAnsi="Calibri"/>
                <w:b w:val="0"/>
                <w:sz w:val="20"/>
              </w:rPr>
              <w:t>0,9986</w:t>
            </w:r>
          </w:p>
        </w:tc>
      </w:tr>
      <w:tr>
        <w:tc>
          <w:tcPr>
            <w:tcW w:type="dxa" w:w="2041"/>
          </w:tcPr>
          <w:p>
            <w:r/>
            <w:r>
              <w:rPr>
                <w:rFonts w:ascii="Calibri" w:hAnsi="Calibri"/>
                <w:b w:val="0"/>
                <w:sz w:val="20"/>
              </w:rPr>
              <w:t>MLP 1 capa oculta</w:t>
            </w:r>
          </w:p>
        </w:tc>
        <w:tc>
          <w:tcPr>
            <w:tcW w:type="dxa" w:w="1247"/>
          </w:tcPr>
          <w:p>
            <w:pPr>
              <w:jc w:val="center"/>
            </w:pPr>
            <w:r/>
            <w:r>
              <w:rPr>
                <w:rFonts w:ascii="Calibri" w:hAnsi="Calibri"/>
                <w:b w:val="0"/>
                <w:sz w:val="20"/>
              </w:rPr>
              <w:t>0,9933</w:t>
            </w:r>
          </w:p>
        </w:tc>
        <w:tc>
          <w:tcPr>
            <w:tcW w:type="dxa" w:w="1361"/>
          </w:tcPr>
          <w:p>
            <w:pPr>
              <w:jc w:val="center"/>
            </w:pPr>
            <w:r/>
            <w:r>
              <w:rPr>
                <w:rFonts w:ascii="Calibri" w:hAnsi="Calibri"/>
                <w:b w:val="0"/>
                <w:sz w:val="20"/>
              </w:rPr>
              <w:t>0,9912</w:t>
            </w:r>
          </w:p>
        </w:tc>
        <w:tc>
          <w:tcPr>
            <w:tcW w:type="dxa" w:w="1247"/>
          </w:tcPr>
          <w:p>
            <w:pPr>
              <w:jc w:val="center"/>
            </w:pPr>
            <w:r/>
            <w:r>
              <w:rPr>
                <w:rFonts w:ascii="Calibri" w:hAnsi="Calibri"/>
                <w:b w:val="0"/>
                <w:sz w:val="20"/>
              </w:rPr>
              <w:t>0,9956</w:t>
            </w:r>
          </w:p>
        </w:tc>
        <w:tc>
          <w:tcPr>
            <w:tcW w:type="dxa" w:w="1361"/>
          </w:tcPr>
          <w:p>
            <w:pPr>
              <w:jc w:val="center"/>
            </w:pPr>
            <w:r/>
            <w:r>
              <w:rPr>
                <w:rFonts w:ascii="Calibri" w:hAnsi="Calibri"/>
                <w:b w:val="0"/>
                <w:sz w:val="20"/>
              </w:rPr>
              <w:t>0,9933</w:t>
            </w:r>
          </w:p>
        </w:tc>
        <w:tc>
          <w:tcPr>
            <w:tcW w:type="dxa" w:w="1361"/>
          </w:tcPr>
          <w:p>
            <w:pPr>
              <w:jc w:val="center"/>
            </w:pPr>
            <w:r/>
            <w:r>
              <w:rPr>
                <w:rFonts w:ascii="Calibri" w:hAnsi="Calibri"/>
                <w:b w:val="0"/>
                <w:sz w:val="20"/>
              </w:rPr>
              <w:t>0,9969</w:t>
            </w:r>
          </w:p>
        </w:tc>
      </w:tr>
      <w:tr>
        <w:tc>
          <w:tcPr>
            <w:tcW w:type="dxa" w:w="2041"/>
            <w:shd w:val="clear" w:color="auto" w:fill="F2F2F2"/>
          </w:tcPr>
          <w:p>
            <w:r/>
            <w:r>
              <w:rPr>
                <w:rFonts w:ascii="Calibri" w:hAnsi="Calibri"/>
                <w:b w:val="0"/>
                <w:sz w:val="20"/>
              </w:rPr>
              <w:t>MLP 3 capas ocultas</w:t>
            </w:r>
          </w:p>
        </w:tc>
        <w:tc>
          <w:tcPr>
            <w:tcW w:type="dxa" w:w="1247"/>
            <w:shd w:val="clear" w:color="auto" w:fill="F2F2F2"/>
          </w:tcPr>
          <w:p>
            <w:pPr>
              <w:jc w:val="center"/>
            </w:pPr>
            <w:r/>
            <w:r>
              <w:rPr>
                <w:rFonts w:ascii="Calibri" w:hAnsi="Calibri"/>
                <w:b w:val="0"/>
                <w:sz w:val="20"/>
              </w:rPr>
              <w:t>0,9917</w:t>
            </w:r>
          </w:p>
        </w:tc>
        <w:tc>
          <w:tcPr>
            <w:tcW w:type="dxa" w:w="1361"/>
            <w:shd w:val="clear" w:color="auto" w:fill="F2F2F2"/>
          </w:tcPr>
          <w:p>
            <w:pPr>
              <w:jc w:val="center"/>
            </w:pPr>
            <w:r/>
            <w:r>
              <w:rPr>
                <w:rFonts w:ascii="Calibri" w:hAnsi="Calibri"/>
                <w:b w:val="0"/>
                <w:sz w:val="20"/>
              </w:rPr>
              <w:t>0,9890</w:t>
            </w:r>
          </w:p>
        </w:tc>
        <w:tc>
          <w:tcPr>
            <w:tcW w:type="dxa" w:w="1247"/>
            <w:shd w:val="clear" w:color="auto" w:fill="F2F2F2"/>
          </w:tcPr>
          <w:p>
            <w:pPr>
              <w:jc w:val="center"/>
            </w:pPr>
            <w:r/>
            <w:r>
              <w:rPr>
                <w:rFonts w:ascii="Calibri" w:hAnsi="Calibri"/>
                <w:b w:val="0"/>
                <w:sz w:val="20"/>
              </w:rPr>
              <w:t>0,9945</w:t>
            </w:r>
          </w:p>
        </w:tc>
        <w:tc>
          <w:tcPr>
            <w:tcW w:type="dxa" w:w="1361"/>
            <w:shd w:val="clear" w:color="auto" w:fill="F2F2F2"/>
          </w:tcPr>
          <w:p>
            <w:pPr>
              <w:jc w:val="center"/>
            </w:pPr>
            <w:r/>
            <w:r>
              <w:rPr>
                <w:rFonts w:ascii="Calibri" w:hAnsi="Calibri"/>
                <w:b w:val="0"/>
                <w:sz w:val="20"/>
              </w:rPr>
              <w:t>0,9917</w:t>
            </w:r>
          </w:p>
        </w:tc>
        <w:tc>
          <w:tcPr>
            <w:tcW w:type="dxa" w:w="1361"/>
            <w:shd w:val="clear" w:color="auto" w:fill="F2F2F2"/>
          </w:tcPr>
          <w:p>
            <w:pPr>
              <w:jc w:val="center"/>
            </w:pPr>
            <w:r/>
            <w:r>
              <w:rPr>
                <w:rFonts w:ascii="Calibri" w:hAnsi="Calibri"/>
                <w:b w:val="0"/>
                <w:sz w:val="20"/>
              </w:rPr>
              <w:t>0,9960</w:t>
            </w:r>
          </w:p>
        </w:tc>
      </w:tr>
      <w:tr>
        <w:tc>
          <w:tcPr>
            <w:tcW w:type="dxa" w:w="2041"/>
          </w:tcPr>
          <w:p>
            <w:r/>
            <w:r>
              <w:rPr>
                <w:rFonts w:ascii="Calibri" w:hAnsi="Calibri"/>
                <w:b w:val="0"/>
                <w:sz w:val="20"/>
              </w:rPr>
              <w:t>MLP 2 capas ocultas</w:t>
            </w:r>
          </w:p>
        </w:tc>
        <w:tc>
          <w:tcPr>
            <w:tcW w:type="dxa" w:w="1247"/>
          </w:tcPr>
          <w:p>
            <w:pPr>
              <w:jc w:val="center"/>
            </w:pPr>
            <w:r/>
            <w:r>
              <w:rPr>
                <w:rFonts w:ascii="Calibri" w:hAnsi="Calibri"/>
                <w:b w:val="0"/>
                <w:sz w:val="20"/>
              </w:rPr>
              <w:t>0,9867</w:t>
            </w:r>
          </w:p>
        </w:tc>
        <w:tc>
          <w:tcPr>
            <w:tcW w:type="dxa" w:w="1361"/>
          </w:tcPr>
          <w:p>
            <w:pPr>
              <w:jc w:val="center"/>
            </w:pPr>
            <w:r/>
            <w:r>
              <w:rPr>
                <w:rFonts w:ascii="Calibri" w:hAnsi="Calibri"/>
                <w:b w:val="0"/>
                <w:sz w:val="20"/>
              </w:rPr>
              <w:t>0,9848</w:t>
            </w:r>
          </w:p>
        </w:tc>
        <w:tc>
          <w:tcPr>
            <w:tcW w:type="dxa" w:w="1247"/>
          </w:tcPr>
          <w:p>
            <w:pPr>
              <w:jc w:val="center"/>
            </w:pPr>
            <w:r/>
            <w:r>
              <w:rPr>
                <w:rFonts w:ascii="Calibri" w:hAnsi="Calibri"/>
                <w:b w:val="0"/>
                <w:sz w:val="20"/>
              </w:rPr>
              <w:t>0,9866</w:t>
            </w:r>
          </w:p>
        </w:tc>
        <w:tc>
          <w:tcPr>
            <w:tcW w:type="dxa" w:w="1361"/>
          </w:tcPr>
          <w:p>
            <w:pPr>
              <w:jc w:val="center"/>
            </w:pPr>
            <w:r/>
            <w:r>
              <w:rPr>
                <w:rFonts w:ascii="Calibri" w:hAnsi="Calibri"/>
                <w:b w:val="0"/>
                <w:sz w:val="20"/>
              </w:rPr>
              <w:t>0,9855</w:t>
            </w:r>
          </w:p>
        </w:tc>
        <w:tc>
          <w:tcPr>
            <w:tcW w:type="dxa" w:w="1361"/>
          </w:tcPr>
          <w:p>
            <w:pPr>
              <w:jc w:val="center"/>
            </w:pPr>
            <w:r/>
            <w:r>
              <w:rPr>
                <w:rFonts w:ascii="Calibri" w:hAnsi="Calibri"/>
                <w:b w:val="0"/>
                <w:sz w:val="20"/>
              </w:rPr>
              <w:t>0,9980</w:t>
            </w:r>
          </w:p>
        </w:tc>
      </w:tr>
      <w:tr>
        <w:tc>
          <w:tcPr>
            <w:tcW w:type="dxa" w:w="2041"/>
            <w:shd w:val="clear" w:color="auto" w:fill="F2F2F2"/>
          </w:tcPr>
          <w:p>
            <w:r/>
            <w:r>
              <w:rPr>
                <w:rFonts w:ascii="Calibri" w:hAnsi="Calibri"/>
                <w:b w:val="0"/>
                <w:sz w:val="20"/>
              </w:rPr>
              <w:t>Naive Bayes</w:t>
            </w:r>
          </w:p>
        </w:tc>
        <w:tc>
          <w:tcPr>
            <w:tcW w:type="dxa" w:w="1247"/>
            <w:shd w:val="clear" w:color="auto" w:fill="F2F2F2"/>
          </w:tcPr>
          <w:p>
            <w:pPr>
              <w:jc w:val="center"/>
            </w:pPr>
            <w:r/>
            <w:r>
              <w:rPr>
                <w:rFonts w:ascii="Calibri" w:hAnsi="Calibri"/>
                <w:b w:val="0"/>
                <w:sz w:val="20"/>
              </w:rPr>
              <w:t>0,9317</w:t>
            </w:r>
          </w:p>
        </w:tc>
        <w:tc>
          <w:tcPr>
            <w:tcW w:type="dxa" w:w="1361"/>
            <w:shd w:val="clear" w:color="auto" w:fill="F2F2F2"/>
          </w:tcPr>
          <w:p>
            <w:pPr>
              <w:jc w:val="center"/>
            </w:pPr>
            <w:r/>
            <w:r>
              <w:rPr>
                <w:rFonts w:ascii="Calibri" w:hAnsi="Calibri"/>
                <w:b w:val="0"/>
                <w:sz w:val="20"/>
              </w:rPr>
              <w:t>0,9277</w:t>
            </w:r>
          </w:p>
        </w:tc>
        <w:tc>
          <w:tcPr>
            <w:tcW w:type="dxa" w:w="1247"/>
            <w:shd w:val="clear" w:color="auto" w:fill="F2F2F2"/>
          </w:tcPr>
          <w:p>
            <w:pPr>
              <w:jc w:val="center"/>
            </w:pPr>
            <w:r/>
            <w:r>
              <w:rPr>
                <w:rFonts w:ascii="Calibri" w:hAnsi="Calibri"/>
                <w:b w:val="0"/>
                <w:sz w:val="20"/>
              </w:rPr>
              <w:t>0,9123</w:t>
            </w:r>
          </w:p>
        </w:tc>
        <w:tc>
          <w:tcPr>
            <w:tcW w:type="dxa" w:w="1361"/>
            <w:shd w:val="clear" w:color="auto" w:fill="F2F2F2"/>
          </w:tcPr>
          <w:p>
            <w:pPr>
              <w:jc w:val="center"/>
            </w:pPr>
            <w:r/>
            <w:r>
              <w:rPr>
                <w:rFonts w:ascii="Calibri" w:hAnsi="Calibri"/>
                <w:b w:val="0"/>
                <w:sz w:val="20"/>
              </w:rPr>
              <w:t>0,9096</w:t>
            </w:r>
          </w:p>
        </w:tc>
        <w:tc>
          <w:tcPr>
            <w:tcW w:type="dxa" w:w="1361"/>
            <w:shd w:val="clear" w:color="auto" w:fill="F2F2F2"/>
          </w:tcPr>
          <w:p>
            <w:pPr>
              <w:jc w:val="center"/>
            </w:pPr>
            <w:r/>
            <w:r>
              <w:rPr>
                <w:rFonts w:ascii="Calibri" w:hAnsi="Calibri"/>
                <w:b w:val="0"/>
                <w:sz w:val="20"/>
              </w:rPr>
              <w:t>0,9832</w:t>
            </w:r>
          </w:p>
        </w:tc>
      </w:tr>
      <w:tr>
        <w:tc>
          <w:tcPr>
            <w:tcW w:type="dxa" w:w="2041"/>
          </w:tcPr>
          <w:p>
            <w:r/>
            <w:r>
              <w:rPr>
                <w:rFonts w:ascii="Calibri" w:hAnsi="Calibri"/>
                <w:b w:val="0"/>
                <w:sz w:val="20"/>
              </w:rPr>
              <w:t>Árbol de Decisión</w:t>
            </w:r>
          </w:p>
        </w:tc>
        <w:tc>
          <w:tcPr>
            <w:tcW w:type="dxa" w:w="1247"/>
          </w:tcPr>
          <w:p>
            <w:pPr>
              <w:jc w:val="center"/>
            </w:pPr>
            <w:r/>
            <w:r>
              <w:rPr>
                <w:rFonts w:ascii="Calibri" w:hAnsi="Calibri"/>
                <w:b w:val="0"/>
                <w:sz w:val="20"/>
              </w:rPr>
              <w:t>0,7317</w:t>
            </w:r>
          </w:p>
        </w:tc>
        <w:tc>
          <w:tcPr>
            <w:tcW w:type="dxa" w:w="1361"/>
          </w:tcPr>
          <w:p>
            <w:pPr>
              <w:jc w:val="center"/>
            </w:pPr>
            <w:r/>
            <w:r>
              <w:rPr>
                <w:rFonts w:ascii="Calibri" w:hAnsi="Calibri"/>
                <w:b w:val="0"/>
                <w:sz w:val="20"/>
              </w:rPr>
              <w:t>0,8720</w:t>
            </w:r>
          </w:p>
        </w:tc>
        <w:tc>
          <w:tcPr>
            <w:tcW w:type="dxa" w:w="1247"/>
          </w:tcPr>
          <w:p>
            <w:pPr>
              <w:jc w:val="center"/>
            </w:pPr>
            <w:r/>
            <w:r>
              <w:rPr>
                <w:rFonts w:ascii="Calibri" w:hAnsi="Calibri"/>
                <w:b w:val="0"/>
                <w:sz w:val="20"/>
              </w:rPr>
              <w:t>0,6385</w:t>
            </w:r>
          </w:p>
        </w:tc>
        <w:tc>
          <w:tcPr>
            <w:tcW w:type="dxa" w:w="1361"/>
          </w:tcPr>
          <w:p>
            <w:pPr>
              <w:jc w:val="center"/>
            </w:pPr>
            <w:r/>
            <w:r>
              <w:rPr>
                <w:rFonts w:ascii="Calibri" w:hAnsi="Calibri"/>
                <w:b w:val="0"/>
                <w:sz w:val="20"/>
              </w:rPr>
              <w:t>0,6449</w:t>
            </w:r>
          </w:p>
        </w:tc>
        <w:tc>
          <w:tcPr>
            <w:tcW w:type="dxa" w:w="1361"/>
          </w:tcPr>
          <w:p>
            <w:pPr>
              <w:jc w:val="center"/>
            </w:pPr>
            <w:r/>
            <w:r>
              <w:rPr>
                <w:rFonts w:ascii="Calibri" w:hAnsi="Calibri"/>
                <w:b w:val="0"/>
                <w:sz w:val="20"/>
              </w:rPr>
              <w:t>0,7654</w:t>
            </w:r>
          </w:p>
        </w:tc>
      </w:tr>
    </w:tbl>
    <w:p>
      <w:pPr>
        <w:spacing w:after="40"/>
      </w:pPr>
    </w:p>
    <w:p>
      <w:pPr>
        <w:jc w:val="center"/>
      </w:pPr>
      <w:r>
        <w:drawing>
          <wp:inline xmlns:a="http://schemas.openxmlformats.org/drawingml/2006/main" xmlns:pic="http://schemas.openxmlformats.org/drawingml/2006/picture">
            <wp:extent cx="5400000" cy="2102448"/>
            <wp:docPr id="2" name="Picture 2"/>
            <wp:cNvGraphicFramePr>
              <a:graphicFrameLocks noChangeAspect="1"/>
            </wp:cNvGraphicFramePr>
            <a:graphic>
              <a:graphicData uri="http://schemas.openxmlformats.org/drawingml/2006/picture">
                <pic:pic>
                  <pic:nvPicPr>
                    <pic:cNvPr id="0" name="f4_comparacion_modelos.png"/>
                    <pic:cNvPicPr/>
                  </pic:nvPicPr>
                  <pic:blipFill>
                    <a:blip r:embed="rId10"/>
                    <a:stretch>
                      <a:fillRect/>
                    </a:stretch>
                  </pic:blipFill>
                  <pic:spPr>
                    <a:xfrm>
                      <a:off x="0" y="0"/>
                      <a:ext cx="5400000" cy="2102448"/>
                    </a:xfrm>
                    <a:prstGeom prst="rect"/>
                  </pic:spPr>
                </pic:pic>
              </a:graphicData>
            </a:graphic>
          </wp:inline>
        </w:drawing>
      </w:r>
    </w:p>
    <w:p>
      <w:pPr>
        <w:pStyle w:val="Caption2"/>
      </w:pPr>
      <w:r>
        <w:t>Figura 2. Comparación de accuracy y ROC-AUC (macro OvR) de los siete modelos evaluados, ordenados por F1-score macro.</w:t>
      </w:r>
    </w:p>
    <w:p>
      <w:r>
        <w:rPr>
          <w:b w:val="0"/>
          <w:i w:val="0"/>
        </w:rPr>
        <w:t>El reporte evidencia un hallazgo relevante: KNN, SVM y el MLP de una capa oculta empatan exactamente en las cuatro métricas basadas en la clase predicha (accuracy, precision, recall y F1-score macro = 0,9933), y solo se distinguen por el ROC-AUC (SVM 0,9986; MLP 1 capa 0,9969; KNN 0,9963). El MLP de tres capas y de dos capas quedan levemente por debajo, mientras que Naive Bayes (F1-score macro 0,9096) y, en particular, el Árbol de Decisión (F1-score macro 0,6449) presentan un desempeño claramente inferior. Este patrón es coherente con la evidencia acumulada desde la Fase 2: cuando Job_Title actúa como un identificador casi determinístico de Risk_Category (Fase 3, sección 5.2), modelos con formulaciones matemáticas muy distintas convergen a un desempeño cercano al techo, independientemente de su complejidad.</w:t>
      </w:r>
    </w:p>
    <w:p>
      <w:pPr>
        <w:pStyle w:val="Heading2"/>
      </w:pPr>
      <w:r>
        <w:t>Interpretación de cada métrica en el contexto del caso</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0A3B49"/>
          </w:tcPr>
          <w:p>
            <w:pPr>
              <w:jc w:val="center"/>
            </w:pPr>
            <w:r/>
            <w:r>
              <w:rPr>
                <w:rFonts w:ascii="Calibri" w:hAnsi="Calibri"/>
                <w:b/>
                <w:color w:val="FFFFFF"/>
                <w:sz w:val="20"/>
              </w:rPr>
              <w:t>Métrica</w:t>
            </w:r>
          </w:p>
        </w:tc>
        <w:tc>
          <w:tcPr>
            <w:tcW w:type="dxa" w:w="7087"/>
            <w:shd w:val="clear" w:color="auto" w:fill="0A3B49"/>
          </w:tcPr>
          <w:p>
            <w:pPr>
              <w:jc w:val="center"/>
            </w:pPr>
            <w:r/>
            <w:r>
              <w:rPr>
                <w:rFonts w:ascii="Calibri" w:hAnsi="Calibri"/>
                <w:b/>
                <w:color w:val="FFFFFF"/>
                <w:sz w:val="20"/>
              </w:rPr>
              <w:t>Interpretación en el caso</w:t>
            </w:r>
          </w:p>
        </w:tc>
      </w:tr>
      <w:tr>
        <w:tc>
          <w:tcPr>
            <w:tcW w:type="dxa" w:w="1984"/>
          </w:tcPr>
          <w:p>
            <w:r/>
            <w:r>
              <w:rPr>
                <w:rFonts w:ascii="Calibri" w:hAnsi="Calibri"/>
                <w:b w:val="0"/>
                <w:sz w:val="20"/>
              </w:rPr>
              <w:t>Accuracy</w:t>
            </w:r>
          </w:p>
        </w:tc>
        <w:tc>
          <w:tcPr>
            <w:tcW w:type="dxa" w:w="7087"/>
          </w:tcPr>
          <w:p>
            <w:pPr>
              <w:jc w:val="center"/>
            </w:pPr>
            <w:r/>
            <w:r>
              <w:rPr>
                <w:rFonts w:ascii="Calibri" w:hAnsi="Calibri"/>
                <w:b w:val="0"/>
                <w:sz w:val="20"/>
              </w:rPr>
              <w:t>Proporción de cargos correctamente clasificados en su categoría de riesgo sobre el total de 600 cargos de prueba. Es informativa pero, dado el desbalance moderado de Medium (50,7%), no basta por sí sola para evaluar el modelo.</w:t>
            </w:r>
          </w:p>
        </w:tc>
      </w:tr>
      <w:tr>
        <w:tc>
          <w:tcPr>
            <w:tcW w:type="dxa" w:w="1984"/>
            <w:shd w:val="clear" w:color="auto" w:fill="F2F2F2"/>
          </w:tcPr>
          <w:p>
            <w:r/>
            <w:r>
              <w:rPr>
                <w:rFonts w:ascii="Calibri" w:hAnsi="Calibri"/>
                <w:b w:val="0"/>
                <w:sz w:val="20"/>
              </w:rPr>
              <w:t>Precision (macro)</w:t>
            </w:r>
          </w:p>
        </w:tc>
        <w:tc>
          <w:tcPr>
            <w:tcW w:type="dxa" w:w="7087"/>
            <w:shd w:val="clear" w:color="auto" w:fill="F2F2F2"/>
          </w:tcPr>
          <w:p>
            <w:pPr>
              <w:jc w:val="center"/>
            </w:pPr>
            <w:r/>
            <w:r>
              <w:rPr>
                <w:rFonts w:ascii="Calibri" w:hAnsi="Calibri"/>
                <w:b w:val="0"/>
                <w:sz w:val="20"/>
              </w:rPr>
              <w:t>De los cargos que el modelo asigna a una categoría de riesgo determinada, qué proporción realmente pertenece a ella, promediada igual entre Low, Medium y High. Mide el costo de las falsas alarmas de riesgo.</w:t>
            </w:r>
          </w:p>
        </w:tc>
      </w:tr>
      <w:tr>
        <w:tc>
          <w:tcPr>
            <w:tcW w:type="dxa" w:w="1984"/>
          </w:tcPr>
          <w:p>
            <w:r/>
            <w:r>
              <w:rPr>
                <w:rFonts w:ascii="Calibri" w:hAnsi="Calibri"/>
                <w:b w:val="0"/>
                <w:sz w:val="20"/>
              </w:rPr>
              <w:t>Recall (macro)</w:t>
            </w:r>
          </w:p>
        </w:tc>
        <w:tc>
          <w:tcPr>
            <w:tcW w:type="dxa" w:w="7087"/>
          </w:tcPr>
          <w:p>
            <w:pPr>
              <w:jc w:val="center"/>
            </w:pPr>
            <w:r/>
            <w:r>
              <w:rPr>
                <w:rFonts w:ascii="Calibri" w:hAnsi="Calibri"/>
                <w:b w:val="0"/>
                <w:sz w:val="20"/>
              </w:rPr>
              <w:t>De los cargos que realmente pertenecen a una categoría de riesgo, qué proporción es correctamente identificada por el modelo. Es la métrica más crítica para la clase High: un recall bajo implicaría dejar cargos de alto riesgo sin priorizar.</w:t>
            </w:r>
          </w:p>
        </w:tc>
      </w:tr>
      <w:tr>
        <w:tc>
          <w:tcPr>
            <w:tcW w:type="dxa" w:w="1984"/>
            <w:shd w:val="clear" w:color="auto" w:fill="F2F2F2"/>
          </w:tcPr>
          <w:p>
            <w:r/>
            <w:r>
              <w:rPr>
                <w:rFonts w:ascii="Calibri" w:hAnsi="Calibri"/>
                <w:b w:val="0"/>
                <w:sz w:val="20"/>
              </w:rPr>
              <w:t>F1-score (macro)</w:t>
            </w:r>
          </w:p>
        </w:tc>
        <w:tc>
          <w:tcPr>
            <w:tcW w:type="dxa" w:w="7087"/>
            <w:shd w:val="clear" w:color="auto" w:fill="F2F2F2"/>
          </w:tcPr>
          <w:p>
            <w:pPr>
              <w:jc w:val="center"/>
            </w:pPr>
            <w:r/>
            <w:r>
              <w:rPr>
                <w:rFonts w:ascii="Calibri" w:hAnsi="Calibri"/>
                <w:b w:val="0"/>
                <w:sz w:val="20"/>
              </w:rPr>
              <w:t>Media armónica de precision y recall, promediada igual entre las tres clases. Se utiliza como criterio principal de comparación entre modelos por ponderar equitativamente a Low, Medium y High.</w:t>
            </w:r>
          </w:p>
        </w:tc>
      </w:tr>
      <w:tr>
        <w:tc>
          <w:tcPr>
            <w:tcW w:type="dxa" w:w="1984"/>
          </w:tcPr>
          <w:p>
            <w:r/>
            <w:r>
              <w:rPr>
                <w:rFonts w:ascii="Calibri" w:hAnsi="Calibri"/>
                <w:b w:val="0"/>
                <w:sz w:val="20"/>
              </w:rPr>
              <w:t>ROC-AUC (macro OvR)</w:t>
            </w:r>
          </w:p>
        </w:tc>
        <w:tc>
          <w:tcPr>
            <w:tcW w:type="dxa" w:w="7087"/>
          </w:tcPr>
          <w:p>
            <w:pPr>
              <w:jc w:val="center"/>
            </w:pPr>
            <w:r/>
            <w:r>
              <w:rPr>
                <w:rFonts w:ascii="Calibri" w:hAnsi="Calibri"/>
                <w:b w:val="0"/>
                <w:sz w:val="20"/>
              </w:rPr>
              <w:t>Capacidad del modelo para separar cada clase de las otras dos en función de las probabilidades estimadas, más allá del umbral de decisión por defecto. Un valor cercano a 1,0 indica una separación casi perfecta entre clases.</w:t>
            </w:r>
          </w:p>
        </w:tc>
      </w:tr>
    </w:tbl>
    <w:p>
      <w:pPr>
        <w:spacing w:after="40"/>
      </w:pPr>
    </w:p>
    <w:p>
      <w:pPr>
        <w:pStyle w:val="Heading1"/>
      </w:pPr>
      <w:r>
        <w:t>IV. Matriz de confusión y métricas de clasificación</w:t>
      </w:r>
    </w:p>
    <w:p>
      <w:r>
        <w:rPr>
          <w:b w:val="0"/>
          <w:i w:val="0"/>
        </w:rPr>
        <w:t>Las matrices de confusión se presentan sobre el conjunto de prueba (600 observaciones) definido en la sección 3.3 del notebook, con filas correspondientes a la clase real y columnas a la clase predicha, en el orden ordinal Low / Medium / High. La clase objetivo evaluada en todos los casos es Risk_Category, con especial atención a la clase High por ser la de mayor relevancia analítica para priorizar decisiones de recapacitación.</w:t>
      </w:r>
    </w:p>
    <w:p>
      <w:pPr>
        <w:pStyle w:val="Heading2"/>
      </w:pPr>
      <w:r>
        <w:t>4.1 KNN</w:t>
      </w:r>
    </w:p>
    <w:p>
      <w:pPr>
        <w:jc w:val="center"/>
      </w:pPr>
      <w:r>
        <w:drawing>
          <wp:inline xmlns:a="http://schemas.openxmlformats.org/drawingml/2006/main" xmlns:pic="http://schemas.openxmlformats.org/drawingml/2006/picture">
            <wp:extent cx="3060000" cy="2509888"/>
            <wp:docPr id="3" name="Picture 3"/>
            <wp:cNvGraphicFramePr>
              <a:graphicFrameLocks noChangeAspect="1"/>
            </wp:cNvGraphicFramePr>
            <a:graphic>
              <a:graphicData uri="http://schemas.openxmlformats.org/drawingml/2006/picture">
                <pic:pic>
                  <pic:nvPicPr>
                    <pic:cNvPr id="0" name="f4_cm_knn.png"/>
                    <pic:cNvPicPr/>
                  </pic:nvPicPr>
                  <pic:blipFill>
                    <a:blip r:embed="rId11"/>
                    <a:stretch>
                      <a:fillRect/>
                    </a:stretch>
                  </pic:blipFill>
                  <pic:spPr>
                    <a:xfrm>
                      <a:off x="0" y="0"/>
                      <a:ext cx="3060000" cy="2509888"/>
                    </a:xfrm>
                    <a:prstGeom prst="rect"/>
                  </pic:spPr>
                </pic:pic>
              </a:graphicData>
            </a:graphic>
          </wp:inline>
        </w:drawing>
      </w:r>
    </w:p>
    <w:p>
      <w:pPr>
        <w:pStyle w:val="Caption2"/>
      </w:pPr>
      <w:r>
        <w:t>Figura 3. Matriz de confusión del modelo KNN sobre el conjunto de prueba.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0A3B49"/>
          </w:tcPr>
          <w:p>
            <w:pPr>
              <w:jc w:val="center"/>
            </w:pPr>
            <w:r/>
            <w:r>
              <w:rPr>
                <w:rFonts w:ascii="Calibri" w:hAnsi="Calibri"/>
                <w:b/>
                <w:color w:val="FFFFFF"/>
                <w:sz w:val="20"/>
              </w:rPr>
            </w:r>
          </w:p>
        </w:tc>
        <w:tc>
          <w:tcPr>
            <w:tcW w:type="dxa" w:w="1814"/>
            <w:shd w:val="clear" w:color="auto" w:fill="0A3B49"/>
          </w:tcPr>
          <w:p>
            <w:pPr>
              <w:jc w:val="center"/>
            </w:pPr>
            <w:r/>
            <w:r>
              <w:rPr>
                <w:rFonts w:ascii="Calibri" w:hAnsi="Calibri"/>
                <w:b/>
                <w:color w:val="FFFFFF"/>
                <w:sz w:val="20"/>
              </w:rPr>
              <w:t>Pred. Low</w:t>
            </w:r>
          </w:p>
        </w:tc>
        <w:tc>
          <w:tcPr>
            <w:tcW w:type="dxa" w:w="1814"/>
            <w:shd w:val="clear" w:color="auto" w:fill="0A3B49"/>
          </w:tcPr>
          <w:p>
            <w:pPr>
              <w:jc w:val="center"/>
            </w:pPr>
            <w:r/>
            <w:r>
              <w:rPr>
                <w:rFonts w:ascii="Calibri" w:hAnsi="Calibri"/>
                <w:b/>
                <w:color w:val="FFFFFF"/>
                <w:sz w:val="20"/>
              </w:rPr>
              <w:t>Pred. Medium</w:t>
            </w:r>
          </w:p>
        </w:tc>
        <w:tc>
          <w:tcPr>
            <w:tcW w:type="dxa" w:w="1814"/>
            <w:shd w:val="clear" w:color="auto" w:fill="0A3B49"/>
          </w:tcPr>
          <w:p>
            <w:pPr>
              <w:jc w:val="center"/>
            </w:pPr>
            <w:r/>
            <w:r>
              <w:rPr>
                <w:rFonts w:ascii="Calibri" w:hAnsi="Calibri"/>
                <w:b/>
                <w:color w:val="FFFFFF"/>
                <w:sz w:val="20"/>
              </w:rPr>
              <w:t>Pred. High</w:t>
            </w:r>
          </w:p>
        </w:tc>
      </w:tr>
      <w:tr>
        <w:tc>
          <w:tcPr>
            <w:tcW w:type="dxa" w:w="1814"/>
          </w:tcPr>
          <w:p>
            <w:r/>
            <w:r>
              <w:rPr>
                <w:rFonts w:ascii="Calibri" w:hAnsi="Calibri"/>
                <w:b w:val="0"/>
                <w:sz w:val="20"/>
              </w:rPr>
              <w:t>Real Low</w:t>
            </w:r>
          </w:p>
        </w:tc>
        <w:tc>
          <w:tcPr>
            <w:tcW w:type="dxa" w:w="1814"/>
          </w:tcPr>
          <w:p>
            <w:pPr>
              <w:jc w:val="center"/>
            </w:pPr>
            <w:r/>
            <w:r>
              <w:rPr>
                <w:rFonts w:ascii="Calibri" w:hAnsi="Calibri"/>
                <w:b w:val="0"/>
                <w:sz w:val="20"/>
              </w:rPr>
              <w:t>148</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r>
      <w:tr>
        <w:tc>
          <w:tcPr>
            <w:tcW w:type="dxa" w:w="1814"/>
            <w:shd w:val="clear" w:color="auto" w:fill="F2F2F2"/>
          </w:tcPr>
          <w:p>
            <w:r/>
            <w:r>
              <w:rPr>
                <w:rFonts w:ascii="Calibri" w:hAnsi="Calibri"/>
                <w:b w:val="0"/>
                <w:sz w:val="20"/>
              </w:rPr>
              <w:t>Real Medium</w:t>
            </w:r>
          </w:p>
        </w:tc>
        <w:tc>
          <w:tcPr>
            <w:tcW w:type="dxa" w:w="1814"/>
            <w:shd w:val="clear" w:color="auto" w:fill="F2F2F2"/>
          </w:tcPr>
          <w:p>
            <w:pPr>
              <w:jc w:val="center"/>
            </w:pPr>
            <w:r/>
            <w:r>
              <w:rPr>
                <w:rFonts w:ascii="Calibri" w:hAnsi="Calibri"/>
                <w:b w:val="0"/>
                <w:sz w:val="20"/>
              </w:rPr>
              <w:t>0</w:t>
            </w:r>
          </w:p>
        </w:tc>
        <w:tc>
          <w:tcPr>
            <w:tcW w:type="dxa" w:w="1814"/>
            <w:shd w:val="clear" w:color="auto" w:fill="F2F2F2"/>
          </w:tcPr>
          <w:p>
            <w:pPr>
              <w:jc w:val="center"/>
            </w:pPr>
            <w:r/>
            <w:r>
              <w:rPr>
                <w:rFonts w:ascii="Calibri" w:hAnsi="Calibri"/>
                <w:b w:val="0"/>
                <w:sz w:val="20"/>
              </w:rPr>
              <w:t>300</w:t>
            </w:r>
          </w:p>
        </w:tc>
        <w:tc>
          <w:tcPr>
            <w:tcW w:type="dxa" w:w="1814"/>
            <w:shd w:val="clear" w:color="auto" w:fill="F2F2F2"/>
          </w:tcPr>
          <w:p>
            <w:pPr>
              <w:jc w:val="center"/>
            </w:pPr>
            <w:r/>
            <w:r>
              <w:rPr>
                <w:rFonts w:ascii="Calibri" w:hAnsi="Calibri"/>
                <w:b w:val="0"/>
                <w:sz w:val="20"/>
              </w:rPr>
              <w:t>4</w:t>
            </w:r>
          </w:p>
        </w:tc>
      </w:tr>
      <w:tr>
        <w:tc>
          <w:tcPr>
            <w:tcW w:type="dxa" w:w="1814"/>
          </w:tcPr>
          <w:p>
            <w:r/>
            <w:r>
              <w:rPr>
                <w:rFonts w:ascii="Calibri" w:hAnsi="Calibri"/>
                <w:b w:val="0"/>
                <w:sz w:val="20"/>
              </w:rPr>
              <w:t>Real High</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148</w:t>
            </w:r>
          </w:p>
        </w:tc>
      </w:tr>
    </w:tbl>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0A3B49"/>
          </w:tcPr>
          <w:p>
            <w:pPr>
              <w:jc w:val="center"/>
            </w:pPr>
            <w:r/>
            <w:r>
              <w:rPr>
                <w:rFonts w:ascii="Calibri" w:hAnsi="Calibri"/>
                <w:b/>
                <w:color w:val="FFFFFF"/>
                <w:sz w:val="20"/>
              </w:rPr>
              <w:t>Accuracy</w:t>
            </w:r>
          </w:p>
        </w:tc>
        <w:tc>
          <w:tcPr>
            <w:tcW w:type="dxa" w:w="1814"/>
            <w:shd w:val="clear" w:color="auto" w:fill="0A3B49"/>
          </w:tcPr>
          <w:p>
            <w:pPr>
              <w:jc w:val="center"/>
            </w:pPr>
            <w:r/>
            <w:r>
              <w:rPr>
                <w:rFonts w:ascii="Calibri" w:hAnsi="Calibri"/>
                <w:b/>
                <w:color w:val="FFFFFF"/>
                <w:sz w:val="20"/>
              </w:rPr>
              <w:t>Precision (macro)</w:t>
            </w:r>
          </w:p>
        </w:tc>
        <w:tc>
          <w:tcPr>
            <w:tcW w:type="dxa" w:w="1814"/>
            <w:shd w:val="clear" w:color="auto" w:fill="0A3B49"/>
          </w:tcPr>
          <w:p>
            <w:pPr>
              <w:jc w:val="center"/>
            </w:pPr>
            <w:r/>
            <w:r>
              <w:rPr>
                <w:rFonts w:ascii="Calibri" w:hAnsi="Calibri"/>
                <w:b/>
                <w:color w:val="FFFFFF"/>
                <w:sz w:val="20"/>
              </w:rPr>
              <w:t>Recall (macro)</w:t>
            </w:r>
          </w:p>
        </w:tc>
        <w:tc>
          <w:tcPr>
            <w:tcW w:type="dxa" w:w="1814"/>
            <w:shd w:val="clear" w:color="auto" w:fill="0A3B49"/>
          </w:tcPr>
          <w:p>
            <w:pPr>
              <w:jc w:val="center"/>
            </w:pPr>
            <w:r/>
            <w:r>
              <w:rPr>
                <w:rFonts w:ascii="Calibri" w:hAnsi="Calibri"/>
                <w:b/>
                <w:color w:val="FFFFFF"/>
                <w:sz w:val="20"/>
              </w:rPr>
              <w:t>F1-score (macro)</w:t>
            </w:r>
          </w:p>
        </w:tc>
        <w:tc>
          <w:tcPr>
            <w:tcW w:type="dxa" w:w="1814"/>
            <w:shd w:val="clear" w:color="auto" w:fill="0A3B49"/>
          </w:tcPr>
          <w:p>
            <w:pPr>
              <w:jc w:val="center"/>
            </w:pPr>
            <w:r/>
            <w:r>
              <w:rPr>
                <w:rFonts w:ascii="Calibri" w:hAnsi="Calibri"/>
                <w:b/>
                <w:color w:val="FFFFFF"/>
                <w:sz w:val="20"/>
              </w:rPr>
              <w:t>ROC-AUC (macro OvR)</w:t>
            </w:r>
          </w:p>
        </w:tc>
      </w:tr>
      <w:tr>
        <w:tc>
          <w:tcPr>
            <w:tcW w:type="dxa" w:w="1814"/>
          </w:tcPr>
          <w:p>
            <w:r/>
            <w:r>
              <w:rPr>
                <w:rFonts w:ascii="Calibri" w:hAnsi="Calibri"/>
                <w:b w:val="0"/>
                <w:sz w:val="20"/>
              </w:rPr>
              <w:t>0,9933</w:t>
            </w:r>
          </w:p>
        </w:tc>
        <w:tc>
          <w:tcPr>
            <w:tcW w:type="dxa" w:w="1814"/>
          </w:tcPr>
          <w:p>
            <w:pPr>
              <w:jc w:val="center"/>
            </w:pPr>
            <w:r/>
            <w:r>
              <w:rPr>
                <w:rFonts w:ascii="Calibri" w:hAnsi="Calibri"/>
                <w:b w:val="0"/>
                <w:sz w:val="20"/>
              </w:rPr>
              <w:t>0,9912</w:t>
            </w:r>
          </w:p>
        </w:tc>
        <w:tc>
          <w:tcPr>
            <w:tcW w:type="dxa" w:w="1814"/>
          </w:tcPr>
          <w:p>
            <w:pPr>
              <w:jc w:val="center"/>
            </w:pPr>
            <w:r/>
            <w:r>
              <w:rPr>
                <w:rFonts w:ascii="Calibri" w:hAnsi="Calibri"/>
                <w:b w:val="0"/>
                <w:sz w:val="20"/>
              </w:rPr>
              <w:t>0,9956</w:t>
            </w:r>
          </w:p>
        </w:tc>
        <w:tc>
          <w:tcPr>
            <w:tcW w:type="dxa" w:w="1814"/>
          </w:tcPr>
          <w:p>
            <w:pPr>
              <w:jc w:val="center"/>
            </w:pPr>
            <w:r/>
            <w:r>
              <w:rPr>
                <w:rFonts w:ascii="Calibri" w:hAnsi="Calibri"/>
                <w:b w:val="0"/>
                <w:sz w:val="20"/>
              </w:rPr>
              <w:t>0,9933</w:t>
            </w:r>
          </w:p>
        </w:tc>
        <w:tc>
          <w:tcPr>
            <w:tcW w:type="dxa" w:w="1814"/>
          </w:tcPr>
          <w:p>
            <w:pPr>
              <w:jc w:val="center"/>
            </w:pPr>
            <w:r/>
            <w:r>
              <w:rPr>
                <w:rFonts w:ascii="Calibri" w:hAnsi="Calibri"/>
                <w:b w:val="0"/>
                <w:sz w:val="20"/>
              </w:rPr>
              <w:t>0,9963</w:t>
            </w:r>
          </w:p>
        </w:tc>
      </w:tr>
    </w:tbl>
    <w:p>
      <w:pPr>
        <w:spacing w:after="40"/>
      </w:pPr>
    </w:p>
    <w:p>
      <w:pPr>
        <w:pStyle w:val="Heading2"/>
      </w:pPr>
      <w:r>
        <w:t>4.2 Árbol de Decisión</w:t>
      </w:r>
    </w:p>
    <w:p>
      <w:pPr>
        <w:jc w:val="center"/>
      </w:pPr>
      <w:r>
        <w:drawing>
          <wp:inline xmlns:a="http://schemas.openxmlformats.org/drawingml/2006/main" xmlns:pic="http://schemas.openxmlformats.org/drawingml/2006/picture">
            <wp:extent cx="3060000" cy="2517722"/>
            <wp:docPr id="4" name="Picture 4"/>
            <wp:cNvGraphicFramePr>
              <a:graphicFrameLocks noChangeAspect="1"/>
            </wp:cNvGraphicFramePr>
            <a:graphic>
              <a:graphicData uri="http://schemas.openxmlformats.org/drawingml/2006/picture">
                <pic:pic>
                  <pic:nvPicPr>
                    <pic:cNvPr id="0" name="f4_cm_arbol.png"/>
                    <pic:cNvPicPr/>
                  </pic:nvPicPr>
                  <pic:blipFill>
                    <a:blip r:embed="rId12"/>
                    <a:stretch>
                      <a:fillRect/>
                    </a:stretch>
                  </pic:blipFill>
                  <pic:spPr>
                    <a:xfrm>
                      <a:off x="0" y="0"/>
                      <a:ext cx="3060000" cy="2517722"/>
                    </a:xfrm>
                    <a:prstGeom prst="rect"/>
                  </pic:spPr>
                </pic:pic>
              </a:graphicData>
            </a:graphic>
          </wp:inline>
        </w:drawing>
      </w:r>
    </w:p>
    <w:p>
      <w:pPr>
        <w:pStyle w:val="Caption2"/>
      </w:pPr>
      <w:r>
        <w:t>Figura 4. Matriz de confusión del modelo Árbol de Decisión sobre el conjunto de prueba.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0A3B49"/>
          </w:tcPr>
          <w:p>
            <w:pPr>
              <w:jc w:val="center"/>
            </w:pPr>
            <w:r/>
            <w:r>
              <w:rPr>
                <w:rFonts w:ascii="Calibri" w:hAnsi="Calibri"/>
                <w:b/>
                <w:color w:val="FFFFFF"/>
                <w:sz w:val="20"/>
              </w:rPr>
            </w:r>
          </w:p>
        </w:tc>
        <w:tc>
          <w:tcPr>
            <w:tcW w:type="dxa" w:w="1814"/>
            <w:shd w:val="clear" w:color="auto" w:fill="0A3B49"/>
          </w:tcPr>
          <w:p>
            <w:pPr>
              <w:jc w:val="center"/>
            </w:pPr>
            <w:r/>
            <w:r>
              <w:rPr>
                <w:rFonts w:ascii="Calibri" w:hAnsi="Calibri"/>
                <w:b/>
                <w:color w:val="FFFFFF"/>
                <w:sz w:val="20"/>
              </w:rPr>
              <w:t>Pred. Low</w:t>
            </w:r>
          </w:p>
        </w:tc>
        <w:tc>
          <w:tcPr>
            <w:tcW w:type="dxa" w:w="1814"/>
            <w:shd w:val="clear" w:color="auto" w:fill="0A3B49"/>
          </w:tcPr>
          <w:p>
            <w:pPr>
              <w:jc w:val="center"/>
            </w:pPr>
            <w:r/>
            <w:r>
              <w:rPr>
                <w:rFonts w:ascii="Calibri" w:hAnsi="Calibri"/>
                <w:b/>
                <w:color w:val="FFFFFF"/>
                <w:sz w:val="20"/>
              </w:rPr>
              <w:t>Pred. Medium</w:t>
            </w:r>
          </w:p>
        </w:tc>
        <w:tc>
          <w:tcPr>
            <w:tcW w:type="dxa" w:w="1814"/>
            <w:shd w:val="clear" w:color="auto" w:fill="0A3B49"/>
          </w:tcPr>
          <w:p>
            <w:pPr>
              <w:jc w:val="center"/>
            </w:pPr>
            <w:r/>
            <w:r>
              <w:rPr>
                <w:rFonts w:ascii="Calibri" w:hAnsi="Calibri"/>
                <w:b/>
                <w:color w:val="FFFFFF"/>
                <w:sz w:val="20"/>
              </w:rPr>
              <w:t>Pred. High</w:t>
            </w:r>
          </w:p>
        </w:tc>
      </w:tr>
      <w:tr>
        <w:tc>
          <w:tcPr>
            <w:tcW w:type="dxa" w:w="1814"/>
          </w:tcPr>
          <w:p>
            <w:r/>
            <w:r>
              <w:rPr>
                <w:rFonts w:ascii="Calibri" w:hAnsi="Calibri"/>
                <w:b w:val="0"/>
                <w:sz w:val="20"/>
              </w:rPr>
              <w:t>Real Low</w:t>
            </w:r>
          </w:p>
        </w:tc>
        <w:tc>
          <w:tcPr>
            <w:tcW w:type="dxa" w:w="1814"/>
          </w:tcPr>
          <w:p>
            <w:pPr>
              <w:jc w:val="center"/>
            </w:pPr>
            <w:r/>
            <w:r>
              <w:rPr>
                <w:rFonts w:ascii="Calibri" w:hAnsi="Calibri"/>
                <w:b w:val="0"/>
                <w:sz w:val="20"/>
              </w:rPr>
              <w:t>111</w:t>
            </w:r>
          </w:p>
        </w:tc>
        <w:tc>
          <w:tcPr>
            <w:tcW w:type="dxa" w:w="1814"/>
          </w:tcPr>
          <w:p>
            <w:pPr>
              <w:jc w:val="center"/>
            </w:pPr>
            <w:r/>
            <w:r>
              <w:rPr>
                <w:rFonts w:ascii="Calibri" w:hAnsi="Calibri"/>
                <w:b w:val="0"/>
                <w:sz w:val="20"/>
              </w:rPr>
              <w:t>37</w:t>
            </w:r>
          </w:p>
        </w:tc>
        <w:tc>
          <w:tcPr>
            <w:tcW w:type="dxa" w:w="1814"/>
          </w:tcPr>
          <w:p>
            <w:pPr>
              <w:jc w:val="center"/>
            </w:pPr>
            <w:r/>
            <w:r>
              <w:rPr>
                <w:rFonts w:ascii="Calibri" w:hAnsi="Calibri"/>
                <w:b w:val="0"/>
                <w:sz w:val="20"/>
              </w:rPr>
              <w:t>0</w:t>
            </w:r>
          </w:p>
        </w:tc>
      </w:tr>
      <w:tr>
        <w:tc>
          <w:tcPr>
            <w:tcW w:type="dxa" w:w="1814"/>
            <w:shd w:val="clear" w:color="auto" w:fill="F2F2F2"/>
          </w:tcPr>
          <w:p>
            <w:r/>
            <w:r>
              <w:rPr>
                <w:rFonts w:ascii="Calibri" w:hAnsi="Calibri"/>
                <w:b w:val="0"/>
                <w:sz w:val="20"/>
              </w:rPr>
              <w:t>Real Medium</w:t>
            </w:r>
          </w:p>
        </w:tc>
        <w:tc>
          <w:tcPr>
            <w:tcW w:type="dxa" w:w="1814"/>
            <w:shd w:val="clear" w:color="auto" w:fill="F2F2F2"/>
          </w:tcPr>
          <w:p>
            <w:pPr>
              <w:jc w:val="center"/>
            </w:pPr>
            <w:r/>
            <w:r>
              <w:rPr>
                <w:rFonts w:ascii="Calibri" w:hAnsi="Calibri"/>
                <w:b w:val="0"/>
                <w:sz w:val="20"/>
              </w:rPr>
              <w:t>0</w:t>
            </w:r>
          </w:p>
        </w:tc>
        <w:tc>
          <w:tcPr>
            <w:tcW w:type="dxa" w:w="1814"/>
            <w:shd w:val="clear" w:color="auto" w:fill="F2F2F2"/>
          </w:tcPr>
          <w:p>
            <w:pPr>
              <w:jc w:val="center"/>
            </w:pPr>
            <w:r/>
            <w:r>
              <w:rPr>
                <w:rFonts w:ascii="Calibri" w:hAnsi="Calibri"/>
                <w:b w:val="0"/>
                <w:sz w:val="20"/>
              </w:rPr>
              <w:t>303</w:t>
            </w:r>
          </w:p>
        </w:tc>
        <w:tc>
          <w:tcPr>
            <w:tcW w:type="dxa" w:w="1814"/>
            <w:shd w:val="clear" w:color="auto" w:fill="F2F2F2"/>
          </w:tcPr>
          <w:p>
            <w:pPr>
              <w:jc w:val="center"/>
            </w:pPr>
            <w:r/>
            <w:r>
              <w:rPr>
                <w:rFonts w:ascii="Calibri" w:hAnsi="Calibri"/>
                <w:b w:val="0"/>
                <w:sz w:val="20"/>
              </w:rPr>
              <w:t>1</w:t>
            </w:r>
          </w:p>
        </w:tc>
      </w:tr>
      <w:tr>
        <w:tc>
          <w:tcPr>
            <w:tcW w:type="dxa" w:w="1814"/>
          </w:tcPr>
          <w:p>
            <w:r/>
            <w:r>
              <w:rPr>
                <w:rFonts w:ascii="Calibri" w:hAnsi="Calibri"/>
                <w:b w:val="0"/>
                <w:sz w:val="20"/>
              </w:rPr>
              <w:t>Real High</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123</w:t>
            </w:r>
          </w:p>
        </w:tc>
        <w:tc>
          <w:tcPr>
            <w:tcW w:type="dxa" w:w="1814"/>
          </w:tcPr>
          <w:p>
            <w:pPr>
              <w:jc w:val="center"/>
            </w:pPr>
            <w:r/>
            <w:r>
              <w:rPr>
                <w:rFonts w:ascii="Calibri" w:hAnsi="Calibri"/>
                <w:b w:val="0"/>
                <w:sz w:val="20"/>
              </w:rPr>
              <w:t>25</w:t>
            </w:r>
          </w:p>
        </w:tc>
      </w:tr>
    </w:tbl>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0A3B49"/>
          </w:tcPr>
          <w:p>
            <w:pPr>
              <w:jc w:val="center"/>
            </w:pPr>
            <w:r/>
            <w:r>
              <w:rPr>
                <w:rFonts w:ascii="Calibri" w:hAnsi="Calibri"/>
                <w:b/>
                <w:color w:val="FFFFFF"/>
                <w:sz w:val="20"/>
              </w:rPr>
              <w:t>Accuracy</w:t>
            </w:r>
          </w:p>
        </w:tc>
        <w:tc>
          <w:tcPr>
            <w:tcW w:type="dxa" w:w="1814"/>
            <w:shd w:val="clear" w:color="auto" w:fill="0A3B49"/>
          </w:tcPr>
          <w:p>
            <w:pPr>
              <w:jc w:val="center"/>
            </w:pPr>
            <w:r/>
            <w:r>
              <w:rPr>
                <w:rFonts w:ascii="Calibri" w:hAnsi="Calibri"/>
                <w:b/>
                <w:color w:val="FFFFFF"/>
                <w:sz w:val="20"/>
              </w:rPr>
              <w:t>Precision (macro)</w:t>
            </w:r>
          </w:p>
        </w:tc>
        <w:tc>
          <w:tcPr>
            <w:tcW w:type="dxa" w:w="1814"/>
            <w:shd w:val="clear" w:color="auto" w:fill="0A3B49"/>
          </w:tcPr>
          <w:p>
            <w:pPr>
              <w:jc w:val="center"/>
            </w:pPr>
            <w:r/>
            <w:r>
              <w:rPr>
                <w:rFonts w:ascii="Calibri" w:hAnsi="Calibri"/>
                <w:b/>
                <w:color w:val="FFFFFF"/>
                <w:sz w:val="20"/>
              </w:rPr>
              <w:t>Recall (macro)</w:t>
            </w:r>
          </w:p>
        </w:tc>
        <w:tc>
          <w:tcPr>
            <w:tcW w:type="dxa" w:w="1814"/>
            <w:shd w:val="clear" w:color="auto" w:fill="0A3B49"/>
          </w:tcPr>
          <w:p>
            <w:pPr>
              <w:jc w:val="center"/>
            </w:pPr>
            <w:r/>
            <w:r>
              <w:rPr>
                <w:rFonts w:ascii="Calibri" w:hAnsi="Calibri"/>
                <w:b/>
                <w:color w:val="FFFFFF"/>
                <w:sz w:val="20"/>
              </w:rPr>
              <w:t>F1-score (macro)</w:t>
            </w:r>
          </w:p>
        </w:tc>
        <w:tc>
          <w:tcPr>
            <w:tcW w:type="dxa" w:w="1814"/>
            <w:shd w:val="clear" w:color="auto" w:fill="0A3B49"/>
          </w:tcPr>
          <w:p>
            <w:pPr>
              <w:jc w:val="center"/>
            </w:pPr>
            <w:r/>
            <w:r>
              <w:rPr>
                <w:rFonts w:ascii="Calibri" w:hAnsi="Calibri"/>
                <w:b/>
                <w:color w:val="FFFFFF"/>
                <w:sz w:val="20"/>
              </w:rPr>
              <w:t>ROC-AUC (macro OvR)</w:t>
            </w:r>
          </w:p>
        </w:tc>
      </w:tr>
      <w:tr>
        <w:tc>
          <w:tcPr>
            <w:tcW w:type="dxa" w:w="1814"/>
          </w:tcPr>
          <w:p>
            <w:r/>
            <w:r>
              <w:rPr>
                <w:rFonts w:ascii="Calibri" w:hAnsi="Calibri"/>
                <w:b w:val="0"/>
                <w:sz w:val="20"/>
              </w:rPr>
              <w:t>0,7317</w:t>
            </w:r>
          </w:p>
        </w:tc>
        <w:tc>
          <w:tcPr>
            <w:tcW w:type="dxa" w:w="1814"/>
          </w:tcPr>
          <w:p>
            <w:pPr>
              <w:jc w:val="center"/>
            </w:pPr>
            <w:r/>
            <w:r>
              <w:rPr>
                <w:rFonts w:ascii="Calibri" w:hAnsi="Calibri"/>
                <w:b w:val="0"/>
                <w:sz w:val="20"/>
              </w:rPr>
              <w:t>0,8720</w:t>
            </w:r>
          </w:p>
        </w:tc>
        <w:tc>
          <w:tcPr>
            <w:tcW w:type="dxa" w:w="1814"/>
          </w:tcPr>
          <w:p>
            <w:pPr>
              <w:jc w:val="center"/>
            </w:pPr>
            <w:r/>
            <w:r>
              <w:rPr>
                <w:rFonts w:ascii="Calibri" w:hAnsi="Calibri"/>
                <w:b w:val="0"/>
                <w:sz w:val="20"/>
              </w:rPr>
              <w:t>0,6385</w:t>
            </w:r>
          </w:p>
        </w:tc>
        <w:tc>
          <w:tcPr>
            <w:tcW w:type="dxa" w:w="1814"/>
          </w:tcPr>
          <w:p>
            <w:pPr>
              <w:jc w:val="center"/>
            </w:pPr>
            <w:r/>
            <w:r>
              <w:rPr>
                <w:rFonts w:ascii="Calibri" w:hAnsi="Calibri"/>
                <w:b w:val="0"/>
                <w:sz w:val="20"/>
              </w:rPr>
              <w:t>0,6449</w:t>
            </w:r>
          </w:p>
        </w:tc>
        <w:tc>
          <w:tcPr>
            <w:tcW w:type="dxa" w:w="1814"/>
          </w:tcPr>
          <w:p>
            <w:pPr>
              <w:jc w:val="center"/>
            </w:pPr>
            <w:r/>
            <w:r>
              <w:rPr>
                <w:rFonts w:ascii="Calibri" w:hAnsi="Calibri"/>
                <w:b w:val="0"/>
                <w:sz w:val="20"/>
              </w:rPr>
              <w:t>0,7654</w:t>
            </w:r>
          </w:p>
        </w:tc>
      </w:tr>
    </w:tbl>
    <w:p>
      <w:pPr>
        <w:spacing w:after="40"/>
      </w:pPr>
    </w:p>
    <w:p>
      <w:pPr>
        <w:pStyle w:val="Heading2"/>
      </w:pPr>
      <w:r>
        <w:t>4.3 SVM</w:t>
      </w:r>
    </w:p>
    <w:p>
      <w:pPr>
        <w:jc w:val="center"/>
      </w:pPr>
      <w:r>
        <w:drawing>
          <wp:inline xmlns:a="http://schemas.openxmlformats.org/drawingml/2006/main" xmlns:pic="http://schemas.openxmlformats.org/drawingml/2006/picture">
            <wp:extent cx="3060000" cy="2509888"/>
            <wp:docPr id="5" name="Picture 5"/>
            <wp:cNvGraphicFramePr>
              <a:graphicFrameLocks noChangeAspect="1"/>
            </wp:cNvGraphicFramePr>
            <a:graphic>
              <a:graphicData uri="http://schemas.openxmlformats.org/drawingml/2006/picture">
                <pic:pic>
                  <pic:nvPicPr>
                    <pic:cNvPr id="0" name="f4_cm_svm.png"/>
                    <pic:cNvPicPr/>
                  </pic:nvPicPr>
                  <pic:blipFill>
                    <a:blip r:embed="rId13"/>
                    <a:stretch>
                      <a:fillRect/>
                    </a:stretch>
                  </pic:blipFill>
                  <pic:spPr>
                    <a:xfrm>
                      <a:off x="0" y="0"/>
                      <a:ext cx="3060000" cy="2509888"/>
                    </a:xfrm>
                    <a:prstGeom prst="rect"/>
                  </pic:spPr>
                </pic:pic>
              </a:graphicData>
            </a:graphic>
          </wp:inline>
        </w:drawing>
      </w:r>
    </w:p>
    <w:p>
      <w:pPr>
        <w:pStyle w:val="Caption2"/>
      </w:pPr>
      <w:r>
        <w:t>Figura 5. Matriz de confusión del modelo SVM sobre el conjunto de prueba.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0A3B49"/>
          </w:tcPr>
          <w:p>
            <w:pPr>
              <w:jc w:val="center"/>
            </w:pPr>
            <w:r/>
            <w:r>
              <w:rPr>
                <w:rFonts w:ascii="Calibri" w:hAnsi="Calibri"/>
                <w:b/>
                <w:color w:val="FFFFFF"/>
                <w:sz w:val="20"/>
              </w:rPr>
            </w:r>
          </w:p>
        </w:tc>
        <w:tc>
          <w:tcPr>
            <w:tcW w:type="dxa" w:w="1814"/>
            <w:shd w:val="clear" w:color="auto" w:fill="0A3B49"/>
          </w:tcPr>
          <w:p>
            <w:pPr>
              <w:jc w:val="center"/>
            </w:pPr>
            <w:r/>
            <w:r>
              <w:rPr>
                <w:rFonts w:ascii="Calibri" w:hAnsi="Calibri"/>
                <w:b/>
                <w:color w:val="FFFFFF"/>
                <w:sz w:val="20"/>
              </w:rPr>
              <w:t>Pred. Low</w:t>
            </w:r>
          </w:p>
        </w:tc>
        <w:tc>
          <w:tcPr>
            <w:tcW w:type="dxa" w:w="1814"/>
            <w:shd w:val="clear" w:color="auto" w:fill="0A3B49"/>
          </w:tcPr>
          <w:p>
            <w:pPr>
              <w:jc w:val="center"/>
            </w:pPr>
            <w:r/>
            <w:r>
              <w:rPr>
                <w:rFonts w:ascii="Calibri" w:hAnsi="Calibri"/>
                <w:b/>
                <w:color w:val="FFFFFF"/>
                <w:sz w:val="20"/>
              </w:rPr>
              <w:t>Pred. Medium</w:t>
            </w:r>
          </w:p>
        </w:tc>
        <w:tc>
          <w:tcPr>
            <w:tcW w:type="dxa" w:w="1814"/>
            <w:shd w:val="clear" w:color="auto" w:fill="0A3B49"/>
          </w:tcPr>
          <w:p>
            <w:pPr>
              <w:jc w:val="center"/>
            </w:pPr>
            <w:r/>
            <w:r>
              <w:rPr>
                <w:rFonts w:ascii="Calibri" w:hAnsi="Calibri"/>
                <w:b/>
                <w:color w:val="FFFFFF"/>
                <w:sz w:val="20"/>
              </w:rPr>
              <w:t>Pred. High</w:t>
            </w:r>
          </w:p>
        </w:tc>
      </w:tr>
      <w:tr>
        <w:tc>
          <w:tcPr>
            <w:tcW w:type="dxa" w:w="1814"/>
          </w:tcPr>
          <w:p>
            <w:r/>
            <w:r>
              <w:rPr>
                <w:rFonts w:ascii="Calibri" w:hAnsi="Calibri"/>
                <w:b w:val="0"/>
                <w:sz w:val="20"/>
              </w:rPr>
              <w:t>Real Low</w:t>
            </w:r>
          </w:p>
        </w:tc>
        <w:tc>
          <w:tcPr>
            <w:tcW w:type="dxa" w:w="1814"/>
          </w:tcPr>
          <w:p>
            <w:pPr>
              <w:jc w:val="center"/>
            </w:pPr>
            <w:r/>
            <w:r>
              <w:rPr>
                <w:rFonts w:ascii="Calibri" w:hAnsi="Calibri"/>
                <w:b w:val="0"/>
                <w:sz w:val="20"/>
              </w:rPr>
              <w:t>148</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r>
      <w:tr>
        <w:tc>
          <w:tcPr>
            <w:tcW w:type="dxa" w:w="1814"/>
            <w:shd w:val="clear" w:color="auto" w:fill="F2F2F2"/>
          </w:tcPr>
          <w:p>
            <w:r/>
            <w:r>
              <w:rPr>
                <w:rFonts w:ascii="Calibri" w:hAnsi="Calibri"/>
                <w:b w:val="0"/>
                <w:sz w:val="20"/>
              </w:rPr>
              <w:t>Real Medium</w:t>
            </w:r>
          </w:p>
        </w:tc>
        <w:tc>
          <w:tcPr>
            <w:tcW w:type="dxa" w:w="1814"/>
            <w:shd w:val="clear" w:color="auto" w:fill="F2F2F2"/>
          </w:tcPr>
          <w:p>
            <w:pPr>
              <w:jc w:val="center"/>
            </w:pPr>
            <w:r/>
            <w:r>
              <w:rPr>
                <w:rFonts w:ascii="Calibri" w:hAnsi="Calibri"/>
                <w:b w:val="0"/>
                <w:sz w:val="20"/>
              </w:rPr>
              <w:t>0</w:t>
            </w:r>
          </w:p>
        </w:tc>
        <w:tc>
          <w:tcPr>
            <w:tcW w:type="dxa" w:w="1814"/>
            <w:shd w:val="clear" w:color="auto" w:fill="F2F2F2"/>
          </w:tcPr>
          <w:p>
            <w:pPr>
              <w:jc w:val="center"/>
            </w:pPr>
            <w:r/>
            <w:r>
              <w:rPr>
                <w:rFonts w:ascii="Calibri" w:hAnsi="Calibri"/>
                <w:b w:val="0"/>
                <w:sz w:val="20"/>
              </w:rPr>
              <w:t>300</w:t>
            </w:r>
          </w:p>
        </w:tc>
        <w:tc>
          <w:tcPr>
            <w:tcW w:type="dxa" w:w="1814"/>
            <w:shd w:val="clear" w:color="auto" w:fill="F2F2F2"/>
          </w:tcPr>
          <w:p>
            <w:pPr>
              <w:jc w:val="center"/>
            </w:pPr>
            <w:r/>
            <w:r>
              <w:rPr>
                <w:rFonts w:ascii="Calibri" w:hAnsi="Calibri"/>
                <w:b w:val="0"/>
                <w:sz w:val="20"/>
              </w:rPr>
              <w:t>4</w:t>
            </w:r>
          </w:p>
        </w:tc>
      </w:tr>
      <w:tr>
        <w:tc>
          <w:tcPr>
            <w:tcW w:type="dxa" w:w="1814"/>
          </w:tcPr>
          <w:p>
            <w:r/>
            <w:r>
              <w:rPr>
                <w:rFonts w:ascii="Calibri" w:hAnsi="Calibri"/>
                <w:b w:val="0"/>
                <w:sz w:val="20"/>
              </w:rPr>
              <w:t>Real High</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148</w:t>
            </w:r>
          </w:p>
        </w:tc>
      </w:tr>
    </w:tbl>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0A3B49"/>
          </w:tcPr>
          <w:p>
            <w:pPr>
              <w:jc w:val="center"/>
            </w:pPr>
            <w:r/>
            <w:r>
              <w:rPr>
                <w:rFonts w:ascii="Calibri" w:hAnsi="Calibri"/>
                <w:b/>
                <w:color w:val="FFFFFF"/>
                <w:sz w:val="20"/>
              </w:rPr>
              <w:t>Accuracy</w:t>
            </w:r>
          </w:p>
        </w:tc>
        <w:tc>
          <w:tcPr>
            <w:tcW w:type="dxa" w:w="1814"/>
            <w:shd w:val="clear" w:color="auto" w:fill="0A3B49"/>
          </w:tcPr>
          <w:p>
            <w:pPr>
              <w:jc w:val="center"/>
            </w:pPr>
            <w:r/>
            <w:r>
              <w:rPr>
                <w:rFonts w:ascii="Calibri" w:hAnsi="Calibri"/>
                <w:b/>
                <w:color w:val="FFFFFF"/>
                <w:sz w:val="20"/>
              </w:rPr>
              <w:t>Precision (macro)</w:t>
            </w:r>
          </w:p>
        </w:tc>
        <w:tc>
          <w:tcPr>
            <w:tcW w:type="dxa" w:w="1814"/>
            <w:shd w:val="clear" w:color="auto" w:fill="0A3B49"/>
          </w:tcPr>
          <w:p>
            <w:pPr>
              <w:jc w:val="center"/>
            </w:pPr>
            <w:r/>
            <w:r>
              <w:rPr>
                <w:rFonts w:ascii="Calibri" w:hAnsi="Calibri"/>
                <w:b/>
                <w:color w:val="FFFFFF"/>
                <w:sz w:val="20"/>
              </w:rPr>
              <w:t>Recall (macro)</w:t>
            </w:r>
          </w:p>
        </w:tc>
        <w:tc>
          <w:tcPr>
            <w:tcW w:type="dxa" w:w="1814"/>
            <w:shd w:val="clear" w:color="auto" w:fill="0A3B49"/>
          </w:tcPr>
          <w:p>
            <w:pPr>
              <w:jc w:val="center"/>
            </w:pPr>
            <w:r/>
            <w:r>
              <w:rPr>
                <w:rFonts w:ascii="Calibri" w:hAnsi="Calibri"/>
                <w:b/>
                <w:color w:val="FFFFFF"/>
                <w:sz w:val="20"/>
              </w:rPr>
              <w:t>F1-score (macro)</w:t>
            </w:r>
          </w:p>
        </w:tc>
        <w:tc>
          <w:tcPr>
            <w:tcW w:type="dxa" w:w="1814"/>
            <w:shd w:val="clear" w:color="auto" w:fill="0A3B49"/>
          </w:tcPr>
          <w:p>
            <w:pPr>
              <w:jc w:val="center"/>
            </w:pPr>
            <w:r/>
            <w:r>
              <w:rPr>
                <w:rFonts w:ascii="Calibri" w:hAnsi="Calibri"/>
                <w:b/>
                <w:color w:val="FFFFFF"/>
                <w:sz w:val="20"/>
              </w:rPr>
              <w:t>ROC-AUC (macro OvR)</w:t>
            </w:r>
          </w:p>
        </w:tc>
      </w:tr>
      <w:tr>
        <w:tc>
          <w:tcPr>
            <w:tcW w:type="dxa" w:w="1814"/>
          </w:tcPr>
          <w:p>
            <w:r/>
            <w:r>
              <w:rPr>
                <w:rFonts w:ascii="Calibri" w:hAnsi="Calibri"/>
                <w:b w:val="0"/>
                <w:sz w:val="20"/>
              </w:rPr>
              <w:t>0,9933</w:t>
            </w:r>
          </w:p>
        </w:tc>
        <w:tc>
          <w:tcPr>
            <w:tcW w:type="dxa" w:w="1814"/>
          </w:tcPr>
          <w:p>
            <w:pPr>
              <w:jc w:val="center"/>
            </w:pPr>
            <w:r/>
            <w:r>
              <w:rPr>
                <w:rFonts w:ascii="Calibri" w:hAnsi="Calibri"/>
                <w:b w:val="0"/>
                <w:sz w:val="20"/>
              </w:rPr>
              <w:t>0,9912</w:t>
            </w:r>
          </w:p>
        </w:tc>
        <w:tc>
          <w:tcPr>
            <w:tcW w:type="dxa" w:w="1814"/>
          </w:tcPr>
          <w:p>
            <w:pPr>
              <w:jc w:val="center"/>
            </w:pPr>
            <w:r/>
            <w:r>
              <w:rPr>
                <w:rFonts w:ascii="Calibri" w:hAnsi="Calibri"/>
                <w:b w:val="0"/>
                <w:sz w:val="20"/>
              </w:rPr>
              <w:t>0,9956</w:t>
            </w:r>
          </w:p>
        </w:tc>
        <w:tc>
          <w:tcPr>
            <w:tcW w:type="dxa" w:w="1814"/>
          </w:tcPr>
          <w:p>
            <w:pPr>
              <w:jc w:val="center"/>
            </w:pPr>
            <w:r/>
            <w:r>
              <w:rPr>
                <w:rFonts w:ascii="Calibri" w:hAnsi="Calibri"/>
                <w:b w:val="0"/>
                <w:sz w:val="20"/>
              </w:rPr>
              <w:t>0,9933</w:t>
            </w:r>
          </w:p>
        </w:tc>
        <w:tc>
          <w:tcPr>
            <w:tcW w:type="dxa" w:w="1814"/>
          </w:tcPr>
          <w:p>
            <w:pPr>
              <w:jc w:val="center"/>
            </w:pPr>
            <w:r/>
            <w:r>
              <w:rPr>
                <w:rFonts w:ascii="Calibri" w:hAnsi="Calibri"/>
                <w:b w:val="0"/>
                <w:sz w:val="20"/>
              </w:rPr>
              <w:t>0,9986</w:t>
            </w:r>
          </w:p>
        </w:tc>
      </w:tr>
    </w:tbl>
    <w:p>
      <w:pPr>
        <w:spacing w:after="40"/>
      </w:pPr>
    </w:p>
    <w:p>
      <w:pPr>
        <w:pStyle w:val="Heading2"/>
      </w:pPr>
      <w:r>
        <w:t>4.4 Naive Bayes</w:t>
      </w:r>
    </w:p>
    <w:p>
      <w:pPr>
        <w:jc w:val="center"/>
      </w:pPr>
      <w:r>
        <w:drawing>
          <wp:inline xmlns:a="http://schemas.openxmlformats.org/drawingml/2006/main" xmlns:pic="http://schemas.openxmlformats.org/drawingml/2006/picture">
            <wp:extent cx="3060000" cy="2509888"/>
            <wp:docPr id="6" name="Picture 6"/>
            <wp:cNvGraphicFramePr>
              <a:graphicFrameLocks noChangeAspect="1"/>
            </wp:cNvGraphicFramePr>
            <a:graphic>
              <a:graphicData uri="http://schemas.openxmlformats.org/drawingml/2006/picture">
                <pic:pic>
                  <pic:nvPicPr>
                    <pic:cNvPr id="0" name="f4_cm_naive_bayes.png"/>
                    <pic:cNvPicPr/>
                  </pic:nvPicPr>
                  <pic:blipFill>
                    <a:blip r:embed="rId14"/>
                    <a:stretch>
                      <a:fillRect/>
                    </a:stretch>
                  </pic:blipFill>
                  <pic:spPr>
                    <a:xfrm>
                      <a:off x="0" y="0"/>
                      <a:ext cx="3060000" cy="2509888"/>
                    </a:xfrm>
                    <a:prstGeom prst="rect"/>
                  </pic:spPr>
                </pic:pic>
              </a:graphicData>
            </a:graphic>
          </wp:inline>
        </w:drawing>
      </w:r>
    </w:p>
    <w:p>
      <w:pPr>
        <w:pStyle w:val="Caption2"/>
      </w:pPr>
      <w:r>
        <w:t>Figura 6. Matriz de confusión del modelo Naive Bayes sobre el conjunto de prueba.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0A3B49"/>
          </w:tcPr>
          <w:p>
            <w:pPr>
              <w:jc w:val="center"/>
            </w:pPr>
            <w:r/>
            <w:r>
              <w:rPr>
                <w:rFonts w:ascii="Calibri" w:hAnsi="Calibri"/>
                <w:b/>
                <w:color w:val="FFFFFF"/>
                <w:sz w:val="20"/>
              </w:rPr>
            </w:r>
          </w:p>
        </w:tc>
        <w:tc>
          <w:tcPr>
            <w:tcW w:type="dxa" w:w="1814"/>
            <w:shd w:val="clear" w:color="auto" w:fill="0A3B49"/>
          </w:tcPr>
          <w:p>
            <w:pPr>
              <w:jc w:val="center"/>
            </w:pPr>
            <w:r/>
            <w:r>
              <w:rPr>
                <w:rFonts w:ascii="Calibri" w:hAnsi="Calibri"/>
                <w:b/>
                <w:color w:val="FFFFFF"/>
                <w:sz w:val="20"/>
              </w:rPr>
              <w:t>Pred. Low</w:t>
            </w:r>
          </w:p>
        </w:tc>
        <w:tc>
          <w:tcPr>
            <w:tcW w:type="dxa" w:w="1814"/>
            <w:shd w:val="clear" w:color="auto" w:fill="0A3B49"/>
          </w:tcPr>
          <w:p>
            <w:pPr>
              <w:jc w:val="center"/>
            </w:pPr>
            <w:r/>
            <w:r>
              <w:rPr>
                <w:rFonts w:ascii="Calibri" w:hAnsi="Calibri"/>
                <w:b/>
                <w:color w:val="FFFFFF"/>
                <w:sz w:val="20"/>
              </w:rPr>
              <w:t>Pred. Medium</w:t>
            </w:r>
          </w:p>
        </w:tc>
        <w:tc>
          <w:tcPr>
            <w:tcW w:type="dxa" w:w="1814"/>
            <w:shd w:val="clear" w:color="auto" w:fill="0A3B49"/>
          </w:tcPr>
          <w:p>
            <w:pPr>
              <w:jc w:val="center"/>
            </w:pPr>
            <w:r/>
            <w:r>
              <w:rPr>
                <w:rFonts w:ascii="Calibri" w:hAnsi="Calibri"/>
                <w:b/>
                <w:color w:val="FFFFFF"/>
                <w:sz w:val="20"/>
              </w:rPr>
              <w:t>Pred. High</w:t>
            </w:r>
          </w:p>
        </w:tc>
      </w:tr>
      <w:tr>
        <w:tc>
          <w:tcPr>
            <w:tcW w:type="dxa" w:w="1814"/>
          </w:tcPr>
          <w:p>
            <w:r/>
            <w:r>
              <w:rPr>
                <w:rFonts w:ascii="Calibri" w:hAnsi="Calibri"/>
                <w:b w:val="0"/>
                <w:sz w:val="20"/>
              </w:rPr>
              <w:t>Real Low</w:t>
            </w:r>
          </w:p>
        </w:tc>
        <w:tc>
          <w:tcPr>
            <w:tcW w:type="dxa" w:w="1814"/>
          </w:tcPr>
          <w:p>
            <w:pPr>
              <w:jc w:val="center"/>
            </w:pPr>
            <w:r/>
            <w:r>
              <w:rPr>
                <w:rFonts w:ascii="Calibri" w:hAnsi="Calibri"/>
                <w:b w:val="0"/>
                <w:sz w:val="20"/>
              </w:rPr>
              <w:t>111</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37</w:t>
            </w:r>
          </w:p>
        </w:tc>
      </w:tr>
      <w:tr>
        <w:tc>
          <w:tcPr>
            <w:tcW w:type="dxa" w:w="1814"/>
            <w:shd w:val="clear" w:color="auto" w:fill="F2F2F2"/>
          </w:tcPr>
          <w:p>
            <w:r/>
            <w:r>
              <w:rPr>
                <w:rFonts w:ascii="Calibri" w:hAnsi="Calibri"/>
                <w:b w:val="0"/>
                <w:sz w:val="20"/>
              </w:rPr>
              <w:t>Real Medium</w:t>
            </w:r>
          </w:p>
        </w:tc>
        <w:tc>
          <w:tcPr>
            <w:tcW w:type="dxa" w:w="1814"/>
            <w:shd w:val="clear" w:color="auto" w:fill="F2F2F2"/>
          </w:tcPr>
          <w:p>
            <w:pPr>
              <w:jc w:val="center"/>
            </w:pPr>
            <w:r/>
            <w:r>
              <w:rPr>
                <w:rFonts w:ascii="Calibri" w:hAnsi="Calibri"/>
                <w:b w:val="0"/>
                <w:sz w:val="20"/>
              </w:rPr>
              <w:t>0</w:t>
            </w:r>
          </w:p>
        </w:tc>
        <w:tc>
          <w:tcPr>
            <w:tcW w:type="dxa" w:w="1814"/>
            <w:shd w:val="clear" w:color="auto" w:fill="F2F2F2"/>
          </w:tcPr>
          <w:p>
            <w:pPr>
              <w:jc w:val="center"/>
            </w:pPr>
            <w:r/>
            <w:r>
              <w:rPr>
                <w:rFonts w:ascii="Calibri" w:hAnsi="Calibri"/>
                <w:b w:val="0"/>
                <w:sz w:val="20"/>
              </w:rPr>
              <w:t>300</w:t>
            </w:r>
          </w:p>
        </w:tc>
        <w:tc>
          <w:tcPr>
            <w:tcW w:type="dxa" w:w="1814"/>
            <w:shd w:val="clear" w:color="auto" w:fill="F2F2F2"/>
          </w:tcPr>
          <w:p>
            <w:pPr>
              <w:jc w:val="center"/>
            </w:pPr>
            <w:r/>
            <w:r>
              <w:rPr>
                <w:rFonts w:ascii="Calibri" w:hAnsi="Calibri"/>
                <w:b w:val="0"/>
                <w:sz w:val="20"/>
              </w:rPr>
              <w:t>4</w:t>
            </w:r>
          </w:p>
        </w:tc>
      </w:tr>
      <w:tr>
        <w:tc>
          <w:tcPr>
            <w:tcW w:type="dxa" w:w="1814"/>
          </w:tcPr>
          <w:p>
            <w:r/>
            <w:r>
              <w:rPr>
                <w:rFonts w:ascii="Calibri" w:hAnsi="Calibri"/>
                <w:b w:val="0"/>
                <w:sz w:val="20"/>
              </w:rPr>
              <w:t>Real High</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148</w:t>
            </w:r>
          </w:p>
        </w:tc>
      </w:tr>
    </w:tbl>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0A3B49"/>
          </w:tcPr>
          <w:p>
            <w:pPr>
              <w:jc w:val="center"/>
            </w:pPr>
            <w:r/>
            <w:r>
              <w:rPr>
                <w:rFonts w:ascii="Calibri" w:hAnsi="Calibri"/>
                <w:b/>
                <w:color w:val="FFFFFF"/>
                <w:sz w:val="20"/>
              </w:rPr>
              <w:t>Accuracy</w:t>
            </w:r>
          </w:p>
        </w:tc>
        <w:tc>
          <w:tcPr>
            <w:tcW w:type="dxa" w:w="1814"/>
            <w:shd w:val="clear" w:color="auto" w:fill="0A3B49"/>
          </w:tcPr>
          <w:p>
            <w:pPr>
              <w:jc w:val="center"/>
            </w:pPr>
            <w:r/>
            <w:r>
              <w:rPr>
                <w:rFonts w:ascii="Calibri" w:hAnsi="Calibri"/>
                <w:b/>
                <w:color w:val="FFFFFF"/>
                <w:sz w:val="20"/>
              </w:rPr>
              <w:t>Precision (macro)</w:t>
            </w:r>
          </w:p>
        </w:tc>
        <w:tc>
          <w:tcPr>
            <w:tcW w:type="dxa" w:w="1814"/>
            <w:shd w:val="clear" w:color="auto" w:fill="0A3B49"/>
          </w:tcPr>
          <w:p>
            <w:pPr>
              <w:jc w:val="center"/>
            </w:pPr>
            <w:r/>
            <w:r>
              <w:rPr>
                <w:rFonts w:ascii="Calibri" w:hAnsi="Calibri"/>
                <w:b/>
                <w:color w:val="FFFFFF"/>
                <w:sz w:val="20"/>
              </w:rPr>
              <w:t>Recall (macro)</w:t>
            </w:r>
          </w:p>
        </w:tc>
        <w:tc>
          <w:tcPr>
            <w:tcW w:type="dxa" w:w="1814"/>
            <w:shd w:val="clear" w:color="auto" w:fill="0A3B49"/>
          </w:tcPr>
          <w:p>
            <w:pPr>
              <w:jc w:val="center"/>
            </w:pPr>
            <w:r/>
            <w:r>
              <w:rPr>
                <w:rFonts w:ascii="Calibri" w:hAnsi="Calibri"/>
                <w:b/>
                <w:color w:val="FFFFFF"/>
                <w:sz w:val="20"/>
              </w:rPr>
              <w:t>F1-score (macro)</w:t>
            </w:r>
          </w:p>
        </w:tc>
        <w:tc>
          <w:tcPr>
            <w:tcW w:type="dxa" w:w="1814"/>
            <w:shd w:val="clear" w:color="auto" w:fill="0A3B49"/>
          </w:tcPr>
          <w:p>
            <w:pPr>
              <w:jc w:val="center"/>
            </w:pPr>
            <w:r/>
            <w:r>
              <w:rPr>
                <w:rFonts w:ascii="Calibri" w:hAnsi="Calibri"/>
                <w:b/>
                <w:color w:val="FFFFFF"/>
                <w:sz w:val="20"/>
              </w:rPr>
              <w:t>ROC-AUC (macro OvR)</w:t>
            </w:r>
          </w:p>
        </w:tc>
      </w:tr>
      <w:tr>
        <w:tc>
          <w:tcPr>
            <w:tcW w:type="dxa" w:w="1814"/>
          </w:tcPr>
          <w:p>
            <w:r/>
            <w:r>
              <w:rPr>
                <w:rFonts w:ascii="Calibri" w:hAnsi="Calibri"/>
                <w:b w:val="0"/>
                <w:sz w:val="20"/>
              </w:rPr>
              <w:t>0,9317</w:t>
            </w:r>
          </w:p>
        </w:tc>
        <w:tc>
          <w:tcPr>
            <w:tcW w:type="dxa" w:w="1814"/>
          </w:tcPr>
          <w:p>
            <w:pPr>
              <w:jc w:val="center"/>
            </w:pPr>
            <w:r/>
            <w:r>
              <w:rPr>
                <w:rFonts w:ascii="Calibri" w:hAnsi="Calibri"/>
                <w:b w:val="0"/>
                <w:sz w:val="20"/>
              </w:rPr>
              <w:t>0,9277</w:t>
            </w:r>
          </w:p>
        </w:tc>
        <w:tc>
          <w:tcPr>
            <w:tcW w:type="dxa" w:w="1814"/>
          </w:tcPr>
          <w:p>
            <w:pPr>
              <w:jc w:val="center"/>
            </w:pPr>
            <w:r/>
            <w:r>
              <w:rPr>
                <w:rFonts w:ascii="Calibri" w:hAnsi="Calibri"/>
                <w:b w:val="0"/>
                <w:sz w:val="20"/>
              </w:rPr>
              <w:t>0,9123</w:t>
            </w:r>
          </w:p>
        </w:tc>
        <w:tc>
          <w:tcPr>
            <w:tcW w:type="dxa" w:w="1814"/>
          </w:tcPr>
          <w:p>
            <w:pPr>
              <w:jc w:val="center"/>
            </w:pPr>
            <w:r/>
            <w:r>
              <w:rPr>
                <w:rFonts w:ascii="Calibri" w:hAnsi="Calibri"/>
                <w:b w:val="0"/>
                <w:sz w:val="20"/>
              </w:rPr>
              <w:t>0,9096</w:t>
            </w:r>
          </w:p>
        </w:tc>
        <w:tc>
          <w:tcPr>
            <w:tcW w:type="dxa" w:w="1814"/>
          </w:tcPr>
          <w:p>
            <w:pPr>
              <w:jc w:val="center"/>
            </w:pPr>
            <w:r/>
            <w:r>
              <w:rPr>
                <w:rFonts w:ascii="Calibri" w:hAnsi="Calibri"/>
                <w:b w:val="0"/>
                <w:sz w:val="20"/>
              </w:rPr>
              <w:t>0,9832</w:t>
            </w:r>
          </w:p>
        </w:tc>
      </w:tr>
    </w:tbl>
    <w:p>
      <w:pPr>
        <w:spacing w:after="40"/>
      </w:pPr>
    </w:p>
    <w:p>
      <w:pPr>
        <w:pStyle w:val="Heading2"/>
      </w:pPr>
      <w:r>
        <w:t>4.5 MLP 1 capa oculta (modelo campeón)</w:t>
      </w:r>
    </w:p>
    <w:p>
      <w:pPr>
        <w:jc w:val="center"/>
      </w:pPr>
      <w:r>
        <w:drawing>
          <wp:inline xmlns:a="http://schemas.openxmlformats.org/drawingml/2006/main" xmlns:pic="http://schemas.openxmlformats.org/drawingml/2006/picture">
            <wp:extent cx="3060000" cy="2509888"/>
            <wp:docPr id="7" name="Picture 7"/>
            <wp:cNvGraphicFramePr>
              <a:graphicFrameLocks noChangeAspect="1"/>
            </wp:cNvGraphicFramePr>
            <a:graphic>
              <a:graphicData uri="http://schemas.openxmlformats.org/drawingml/2006/picture">
                <pic:pic>
                  <pic:nvPicPr>
                    <pic:cNvPr id="0" name="f4_cm_mlp1.png"/>
                    <pic:cNvPicPr/>
                  </pic:nvPicPr>
                  <pic:blipFill>
                    <a:blip r:embed="rId15"/>
                    <a:stretch>
                      <a:fillRect/>
                    </a:stretch>
                  </pic:blipFill>
                  <pic:spPr>
                    <a:xfrm>
                      <a:off x="0" y="0"/>
                      <a:ext cx="3060000" cy="2509888"/>
                    </a:xfrm>
                    <a:prstGeom prst="rect"/>
                  </pic:spPr>
                </pic:pic>
              </a:graphicData>
            </a:graphic>
          </wp:inline>
        </w:drawing>
      </w:r>
    </w:p>
    <w:p>
      <w:pPr>
        <w:pStyle w:val="Caption2"/>
      </w:pPr>
      <w:r>
        <w:t>Figura 7. Matriz de confusión del modelo MLP 1 capa oculta (modelo campeón) sobre el conjunto de prueba.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0A3B49"/>
          </w:tcPr>
          <w:p>
            <w:pPr>
              <w:jc w:val="center"/>
            </w:pPr>
            <w:r/>
            <w:r>
              <w:rPr>
                <w:rFonts w:ascii="Calibri" w:hAnsi="Calibri"/>
                <w:b/>
                <w:color w:val="FFFFFF"/>
                <w:sz w:val="20"/>
              </w:rPr>
            </w:r>
          </w:p>
        </w:tc>
        <w:tc>
          <w:tcPr>
            <w:tcW w:type="dxa" w:w="1814"/>
            <w:shd w:val="clear" w:color="auto" w:fill="0A3B49"/>
          </w:tcPr>
          <w:p>
            <w:pPr>
              <w:jc w:val="center"/>
            </w:pPr>
            <w:r/>
            <w:r>
              <w:rPr>
                <w:rFonts w:ascii="Calibri" w:hAnsi="Calibri"/>
                <w:b/>
                <w:color w:val="FFFFFF"/>
                <w:sz w:val="20"/>
              </w:rPr>
              <w:t>Pred. Low</w:t>
            </w:r>
          </w:p>
        </w:tc>
        <w:tc>
          <w:tcPr>
            <w:tcW w:type="dxa" w:w="1814"/>
            <w:shd w:val="clear" w:color="auto" w:fill="0A3B49"/>
          </w:tcPr>
          <w:p>
            <w:pPr>
              <w:jc w:val="center"/>
            </w:pPr>
            <w:r/>
            <w:r>
              <w:rPr>
                <w:rFonts w:ascii="Calibri" w:hAnsi="Calibri"/>
                <w:b/>
                <w:color w:val="FFFFFF"/>
                <w:sz w:val="20"/>
              </w:rPr>
              <w:t>Pred. Medium</w:t>
            </w:r>
          </w:p>
        </w:tc>
        <w:tc>
          <w:tcPr>
            <w:tcW w:type="dxa" w:w="1814"/>
            <w:shd w:val="clear" w:color="auto" w:fill="0A3B49"/>
          </w:tcPr>
          <w:p>
            <w:pPr>
              <w:jc w:val="center"/>
            </w:pPr>
            <w:r/>
            <w:r>
              <w:rPr>
                <w:rFonts w:ascii="Calibri" w:hAnsi="Calibri"/>
                <w:b/>
                <w:color w:val="FFFFFF"/>
                <w:sz w:val="20"/>
              </w:rPr>
              <w:t>Pred. High</w:t>
            </w:r>
          </w:p>
        </w:tc>
      </w:tr>
      <w:tr>
        <w:tc>
          <w:tcPr>
            <w:tcW w:type="dxa" w:w="1814"/>
          </w:tcPr>
          <w:p>
            <w:r/>
            <w:r>
              <w:rPr>
                <w:rFonts w:ascii="Calibri" w:hAnsi="Calibri"/>
                <w:b w:val="0"/>
                <w:sz w:val="20"/>
              </w:rPr>
              <w:t>Real Low</w:t>
            </w:r>
          </w:p>
        </w:tc>
        <w:tc>
          <w:tcPr>
            <w:tcW w:type="dxa" w:w="1814"/>
          </w:tcPr>
          <w:p>
            <w:pPr>
              <w:jc w:val="center"/>
            </w:pPr>
            <w:r/>
            <w:r>
              <w:rPr>
                <w:rFonts w:ascii="Calibri" w:hAnsi="Calibri"/>
                <w:b w:val="0"/>
                <w:sz w:val="20"/>
              </w:rPr>
              <w:t>148</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r>
      <w:tr>
        <w:tc>
          <w:tcPr>
            <w:tcW w:type="dxa" w:w="1814"/>
            <w:shd w:val="clear" w:color="auto" w:fill="F2F2F2"/>
          </w:tcPr>
          <w:p>
            <w:r/>
            <w:r>
              <w:rPr>
                <w:rFonts w:ascii="Calibri" w:hAnsi="Calibri"/>
                <w:b w:val="0"/>
                <w:sz w:val="20"/>
              </w:rPr>
              <w:t>Real Medium</w:t>
            </w:r>
          </w:p>
        </w:tc>
        <w:tc>
          <w:tcPr>
            <w:tcW w:type="dxa" w:w="1814"/>
            <w:shd w:val="clear" w:color="auto" w:fill="F2F2F2"/>
          </w:tcPr>
          <w:p>
            <w:pPr>
              <w:jc w:val="center"/>
            </w:pPr>
            <w:r/>
            <w:r>
              <w:rPr>
                <w:rFonts w:ascii="Calibri" w:hAnsi="Calibri"/>
                <w:b w:val="0"/>
                <w:sz w:val="20"/>
              </w:rPr>
              <w:t>0</w:t>
            </w:r>
          </w:p>
        </w:tc>
        <w:tc>
          <w:tcPr>
            <w:tcW w:type="dxa" w:w="1814"/>
            <w:shd w:val="clear" w:color="auto" w:fill="F2F2F2"/>
          </w:tcPr>
          <w:p>
            <w:pPr>
              <w:jc w:val="center"/>
            </w:pPr>
            <w:r/>
            <w:r>
              <w:rPr>
                <w:rFonts w:ascii="Calibri" w:hAnsi="Calibri"/>
                <w:b w:val="0"/>
                <w:sz w:val="20"/>
              </w:rPr>
              <w:t>300</w:t>
            </w:r>
          </w:p>
        </w:tc>
        <w:tc>
          <w:tcPr>
            <w:tcW w:type="dxa" w:w="1814"/>
            <w:shd w:val="clear" w:color="auto" w:fill="F2F2F2"/>
          </w:tcPr>
          <w:p>
            <w:pPr>
              <w:jc w:val="center"/>
            </w:pPr>
            <w:r/>
            <w:r>
              <w:rPr>
                <w:rFonts w:ascii="Calibri" w:hAnsi="Calibri"/>
                <w:b w:val="0"/>
                <w:sz w:val="20"/>
              </w:rPr>
              <w:t>4</w:t>
            </w:r>
          </w:p>
        </w:tc>
      </w:tr>
      <w:tr>
        <w:tc>
          <w:tcPr>
            <w:tcW w:type="dxa" w:w="1814"/>
          </w:tcPr>
          <w:p>
            <w:r/>
            <w:r>
              <w:rPr>
                <w:rFonts w:ascii="Calibri" w:hAnsi="Calibri"/>
                <w:b w:val="0"/>
                <w:sz w:val="20"/>
              </w:rPr>
              <w:t>Real High</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148</w:t>
            </w:r>
          </w:p>
        </w:tc>
      </w:tr>
    </w:tbl>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0A3B49"/>
          </w:tcPr>
          <w:p>
            <w:pPr>
              <w:jc w:val="center"/>
            </w:pPr>
            <w:r/>
            <w:r>
              <w:rPr>
                <w:rFonts w:ascii="Calibri" w:hAnsi="Calibri"/>
                <w:b/>
                <w:color w:val="FFFFFF"/>
                <w:sz w:val="20"/>
              </w:rPr>
              <w:t>Accuracy</w:t>
            </w:r>
          </w:p>
        </w:tc>
        <w:tc>
          <w:tcPr>
            <w:tcW w:type="dxa" w:w="1814"/>
            <w:shd w:val="clear" w:color="auto" w:fill="0A3B49"/>
          </w:tcPr>
          <w:p>
            <w:pPr>
              <w:jc w:val="center"/>
            </w:pPr>
            <w:r/>
            <w:r>
              <w:rPr>
                <w:rFonts w:ascii="Calibri" w:hAnsi="Calibri"/>
                <w:b/>
                <w:color w:val="FFFFFF"/>
                <w:sz w:val="20"/>
              </w:rPr>
              <w:t>Precision (macro)</w:t>
            </w:r>
          </w:p>
        </w:tc>
        <w:tc>
          <w:tcPr>
            <w:tcW w:type="dxa" w:w="1814"/>
            <w:shd w:val="clear" w:color="auto" w:fill="0A3B49"/>
          </w:tcPr>
          <w:p>
            <w:pPr>
              <w:jc w:val="center"/>
            </w:pPr>
            <w:r/>
            <w:r>
              <w:rPr>
                <w:rFonts w:ascii="Calibri" w:hAnsi="Calibri"/>
                <w:b/>
                <w:color w:val="FFFFFF"/>
                <w:sz w:val="20"/>
              </w:rPr>
              <w:t>Recall (macro)</w:t>
            </w:r>
          </w:p>
        </w:tc>
        <w:tc>
          <w:tcPr>
            <w:tcW w:type="dxa" w:w="1814"/>
            <w:shd w:val="clear" w:color="auto" w:fill="0A3B49"/>
          </w:tcPr>
          <w:p>
            <w:pPr>
              <w:jc w:val="center"/>
            </w:pPr>
            <w:r/>
            <w:r>
              <w:rPr>
                <w:rFonts w:ascii="Calibri" w:hAnsi="Calibri"/>
                <w:b/>
                <w:color w:val="FFFFFF"/>
                <w:sz w:val="20"/>
              </w:rPr>
              <w:t>F1-score (macro)</w:t>
            </w:r>
          </w:p>
        </w:tc>
        <w:tc>
          <w:tcPr>
            <w:tcW w:type="dxa" w:w="1814"/>
            <w:shd w:val="clear" w:color="auto" w:fill="0A3B49"/>
          </w:tcPr>
          <w:p>
            <w:pPr>
              <w:jc w:val="center"/>
            </w:pPr>
            <w:r/>
            <w:r>
              <w:rPr>
                <w:rFonts w:ascii="Calibri" w:hAnsi="Calibri"/>
                <w:b/>
                <w:color w:val="FFFFFF"/>
                <w:sz w:val="20"/>
              </w:rPr>
              <w:t>ROC-AUC (macro OvR)</w:t>
            </w:r>
          </w:p>
        </w:tc>
      </w:tr>
      <w:tr>
        <w:tc>
          <w:tcPr>
            <w:tcW w:type="dxa" w:w="1814"/>
          </w:tcPr>
          <w:p>
            <w:r/>
            <w:r>
              <w:rPr>
                <w:rFonts w:ascii="Calibri" w:hAnsi="Calibri"/>
                <w:b w:val="0"/>
                <w:sz w:val="20"/>
              </w:rPr>
              <w:t>0,9933</w:t>
            </w:r>
          </w:p>
        </w:tc>
        <w:tc>
          <w:tcPr>
            <w:tcW w:type="dxa" w:w="1814"/>
          </w:tcPr>
          <w:p>
            <w:pPr>
              <w:jc w:val="center"/>
            </w:pPr>
            <w:r/>
            <w:r>
              <w:rPr>
                <w:rFonts w:ascii="Calibri" w:hAnsi="Calibri"/>
                <w:b w:val="0"/>
                <w:sz w:val="20"/>
              </w:rPr>
              <w:t>0,9912</w:t>
            </w:r>
          </w:p>
        </w:tc>
        <w:tc>
          <w:tcPr>
            <w:tcW w:type="dxa" w:w="1814"/>
          </w:tcPr>
          <w:p>
            <w:pPr>
              <w:jc w:val="center"/>
            </w:pPr>
            <w:r/>
            <w:r>
              <w:rPr>
                <w:rFonts w:ascii="Calibri" w:hAnsi="Calibri"/>
                <w:b w:val="0"/>
                <w:sz w:val="20"/>
              </w:rPr>
              <w:t>0,9956</w:t>
            </w:r>
          </w:p>
        </w:tc>
        <w:tc>
          <w:tcPr>
            <w:tcW w:type="dxa" w:w="1814"/>
          </w:tcPr>
          <w:p>
            <w:pPr>
              <w:jc w:val="center"/>
            </w:pPr>
            <w:r/>
            <w:r>
              <w:rPr>
                <w:rFonts w:ascii="Calibri" w:hAnsi="Calibri"/>
                <w:b w:val="0"/>
                <w:sz w:val="20"/>
              </w:rPr>
              <w:t>0,9933</w:t>
            </w:r>
          </w:p>
        </w:tc>
        <w:tc>
          <w:tcPr>
            <w:tcW w:type="dxa" w:w="1814"/>
          </w:tcPr>
          <w:p>
            <w:pPr>
              <w:jc w:val="center"/>
            </w:pPr>
            <w:r/>
            <w:r>
              <w:rPr>
                <w:rFonts w:ascii="Calibri" w:hAnsi="Calibri"/>
                <w:b w:val="0"/>
                <w:sz w:val="20"/>
              </w:rPr>
              <w:t>0,9969</w:t>
            </w:r>
          </w:p>
        </w:tc>
      </w:tr>
    </w:tbl>
    <w:p>
      <w:pPr>
        <w:spacing w:after="40"/>
      </w:pPr>
    </w:p>
    <w:p>
      <w:pPr>
        <w:pStyle w:val="Heading2"/>
      </w:pPr>
      <w:r>
        <w:t>4.6 MLP 2 capas ocultas</w:t>
      </w:r>
    </w:p>
    <w:p>
      <w:pPr>
        <w:jc w:val="center"/>
      </w:pPr>
      <w:r>
        <w:drawing>
          <wp:inline xmlns:a="http://schemas.openxmlformats.org/drawingml/2006/main" xmlns:pic="http://schemas.openxmlformats.org/drawingml/2006/picture">
            <wp:extent cx="3060000" cy="2509888"/>
            <wp:docPr id="8" name="Picture 8"/>
            <wp:cNvGraphicFramePr>
              <a:graphicFrameLocks noChangeAspect="1"/>
            </wp:cNvGraphicFramePr>
            <a:graphic>
              <a:graphicData uri="http://schemas.openxmlformats.org/drawingml/2006/picture">
                <pic:pic>
                  <pic:nvPicPr>
                    <pic:cNvPr id="0" name="f4_cm_mlp2.png"/>
                    <pic:cNvPicPr/>
                  </pic:nvPicPr>
                  <pic:blipFill>
                    <a:blip r:embed="rId16"/>
                    <a:stretch>
                      <a:fillRect/>
                    </a:stretch>
                  </pic:blipFill>
                  <pic:spPr>
                    <a:xfrm>
                      <a:off x="0" y="0"/>
                      <a:ext cx="3060000" cy="2509888"/>
                    </a:xfrm>
                    <a:prstGeom prst="rect"/>
                  </pic:spPr>
                </pic:pic>
              </a:graphicData>
            </a:graphic>
          </wp:inline>
        </w:drawing>
      </w:r>
    </w:p>
    <w:p>
      <w:pPr>
        <w:pStyle w:val="Caption2"/>
      </w:pPr>
      <w:r>
        <w:t>Figura 8. Matriz de confusión del modelo MLP 2 capas ocultas sobre el conjunto de prueba.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0A3B49"/>
          </w:tcPr>
          <w:p>
            <w:pPr>
              <w:jc w:val="center"/>
            </w:pPr>
            <w:r/>
            <w:r>
              <w:rPr>
                <w:rFonts w:ascii="Calibri" w:hAnsi="Calibri"/>
                <w:b/>
                <w:color w:val="FFFFFF"/>
                <w:sz w:val="20"/>
              </w:rPr>
            </w:r>
          </w:p>
        </w:tc>
        <w:tc>
          <w:tcPr>
            <w:tcW w:type="dxa" w:w="1814"/>
            <w:shd w:val="clear" w:color="auto" w:fill="0A3B49"/>
          </w:tcPr>
          <w:p>
            <w:pPr>
              <w:jc w:val="center"/>
            </w:pPr>
            <w:r/>
            <w:r>
              <w:rPr>
                <w:rFonts w:ascii="Calibri" w:hAnsi="Calibri"/>
                <w:b/>
                <w:color w:val="FFFFFF"/>
                <w:sz w:val="20"/>
              </w:rPr>
              <w:t>Pred. Low</w:t>
            </w:r>
          </w:p>
        </w:tc>
        <w:tc>
          <w:tcPr>
            <w:tcW w:type="dxa" w:w="1814"/>
            <w:shd w:val="clear" w:color="auto" w:fill="0A3B49"/>
          </w:tcPr>
          <w:p>
            <w:pPr>
              <w:jc w:val="center"/>
            </w:pPr>
            <w:r/>
            <w:r>
              <w:rPr>
                <w:rFonts w:ascii="Calibri" w:hAnsi="Calibri"/>
                <w:b/>
                <w:color w:val="FFFFFF"/>
                <w:sz w:val="20"/>
              </w:rPr>
              <w:t>Pred. Medium</w:t>
            </w:r>
          </w:p>
        </w:tc>
        <w:tc>
          <w:tcPr>
            <w:tcW w:type="dxa" w:w="1814"/>
            <w:shd w:val="clear" w:color="auto" w:fill="0A3B49"/>
          </w:tcPr>
          <w:p>
            <w:pPr>
              <w:jc w:val="center"/>
            </w:pPr>
            <w:r/>
            <w:r>
              <w:rPr>
                <w:rFonts w:ascii="Calibri" w:hAnsi="Calibri"/>
                <w:b/>
                <w:color w:val="FFFFFF"/>
                <w:sz w:val="20"/>
              </w:rPr>
              <w:t>Pred. High</w:t>
            </w:r>
          </w:p>
        </w:tc>
      </w:tr>
      <w:tr>
        <w:tc>
          <w:tcPr>
            <w:tcW w:type="dxa" w:w="1814"/>
          </w:tcPr>
          <w:p>
            <w:r/>
            <w:r>
              <w:rPr>
                <w:rFonts w:ascii="Calibri" w:hAnsi="Calibri"/>
                <w:b w:val="0"/>
                <w:sz w:val="20"/>
              </w:rPr>
              <w:t>Real Low</w:t>
            </w:r>
          </w:p>
        </w:tc>
        <w:tc>
          <w:tcPr>
            <w:tcW w:type="dxa" w:w="1814"/>
          </w:tcPr>
          <w:p>
            <w:pPr>
              <w:jc w:val="center"/>
            </w:pPr>
            <w:r/>
            <w:r>
              <w:rPr>
                <w:rFonts w:ascii="Calibri" w:hAnsi="Calibri"/>
                <w:b w:val="0"/>
                <w:sz w:val="20"/>
              </w:rPr>
              <w:t>144</w:t>
            </w:r>
          </w:p>
        </w:tc>
        <w:tc>
          <w:tcPr>
            <w:tcW w:type="dxa" w:w="1814"/>
          </w:tcPr>
          <w:p>
            <w:pPr>
              <w:jc w:val="center"/>
            </w:pPr>
            <w:r/>
            <w:r>
              <w:rPr>
                <w:rFonts w:ascii="Calibri" w:hAnsi="Calibri"/>
                <w:b w:val="0"/>
                <w:sz w:val="20"/>
              </w:rPr>
              <w:t>2</w:t>
            </w:r>
          </w:p>
        </w:tc>
        <w:tc>
          <w:tcPr>
            <w:tcW w:type="dxa" w:w="1814"/>
          </w:tcPr>
          <w:p>
            <w:pPr>
              <w:jc w:val="center"/>
            </w:pPr>
            <w:r/>
            <w:r>
              <w:rPr>
                <w:rFonts w:ascii="Calibri" w:hAnsi="Calibri"/>
                <w:b w:val="0"/>
                <w:sz w:val="20"/>
              </w:rPr>
              <w:t>2</w:t>
            </w:r>
          </w:p>
        </w:tc>
      </w:tr>
      <w:tr>
        <w:tc>
          <w:tcPr>
            <w:tcW w:type="dxa" w:w="1814"/>
            <w:shd w:val="clear" w:color="auto" w:fill="F2F2F2"/>
          </w:tcPr>
          <w:p>
            <w:r/>
            <w:r>
              <w:rPr>
                <w:rFonts w:ascii="Calibri" w:hAnsi="Calibri"/>
                <w:b w:val="0"/>
                <w:sz w:val="20"/>
              </w:rPr>
              <w:t>Real Medium</w:t>
            </w:r>
          </w:p>
        </w:tc>
        <w:tc>
          <w:tcPr>
            <w:tcW w:type="dxa" w:w="1814"/>
            <w:shd w:val="clear" w:color="auto" w:fill="F2F2F2"/>
          </w:tcPr>
          <w:p>
            <w:pPr>
              <w:jc w:val="center"/>
            </w:pPr>
            <w:r/>
            <w:r>
              <w:rPr>
                <w:rFonts w:ascii="Calibri" w:hAnsi="Calibri"/>
                <w:b w:val="0"/>
                <w:sz w:val="20"/>
              </w:rPr>
              <w:t>0</w:t>
            </w:r>
          </w:p>
        </w:tc>
        <w:tc>
          <w:tcPr>
            <w:tcW w:type="dxa" w:w="1814"/>
            <w:shd w:val="clear" w:color="auto" w:fill="F2F2F2"/>
          </w:tcPr>
          <w:p>
            <w:pPr>
              <w:jc w:val="center"/>
            </w:pPr>
            <w:r/>
            <w:r>
              <w:rPr>
                <w:rFonts w:ascii="Calibri" w:hAnsi="Calibri"/>
                <w:b w:val="0"/>
                <w:sz w:val="20"/>
              </w:rPr>
              <w:t>300</w:t>
            </w:r>
          </w:p>
        </w:tc>
        <w:tc>
          <w:tcPr>
            <w:tcW w:type="dxa" w:w="1814"/>
            <w:shd w:val="clear" w:color="auto" w:fill="F2F2F2"/>
          </w:tcPr>
          <w:p>
            <w:pPr>
              <w:jc w:val="center"/>
            </w:pPr>
            <w:r/>
            <w:r>
              <w:rPr>
                <w:rFonts w:ascii="Calibri" w:hAnsi="Calibri"/>
                <w:b w:val="0"/>
                <w:sz w:val="20"/>
              </w:rPr>
              <w:t>4</w:t>
            </w:r>
          </w:p>
        </w:tc>
      </w:tr>
      <w:tr>
        <w:tc>
          <w:tcPr>
            <w:tcW w:type="dxa" w:w="1814"/>
          </w:tcPr>
          <w:p>
            <w:r/>
            <w:r>
              <w:rPr>
                <w:rFonts w:ascii="Calibri" w:hAnsi="Calibri"/>
                <w:b w:val="0"/>
                <w:sz w:val="20"/>
              </w:rPr>
              <w:t>Real High</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148</w:t>
            </w:r>
          </w:p>
        </w:tc>
      </w:tr>
    </w:tbl>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0A3B49"/>
          </w:tcPr>
          <w:p>
            <w:pPr>
              <w:jc w:val="center"/>
            </w:pPr>
            <w:r/>
            <w:r>
              <w:rPr>
                <w:rFonts w:ascii="Calibri" w:hAnsi="Calibri"/>
                <w:b/>
                <w:color w:val="FFFFFF"/>
                <w:sz w:val="20"/>
              </w:rPr>
              <w:t>Accuracy</w:t>
            </w:r>
          </w:p>
        </w:tc>
        <w:tc>
          <w:tcPr>
            <w:tcW w:type="dxa" w:w="1814"/>
            <w:shd w:val="clear" w:color="auto" w:fill="0A3B49"/>
          </w:tcPr>
          <w:p>
            <w:pPr>
              <w:jc w:val="center"/>
            </w:pPr>
            <w:r/>
            <w:r>
              <w:rPr>
                <w:rFonts w:ascii="Calibri" w:hAnsi="Calibri"/>
                <w:b/>
                <w:color w:val="FFFFFF"/>
                <w:sz w:val="20"/>
              </w:rPr>
              <w:t>Precision (macro)</w:t>
            </w:r>
          </w:p>
        </w:tc>
        <w:tc>
          <w:tcPr>
            <w:tcW w:type="dxa" w:w="1814"/>
            <w:shd w:val="clear" w:color="auto" w:fill="0A3B49"/>
          </w:tcPr>
          <w:p>
            <w:pPr>
              <w:jc w:val="center"/>
            </w:pPr>
            <w:r/>
            <w:r>
              <w:rPr>
                <w:rFonts w:ascii="Calibri" w:hAnsi="Calibri"/>
                <w:b/>
                <w:color w:val="FFFFFF"/>
                <w:sz w:val="20"/>
              </w:rPr>
              <w:t>Recall (macro)</w:t>
            </w:r>
          </w:p>
        </w:tc>
        <w:tc>
          <w:tcPr>
            <w:tcW w:type="dxa" w:w="1814"/>
            <w:shd w:val="clear" w:color="auto" w:fill="0A3B49"/>
          </w:tcPr>
          <w:p>
            <w:pPr>
              <w:jc w:val="center"/>
            </w:pPr>
            <w:r/>
            <w:r>
              <w:rPr>
                <w:rFonts w:ascii="Calibri" w:hAnsi="Calibri"/>
                <w:b/>
                <w:color w:val="FFFFFF"/>
                <w:sz w:val="20"/>
              </w:rPr>
              <w:t>F1-score (macro)</w:t>
            </w:r>
          </w:p>
        </w:tc>
        <w:tc>
          <w:tcPr>
            <w:tcW w:type="dxa" w:w="1814"/>
            <w:shd w:val="clear" w:color="auto" w:fill="0A3B49"/>
          </w:tcPr>
          <w:p>
            <w:pPr>
              <w:jc w:val="center"/>
            </w:pPr>
            <w:r/>
            <w:r>
              <w:rPr>
                <w:rFonts w:ascii="Calibri" w:hAnsi="Calibri"/>
                <w:b/>
                <w:color w:val="FFFFFF"/>
                <w:sz w:val="20"/>
              </w:rPr>
              <w:t>ROC-AUC (macro OvR)</w:t>
            </w:r>
          </w:p>
        </w:tc>
      </w:tr>
      <w:tr>
        <w:tc>
          <w:tcPr>
            <w:tcW w:type="dxa" w:w="1814"/>
          </w:tcPr>
          <w:p>
            <w:r/>
            <w:r>
              <w:rPr>
                <w:rFonts w:ascii="Calibri" w:hAnsi="Calibri"/>
                <w:b w:val="0"/>
                <w:sz w:val="20"/>
              </w:rPr>
              <w:t>0,9867</w:t>
            </w:r>
          </w:p>
        </w:tc>
        <w:tc>
          <w:tcPr>
            <w:tcW w:type="dxa" w:w="1814"/>
          </w:tcPr>
          <w:p>
            <w:pPr>
              <w:jc w:val="center"/>
            </w:pPr>
            <w:r/>
            <w:r>
              <w:rPr>
                <w:rFonts w:ascii="Calibri" w:hAnsi="Calibri"/>
                <w:b w:val="0"/>
                <w:sz w:val="20"/>
              </w:rPr>
              <w:t>0,9848</w:t>
            </w:r>
          </w:p>
        </w:tc>
        <w:tc>
          <w:tcPr>
            <w:tcW w:type="dxa" w:w="1814"/>
          </w:tcPr>
          <w:p>
            <w:pPr>
              <w:jc w:val="center"/>
            </w:pPr>
            <w:r/>
            <w:r>
              <w:rPr>
                <w:rFonts w:ascii="Calibri" w:hAnsi="Calibri"/>
                <w:b w:val="0"/>
                <w:sz w:val="20"/>
              </w:rPr>
              <w:t>0,9866</w:t>
            </w:r>
          </w:p>
        </w:tc>
        <w:tc>
          <w:tcPr>
            <w:tcW w:type="dxa" w:w="1814"/>
          </w:tcPr>
          <w:p>
            <w:pPr>
              <w:jc w:val="center"/>
            </w:pPr>
            <w:r/>
            <w:r>
              <w:rPr>
                <w:rFonts w:ascii="Calibri" w:hAnsi="Calibri"/>
                <w:b w:val="0"/>
                <w:sz w:val="20"/>
              </w:rPr>
              <w:t>0,9855</w:t>
            </w:r>
          </w:p>
        </w:tc>
        <w:tc>
          <w:tcPr>
            <w:tcW w:type="dxa" w:w="1814"/>
          </w:tcPr>
          <w:p>
            <w:pPr>
              <w:jc w:val="center"/>
            </w:pPr>
            <w:r/>
            <w:r>
              <w:rPr>
                <w:rFonts w:ascii="Calibri" w:hAnsi="Calibri"/>
                <w:b w:val="0"/>
                <w:sz w:val="20"/>
              </w:rPr>
              <w:t>0,9980</w:t>
            </w:r>
          </w:p>
        </w:tc>
      </w:tr>
    </w:tbl>
    <w:p>
      <w:pPr>
        <w:spacing w:after="40"/>
      </w:pPr>
    </w:p>
    <w:p>
      <w:pPr>
        <w:pStyle w:val="Heading2"/>
      </w:pPr>
      <w:r>
        <w:t>4.7 MLP 3 capas ocultas</w:t>
      </w:r>
    </w:p>
    <w:p>
      <w:pPr>
        <w:jc w:val="center"/>
      </w:pPr>
      <w:r>
        <w:drawing>
          <wp:inline xmlns:a="http://schemas.openxmlformats.org/drawingml/2006/main" xmlns:pic="http://schemas.openxmlformats.org/drawingml/2006/picture">
            <wp:extent cx="3060000" cy="2509888"/>
            <wp:docPr id="9" name="Picture 9"/>
            <wp:cNvGraphicFramePr>
              <a:graphicFrameLocks noChangeAspect="1"/>
            </wp:cNvGraphicFramePr>
            <a:graphic>
              <a:graphicData uri="http://schemas.openxmlformats.org/drawingml/2006/picture">
                <pic:pic>
                  <pic:nvPicPr>
                    <pic:cNvPr id="0" name="f4_cm_mlp3.png"/>
                    <pic:cNvPicPr/>
                  </pic:nvPicPr>
                  <pic:blipFill>
                    <a:blip r:embed="rId17"/>
                    <a:stretch>
                      <a:fillRect/>
                    </a:stretch>
                  </pic:blipFill>
                  <pic:spPr>
                    <a:xfrm>
                      <a:off x="0" y="0"/>
                      <a:ext cx="3060000" cy="2509888"/>
                    </a:xfrm>
                    <a:prstGeom prst="rect"/>
                  </pic:spPr>
                </pic:pic>
              </a:graphicData>
            </a:graphic>
          </wp:inline>
        </w:drawing>
      </w:r>
    </w:p>
    <w:p>
      <w:pPr>
        <w:pStyle w:val="Caption2"/>
      </w:pPr>
      <w:r>
        <w:t>Figura 9. Matriz de confusión del modelo MLP 3 capas ocultas sobre el conjunto de prueba.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0A3B49"/>
          </w:tcPr>
          <w:p>
            <w:pPr>
              <w:jc w:val="center"/>
            </w:pPr>
            <w:r/>
            <w:r>
              <w:rPr>
                <w:rFonts w:ascii="Calibri" w:hAnsi="Calibri"/>
                <w:b/>
                <w:color w:val="FFFFFF"/>
                <w:sz w:val="20"/>
              </w:rPr>
            </w:r>
          </w:p>
        </w:tc>
        <w:tc>
          <w:tcPr>
            <w:tcW w:type="dxa" w:w="1814"/>
            <w:shd w:val="clear" w:color="auto" w:fill="0A3B49"/>
          </w:tcPr>
          <w:p>
            <w:pPr>
              <w:jc w:val="center"/>
            </w:pPr>
            <w:r/>
            <w:r>
              <w:rPr>
                <w:rFonts w:ascii="Calibri" w:hAnsi="Calibri"/>
                <w:b/>
                <w:color w:val="FFFFFF"/>
                <w:sz w:val="20"/>
              </w:rPr>
              <w:t>Pred. Low</w:t>
            </w:r>
          </w:p>
        </w:tc>
        <w:tc>
          <w:tcPr>
            <w:tcW w:type="dxa" w:w="1814"/>
            <w:shd w:val="clear" w:color="auto" w:fill="0A3B49"/>
          </w:tcPr>
          <w:p>
            <w:pPr>
              <w:jc w:val="center"/>
            </w:pPr>
            <w:r/>
            <w:r>
              <w:rPr>
                <w:rFonts w:ascii="Calibri" w:hAnsi="Calibri"/>
                <w:b/>
                <w:color w:val="FFFFFF"/>
                <w:sz w:val="20"/>
              </w:rPr>
              <w:t>Pred. Medium</w:t>
            </w:r>
          </w:p>
        </w:tc>
        <w:tc>
          <w:tcPr>
            <w:tcW w:type="dxa" w:w="1814"/>
            <w:shd w:val="clear" w:color="auto" w:fill="0A3B49"/>
          </w:tcPr>
          <w:p>
            <w:pPr>
              <w:jc w:val="center"/>
            </w:pPr>
            <w:r/>
            <w:r>
              <w:rPr>
                <w:rFonts w:ascii="Calibri" w:hAnsi="Calibri"/>
                <w:b/>
                <w:color w:val="FFFFFF"/>
                <w:sz w:val="20"/>
              </w:rPr>
              <w:t>Pred. High</w:t>
            </w:r>
          </w:p>
        </w:tc>
      </w:tr>
      <w:tr>
        <w:tc>
          <w:tcPr>
            <w:tcW w:type="dxa" w:w="1814"/>
          </w:tcPr>
          <w:p>
            <w:r/>
            <w:r>
              <w:rPr>
                <w:rFonts w:ascii="Calibri" w:hAnsi="Calibri"/>
                <w:b w:val="0"/>
                <w:sz w:val="20"/>
              </w:rPr>
              <w:t>Real Low</w:t>
            </w:r>
          </w:p>
        </w:tc>
        <w:tc>
          <w:tcPr>
            <w:tcW w:type="dxa" w:w="1814"/>
          </w:tcPr>
          <w:p>
            <w:pPr>
              <w:jc w:val="center"/>
            </w:pPr>
            <w:r/>
            <w:r>
              <w:rPr>
                <w:rFonts w:ascii="Calibri" w:hAnsi="Calibri"/>
                <w:b w:val="0"/>
                <w:sz w:val="20"/>
              </w:rPr>
              <w:t>148</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r>
      <w:tr>
        <w:tc>
          <w:tcPr>
            <w:tcW w:type="dxa" w:w="1814"/>
            <w:shd w:val="clear" w:color="auto" w:fill="F2F2F2"/>
          </w:tcPr>
          <w:p>
            <w:r/>
            <w:r>
              <w:rPr>
                <w:rFonts w:ascii="Calibri" w:hAnsi="Calibri"/>
                <w:b w:val="0"/>
                <w:sz w:val="20"/>
              </w:rPr>
              <w:t>Real Medium</w:t>
            </w:r>
          </w:p>
        </w:tc>
        <w:tc>
          <w:tcPr>
            <w:tcW w:type="dxa" w:w="1814"/>
            <w:shd w:val="clear" w:color="auto" w:fill="F2F2F2"/>
          </w:tcPr>
          <w:p>
            <w:pPr>
              <w:jc w:val="center"/>
            </w:pPr>
            <w:r/>
            <w:r>
              <w:rPr>
                <w:rFonts w:ascii="Calibri" w:hAnsi="Calibri"/>
                <w:b w:val="0"/>
                <w:sz w:val="20"/>
              </w:rPr>
              <w:t>1</w:t>
            </w:r>
          </w:p>
        </w:tc>
        <w:tc>
          <w:tcPr>
            <w:tcW w:type="dxa" w:w="1814"/>
            <w:shd w:val="clear" w:color="auto" w:fill="F2F2F2"/>
          </w:tcPr>
          <w:p>
            <w:pPr>
              <w:jc w:val="center"/>
            </w:pPr>
            <w:r/>
            <w:r>
              <w:rPr>
                <w:rFonts w:ascii="Calibri" w:hAnsi="Calibri"/>
                <w:b w:val="0"/>
                <w:sz w:val="20"/>
              </w:rPr>
              <w:t>299</w:t>
            </w:r>
          </w:p>
        </w:tc>
        <w:tc>
          <w:tcPr>
            <w:tcW w:type="dxa" w:w="1814"/>
            <w:shd w:val="clear" w:color="auto" w:fill="F2F2F2"/>
          </w:tcPr>
          <w:p>
            <w:pPr>
              <w:jc w:val="center"/>
            </w:pPr>
            <w:r/>
            <w:r>
              <w:rPr>
                <w:rFonts w:ascii="Calibri" w:hAnsi="Calibri"/>
                <w:b w:val="0"/>
                <w:sz w:val="20"/>
              </w:rPr>
              <w:t>4</w:t>
            </w:r>
          </w:p>
        </w:tc>
      </w:tr>
      <w:tr>
        <w:tc>
          <w:tcPr>
            <w:tcW w:type="dxa" w:w="1814"/>
          </w:tcPr>
          <w:p>
            <w:r/>
            <w:r>
              <w:rPr>
                <w:rFonts w:ascii="Calibri" w:hAnsi="Calibri"/>
                <w:b w:val="0"/>
                <w:sz w:val="20"/>
              </w:rPr>
              <w:t>Real High</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0</w:t>
            </w:r>
          </w:p>
        </w:tc>
        <w:tc>
          <w:tcPr>
            <w:tcW w:type="dxa" w:w="1814"/>
          </w:tcPr>
          <w:p>
            <w:pPr>
              <w:jc w:val="center"/>
            </w:pPr>
            <w:r/>
            <w:r>
              <w:rPr>
                <w:rFonts w:ascii="Calibri" w:hAnsi="Calibri"/>
                <w:b w:val="0"/>
                <w:sz w:val="20"/>
              </w:rPr>
              <w:t>148</w:t>
            </w:r>
          </w:p>
        </w:tc>
      </w:tr>
    </w:tbl>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0A3B49"/>
          </w:tcPr>
          <w:p>
            <w:pPr>
              <w:jc w:val="center"/>
            </w:pPr>
            <w:r/>
            <w:r>
              <w:rPr>
                <w:rFonts w:ascii="Calibri" w:hAnsi="Calibri"/>
                <w:b/>
                <w:color w:val="FFFFFF"/>
                <w:sz w:val="20"/>
              </w:rPr>
              <w:t>Accuracy</w:t>
            </w:r>
          </w:p>
        </w:tc>
        <w:tc>
          <w:tcPr>
            <w:tcW w:type="dxa" w:w="1814"/>
            <w:shd w:val="clear" w:color="auto" w:fill="0A3B49"/>
          </w:tcPr>
          <w:p>
            <w:pPr>
              <w:jc w:val="center"/>
            </w:pPr>
            <w:r/>
            <w:r>
              <w:rPr>
                <w:rFonts w:ascii="Calibri" w:hAnsi="Calibri"/>
                <w:b/>
                <w:color w:val="FFFFFF"/>
                <w:sz w:val="20"/>
              </w:rPr>
              <w:t>Precision (macro)</w:t>
            </w:r>
          </w:p>
        </w:tc>
        <w:tc>
          <w:tcPr>
            <w:tcW w:type="dxa" w:w="1814"/>
            <w:shd w:val="clear" w:color="auto" w:fill="0A3B49"/>
          </w:tcPr>
          <w:p>
            <w:pPr>
              <w:jc w:val="center"/>
            </w:pPr>
            <w:r/>
            <w:r>
              <w:rPr>
                <w:rFonts w:ascii="Calibri" w:hAnsi="Calibri"/>
                <w:b/>
                <w:color w:val="FFFFFF"/>
                <w:sz w:val="20"/>
              </w:rPr>
              <w:t>Recall (macro)</w:t>
            </w:r>
          </w:p>
        </w:tc>
        <w:tc>
          <w:tcPr>
            <w:tcW w:type="dxa" w:w="1814"/>
            <w:shd w:val="clear" w:color="auto" w:fill="0A3B49"/>
          </w:tcPr>
          <w:p>
            <w:pPr>
              <w:jc w:val="center"/>
            </w:pPr>
            <w:r/>
            <w:r>
              <w:rPr>
                <w:rFonts w:ascii="Calibri" w:hAnsi="Calibri"/>
                <w:b/>
                <w:color w:val="FFFFFF"/>
                <w:sz w:val="20"/>
              </w:rPr>
              <w:t>F1-score (macro)</w:t>
            </w:r>
          </w:p>
        </w:tc>
        <w:tc>
          <w:tcPr>
            <w:tcW w:type="dxa" w:w="1814"/>
            <w:shd w:val="clear" w:color="auto" w:fill="0A3B49"/>
          </w:tcPr>
          <w:p>
            <w:pPr>
              <w:jc w:val="center"/>
            </w:pPr>
            <w:r/>
            <w:r>
              <w:rPr>
                <w:rFonts w:ascii="Calibri" w:hAnsi="Calibri"/>
                <w:b/>
                <w:color w:val="FFFFFF"/>
                <w:sz w:val="20"/>
              </w:rPr>
              <w:t>ROC-AUC (macro OvR)</w:t>
            </w:r>
          </w:p>
        </w:tc>
      </w:tr>
      <w:tr>
        <w:tc>
          <w:tcPr>
            <w:tcW w:type="dxa" w:w="1814"/>
          </w:tcPr>
          <w:p>
            <w:r/>
            <w:r>
              <w:rPr>
                <w:rFonts w:ascii="Calibri" w:hAnsi="Calibri"/>
                <w:b w:val="0"/>
                <w:sz w:val="20"/>
              </w:rPr>
              <w:t>0,9917</w:t>
            </w:r>
          </w:p>
        </w:tc>
        <w:tc>
          <w:tcPr>
            <w:tcW w:type="dxa" w:w="1814"/>
          </w:tcPr>
          <w:p>
            <w:pPr>
              <w:jc w:val="center"/>
            </w:pPr>
            <w:r/>
            <w:r>
              <w:rPr>
                <w:rFonts w:ascii="Calibri" w:hAnsi="Calibri"/>
                <w:b w:val="0"/>
                <w:sz w:val="20"/>
              </w:rPr>
              <w:t>0,9890</w:t>
            </w:r>
          </w:p>
        </w:tc>
        <w:tc>
          <w:tcPr>
            <w:tcW w:type="dxa" w:w="1814"/>
          </w:tcPr>
          <w:p>
            <w:pPr>
              <w:jc w:val="center"/>
            </w:pPr>
            <w:r/>
            <w:r>
              <w:rPr>
                <w:rFonts w:ascii="Calibri" w:hAnsi="Calibri"/>
                <w:b w:val="0"/>
                <w:sz w:val="20"/>
              </w:rPr>
              <w:t>0,9945</w:t>
            </w:r>
          </w:p>
        </w:tc>
        <w:tc>
          <w:tcPr>
            <w:tcW w:type="dxa" w:w="1814"/>
          </w:tcPr>
          <w:p>
            <w:pPr>
              <w:jc w:val="center"/>
            </w:pPr>
            <w:r/>
            <w:r>
              <w:rPr>
                <w:rFonts w:ascii="Calibri" w:hAnsi="Calibri"/>
                <w:b w:val="0"/>
                <w:sz w:val="20"/>
              </w:rPr>
              <w:t>0,9917</w:t>
            </w:r>
          </w:p>
        </w:tc>
        <w:tc>
          <w:tcPr>
            <w:tcW w:type="dxa" w:w="1814"/>
          </w:tcPr>
          <w:p>
            <w:pPr>
              <w:jc w:val="center"/>
            </w:pPr>
            <w:r/>
            <w:r>
              <w:rPr>
                <w:rFonts w:ascii="Calibri" w:hAnsi="Calibri"/>
                <w:b w:val="0"/>
                <w:sz w:val="20"/>
              </w:rPr>
              <w:t>0,9960</w:t>
            </w:r>
          </w:p>
        </w:tc>
      </w:tr>
    </w:tbl>
    <w:p>
      <w:pPr>
        <w:spacing w:after="40"/>
      </w:pPr>
    </w:p>
    <w:p>
      <w:pPr>
        <w:pStyle w:val="Heading1"/>
      </w:pPr>
      <w:r>
        <w:t>V. Interpretación del desempeño del modelo</w:t>
      </w:r>
    </w:p>
    <w:p>
      <w:r>
        <w:rPr>
          <w:b w:val="0"/>
          <w:i w:val="0"/>
        </w:rPr>
        <w:t>La lectura del desempeño de los siete modelos debe integrar tanto las métricas globales de la sección III como los tipos de error evidenciados por cada matriz de confusión de la sección IV, ya que un modelo puede exhibir buenos resultados globales y, aun así, cometer errores sistemáticos en una frontera específica entre clases (Ruete, 2026a).</w:t>
      </w:r>
    </w:p>
    <w:p>
      <w:pPr>
        <w:pStyle w:val="Heading2"/>
      </w:pPr>
      <w:r>
        <w:t>5.1 Interpretación por modelo</w:t>
      </w:r>
    </w:p>
    <w:p>
      <w:pPr>
        <w:pStyle w:val="ListBullet"/>
      </w:pPr>
      <w:r>
        <w:t>KNN, SVM y MLP 1 capa oculta obtienen resultados idénticos: 148/148 aciertos en Low, 148/148 en High y 300/304 en Medium (4 casos Medium clasificados como High). No presentan ningún error en las clases Low o High, ni confusión alguna entre los dos extremos del riesgo.</w:t>
      </w:r>
    </w:p>
    <w:p>
      <w:pPr>
        <w:pStyle w:val="ListBullet"/>
      </w:pPr>
      <w:r>
        <w:t>El Árbol de Decisión es, con amplio margen, el modelo con peor desempeño: solo identifica correctamente 25 de 148 cargos High (recall = 0,17), clasificando erróneamente 123 de ellos como Medium. Además, 37 de 148 cargos Low son clasificados como Medium. Su alta precision (0,96 para High) contrasta con un recall extremadamente bajo, evidenciando que el árbol prioriza no cometer falsos positivos de High a costa de omitir la gran mayoría de los casos reales de esa clase.</w:t>
      </w:r>
    </w:p>
    <w:p>
      <w:pPr>
        <w:pStyle w:val="ListBullet"/>
      </w:pPr>
      <w:r>
        <w:t>Naive Bayes es el único modelo que confunde los dos extremos del espectro de riesgo: 37 de 148 cargos reales Low son clasificados como High (y ninguno como Medium), a pesar de mantener un ROC-AUC alto (0,9832). Esto sugiere que, aunque el modelo ordena razonablemente bien las probabilidades, su umbral de decisión por defecto comete errores conceptualmente más graves que los del MLP campeón.</w:t>
      </w:r>
    </w:p>
    <w:p>
      <w:pPr>
        <w:pStyle w:val="ListBullet"/>
      </w:pPr>
      <w:r>
        <w:t>El MLP de dos capas ocultas es el único modelo que comete errores en la clase Low (4 de 148, repartidos en 2 hacia Medium y 2 hacia High), aunque mantiene el más alto ROC-AUC del conjunto (0,9980) y cero errores en High.</w:t>
      </w:r>
    </w:p>
    <w:p>
      <w:pPr>
        <w:pStyle w:val="ListBullet"/>
      </w:pPr>
      <w:r>
        <w:t>El MLP de tres capas ocultas concentra sus 5 errores en la clase Medium (1 hacia Low, 4 hacia High), un patrón muy similar al del modelo campeón pero con un error adicional.</w:t>
      </w:r>
    </w:p>
    <w:p>
      <w:pPr>
        <w:pStyle w:val="Heading2"/>
      </w:pPr>
      <w:r>
        <w:t>5.2 Fortalezas y limitaciones observadas</w:t>
      </w:r>
    </w:p>
    <w:p>
      <w:pPr>
        <w:pStyle w:val="ListBullet"/>
      </w:pPr>
      <w:r>
        <w:t>El mejor desempeño puntual sobre el Hold-Out se reparte en un triple empate exacto entre KNN, SVM y MLP de una capa oculta; el modelo mantenido como campeón —y el único validado formalmente mediante K-Fold en este informe— es el MLP de una capa oculta, por continuidad con la decisión de modelamiento adoptada en la Fase 3.</w:t>
      </w:r>
    </w:p>
    <w:p>
      <w:pPr>
        <w:pStyle w:val="ListBullet"/>
      </w:pPr>
      <w:r>
        <w:t>SVM es la alternativa más sólida entre los modelos tradicionales: iguala al MLP campeón en las cuatro métricas de clase y lo supera levemente en ROC-AUC (0,9986 vs. 0,9969), aunque a costa de un mayor costo computacional de entrenamiento e inferencia (SVC con probability=True) y de una calibración adicional de probabilidades.</w:t>
      </w:r>
    </w:p>
    <w:p>
      <w:pPr>
        <w:pStyle w:val="ListBullet"/>
      </w:pPr>
      <w:r>
        <w:t>Naive Bayes presenta un ROC-AUC competitivo, pero su error de confundir Low con High —el par de clases más alejado y más costoso de confundir para el negocio— lo descarta como candidato principal pese a su simplicidad.</w:t>
      </w:r>
    </w:p>
    <w:p>
      <w:pPr>
        <w:pStyle w:val="ListBullet"/>
      </w:pPr>
      <w:r>
        <w:t>El Árbol de Decisión queda claramente descartado como candidato: su bajo recall en la clase High (0,17) es inaceptable para un caso de uso cuyo objetivo central es identificar sin omisiones los cargos de mayor riesgo.</w:t>
      </w:r>
    </w:p>
    <w:p>
      <w:pPr>
        <w:pStyle w:val="ListBullet"/>
      </w:pPr>
      <w:r>
        <w:t>Los modelos MLP de dos y tres capas no superan al de una capa oculta en ninguna métrica de clase, reforzando la conclusión ya obtenida en la Fase 3: para este problema, casi linealmente separable una vez incorporado Job_Title, la profundidad adicional no aporta una mejora sistemática (Goodfellow et al., 2016, citado en F3_RedesNeuronales.ipynb).</w:t>
      </w:r>
    </w:p>
    <w:p>
      <w:pPr>
        <w:pStyle w:val="Heading1"/>
      </w:pPr>
      <w:r>
        <w:t>VI. Interpretación para toma de decisiones</w:t>
      </w:r>
    </w:p>
    <w:p>
      <w:r>
        <w:rPr>
          <w:b w:val="0"/>
          <w:i w:val="0"/>
        </w:rPr>
        <w:t>La utilidad del modelo depende del tipo de decisión que se busque apoyar. En este caso, el modelo campeón —MLP de una capa oculta— permite a NextWork Advisory clasificar sistemáticamente los cargos de sus clientes según su riesgo de automatización, reemplazando el criterio manual y subjetivo de los consultores descrito en la Fase 1 (sección 1.2).</w:t>
      </w:r>
    </w:p>
    <w:p>
      <w:r>
        <w:rPr>
          <w:b w:val="0"/>
          <w:i w:val="0"/>
        </w:rPr>
        <w:t>Como conclusión para la toma de decisiones, se recomienda mantener el MLP de una capa oculta como modelo de referencia, por dos razones: continuidad con la decisión de modelamiento ya adoptada y validada en la Fase 3, y porque ningún modelo tradicional demostró una ventaja real sobre él en la comparación de las secciones III y IV —KNN y SVM solo lo igualan, y SVM lo supera únicamente en ROC-AUC por un margen marginal de 0,0017—.</w:t>
      </w:r>
    </w:p>
    <w:p>
      <w:r>
        <w:rPr>
          <w:b w:val="0"/>
          <w:i w:val="0"/>
        </w:rPr>
        <w:t>El principal riesgo del modelo campeón es acotado y de dirección conocida: la totalidad de sus 4 errores sobre 600 observaciones corresponde a cargos reales Medium clasificados como High (falsos positivos de High). No se registra ningún error en el sentido opuesto —un cargo real High clasificado como Medium o Low— ni ninguna confusión entre los dos extremos del riesgo. Desde la perspectiva de negocio, este es el error menos costoso de los dos posibles en esa frontera: sobreestimar el riesgo de un cargo Medium lleva, en el peor caso, a invertir recursos de recapacitación en un cargo que los necesitaba en menor medida, mientras que subestimar un cargo realmente High dejaría sin la prioridad requerida a un cargo de alto riesgo real.</w:t>
      </w:r>
    </w:p>
    <w:p>
      <w:pPr>
        <w:pStyle w:val="ListBullet"/>
      </w:pPr>
      <w:r>
        <w:t>Decisiones de negocio que el modelo puede apoyar de forma confiable: priorización de cartera de clientes para inversión en reskilling; identificación sistemática de cargos de riesgo High (recall = 1,00, sin omisiones observadas en el conjunto de prueba); primera línea de clasificación automatizada, liberando tiempo de consultores para casos límite.</w:t>
      </w:r>
    </w:p>
    <w:p>
      <w:pPr>
        <w:pStyle w:val="ListBullet"/>
      </w:pPr>
      <w:r>
        <w:t>Riesgos identificados: el desempeño observado depende de que Job_Title sea casi determinístico en este dataset simulado (Fase 3, sección 5.2); con datos reales de clientes, una relación cargo-riesgo más ruidosa podría reducir el desempeño reportado en este informe.</w:t>
      </w:r>
    </w:p>
    <w:p>
      <w:pPr>
        <w:pStyle w:val="ListBullet"/>
      </w:pPr>
      <w:r>
        <w:t>Condición de uso recomendada: tratar las predicciones Medium y High con probabilidad estimada cercana al umbral de decisión (obtenible mediante predict_proba) como candidatas a revisión manual por un consultor, reservando la automatización plena para los casos de alta confianza —en particular, toda predicción Low, clase en la que el modelo campeón no cometió ningún error—.</w:t>
      </w:r>
    </w:p>
    <w:p>
      <w:pPr>
        <w:pStyle w:val="Heading1"/>
      </w:pPr>
      <w:r>
        <w:t>VII. Notebook y trazabilidad del proceso de evaluación del modelo</w:t>
      </w:r>
    </w:p>
    <w:p>
      <w:r>
        <w:rPr>
          <w:b w:val="0"/>
          <w:i w:val="0"/>
        </w:rPr>
        <w:t>El notebook constituye la evidencia técnica del proceso de evaluación desarrollado para esta fase. El archivo de código fuente corresponde a notebooks/F4_EvaluacionValidacion.ipynb, ejecutado de forma secuencial de principio a fin, e integra las Fases 1 a 3 del proyecto: reutiliza el mismo dataset, la misma variable objetivo y el mismo criterio de preparación de variables validado previamente (Pedregosa et al., 2011).</w:t>
      </w:r>
    </w:p>
    <w:p>
      <w:pPr>
        <w:pStyle w:val="ListBullet"/>
      </w:pPr>
      <w:r>
        <w:t>Sección 1-2: contexto de la Fase 4 e importación de librerías (scikit-learn, pandas, matplotlib, seaborn).</w:t>
      </w:r>
    </w:p>
    <w:p>
      <w:pPr>
        <w:pStyle w:val="ListBullet"/>
      </w:pPr>
      <w:r>
        <w:t>Sección 3: carga del dataset, preparación de variables (codificación ordinal y dummy) y partición Hold-Out 80/20 estratificada con escalado StandardScaler.</w:t>
      </w:r>
    </w:p>
    <w:p>
      <w:pPr>
        <w:pStyle w:val="ListBullet"/>
      </w:pPr>
      <w:r>
        <w:t>Sección 4: entrenamiento y evaluación de los cuatro modelos tradicionales (KNN, Árbol de Decisión, SVM, Naive Bayes).</w:t>
      </w:r>
    </w:p>
    <w:p>
      <w:pPr>
        <w:pStyle w:val="ListBullet"/>
      </w:pPr>
      <w:r>
        <w:t>Sección 5: entrenamiento y evaluación de las tres arquitecturas de red neuronal (MLP 1, 2 y 3 capas ocultas), retomadas de la Fase 3.</w:t>
      </w:r>
    </w:p>
    <w:p>
      <w:pPr>
        <w:pStyle w:val="ListBullet"/>
      </w:pPr>
      <w:r>
        <w:t>Sección 6: reporte tabulado comparativo de las cinco métricas del RA4 para los siete modelos.</w:t>
      </w:r>
    </w:p>
    <w:p>
      <w:pPr>
        <w:pStyle w:val="ListBullet"/>
      </w:pPr>
      <w:r>
        <w:t>Sección 7: selección del modelo campeón, matriz de confusión, reporte de clasificación y curvas ROC One-vs-Rest.</w:t>
      </w:r>
    </w:p>
    <w:p>
      <w:pPr>
        <w:pStyle w:val="ListBullet"/>
      </w:pPr>
      <w:r>
        <w:t>Sección 8: validación cruzada K-Fold (k=5) del modelo campeón, con reporte de estabilidad por fold.</w:t>
      </w:r>
    </w:p>
    <w:p>
      <w:pPr>
        <w:pStyle w:val="ListBullet"/>
      </w:pPr>
      <w:r>
        <w:t>Sección 9-10: justificación de la técnica de validación y análisis de coherencia metodológica.</w:t>
      </w:r>
    </w:p>
    <w:p>
      <w:pPr>
        <w:pStyle w:val="ListBullet"/>
      </w:pPr>
      <w:r>
        <w:t>Sección 11-12: conclusiones técnicas y referencias.</w:t>
      </w:r>
    </w:p>
    <w:p>
      <w:pPr>
        <w:pStyle w:val="Heading2"/>
      </w:pPr>
      <w:r>
        <w:t>7.1 Evidencia de código fuente</w:t>
      </w:r>
    </w:p>
    <w:p>
      <w:r>
        <w:rPr>
          <w:b w:val="0"/>
          <w:i w:val="0"/>
        </w:rPr>
        <w:t>Función auxiliar utilizada para calcular el conjunto completo de métricas exigidas por el RA4 sobre cada modelo:</w:t>
      </w:r>
    </w:p>
    <w:p>
      <w:pPr>
        <w:pStyle w:val="CodeBlock"/>
        <w:shd w:val="clear" w:color="auto" w:fill="F2F2F2"/>
      </w:pPr>
      <w:r>
        <w:t>def evaluar_modelo(nombre, modelo, X_eval, y_eval):</w:t>
        <w:br/>
      </w:r>
      <w:r>
        <w:t xml:space="preserve">    y_pred = modelo.predict(X_eval)</w:t>
        <w:br/>
      </w:r>
      <w:r>
        <w:t xml:space="preserve">    y_score = modelo.predict_proba(X_eval)</w:t>
        <w:br/>
      </w:r>
      <w:r>
        <w:t xml:space="preserve">    y_eval_bin = label_binarize(y_eval, classes=modelo.classes_)</w:t>
        <w:br/>
      </w:r>
      <w:r>
        <w:br/>
      </w:r>
      <w:r>
        <w:t xml:space="preserve">    metricas = {</w:t>
        <w:br/>
      </w:r>
      <w:r>
        <w:t xml:space="preserve">        "Modelo": nombre,</w:t>
        <w:br/>
      </w:r>
      <w:r>
        <w:t xml:space="preserve">        "Accuracy": accuracy_score(y_eval, y_pred),</w:t>
        <w:br/>
      </w:r>
      <w:r>
        <w:t xml:space="preserve">        "Precision (macro)": precision_score(y_eval, y_pred, average="macro"),</w:t>
        <w:br/>
      </w:r>
      <w:r>
        <w:t xml:space="preserve">        "Recall (macro)": recall_score(y_eval, y_pred, average="macro"),</w:t>
        <w:br/>
      </w:r>
      <w:r>
        <w:t xml:space="preserve">        "F1-score (macro)": f1_score(y_eval, y_pred, average="macro"),</w:t>
        <w:br/>
      </w:r>
      <w:r>
        <w:t xml:space="preserve">        "ROC-AUC (macro OvR)": roc_auc_score(y_eval_bin, y_score,</w:t>
        <w:br/>
      </w:r>
      <w:r>
        <w:t xml:space="preserve">                                              average="macro", multi_class="ovr"),</w:t>
        <w:br/>
      </w:r>
      <w:r>
        <w:t xml:space="preserve">    }</w:t>
        <w:br/>
      </w:r>
      <w:r>
        <w:t xml:space="preserve">    cm = confusion_matrix(y_eval, y_pred, labels=CLASES)</w:t>
        <w:br/>
      </w:r>
      <w:r>
        <w:t xml:space="preserve">    ...</w:t>
      </w:r>
    </w:p>
    <w:p>
      <w:r>
        <w:rPr>
          <w:b w:val="0"/>
          <w:i w:val="0"/>
        </w:rPr>
        <w:t>Entrenamiento del modelo campeón, retomado de la Fase 3 con idénticos hiperparámetros:</w:t>
      </w:r>
    </w:p>
    <w:p>
      <w:pPr>
        <w:pStyle w:val="CodeBlock"/>
        <w:shd w:val="clear" w:color="auto" w:fill="F2F2F2"/>
      </w:pPr>
      <w:r>
        <w:t>mlp_1capa = MLPClassifier(</w:t>
        <w:br/>
      </w:r>
      <w:r>
        <w:t xml:space="preserve">    hidden_layer_sizes=(32,), activation="relu", solver="adam",</w:t>
        <w:br/>
      </w:r>
      <w:r>
        <w:t xml:space="preserve">    alpha=0.001, max_iter=1000, random_state=RANDOM_STATE, early_stopping=True,</w:t>
        <w:br/>
      </w:r>
      <w:r>
        <w:t>)</w:t>
        <w:br/>
      </w:r>
      <w:r>
        <w:t>mlp_1capa.fit(X_train_scaled, y_train)</w:t>
      </w:r>
    </w:p>
    <w:p>
      <w:pPr>
        <w:pStyle w:val="Heading2"/>
      </w:pPr>
      <w:r>
        <w:t>7.2 Correspondencia con el repositorio del proyecto</w:t>
      </w:r>
    </w:p>
    <w:tbl>
      <w:tblPr>
        <w:tblStyle w:val="TableGrid"/>
        <w:tblW w:type="auto" w:w="0"/>
        <w:jc w:val="center"/>
        <w:tblLook w:firstColumn="1" w:firstRow="1" w:lastColumn="0" w:lastRow="0" w:noHBand="0" w:noVBand="1" w:val="04A0"/>
      </w:tblPr>
      <w:tblGrid>
        <w:gridCol w:w="4703"/>
        <w:gridCol w:w="4703"/>
      </w:tblGrid>
      <w:tr>
        <w:tc>
          <w:tcPr>
            <w:tcW w:type="dxa" w:w="3685"/>
            <w:shd w:val="clear" w:color="auto" w:fill="0A3B49"/>
          </w:tcPr>
          <w:p>
            <w:pPr>
              <w:jc w:val="center"/>
            </w:pPr>
            <w:r/>
            <w:r>
              <w:rPr>
                <w:rFonts w:ascii="Calibri" w:hAnsi="Calibri"/>
                <w:b/>
                <w:color w:val="FFFFFF"/>
                <w:sz w:val="20"/>
              </w:rPr>
              <w:t>Elemento del repositorio</w:t>
            </w:r>
          </w:p>
        </w:tc>
        <w:tc>
          <w:tcPr>
            <w:tcW w:type="dxa" w:w="5386"/>
            <w:shd w:val="clear" w:color="auto" w:fill="0A3B49"/>
          </w:tcPr>
          <w:p>
            <w:pPr>
              <w:jc w:val="center"/>
            </w:pPr>
            <w:r/>
            <w:r>
              <w:rPr>
                <w:rFonts w:ascii="Calibri" w:hAnsi="Calibri"/>
                <w:b/>
                <w:color w:val="FFFFFF"/>
                <w:sz w:val="20"/>
              </w:rPr>
              <w:t>Descripción</w:t>
            </w:r>
          </w:p>
        </w:tc>
      </w:tr>
      <w:tr>
        <w:tc>
          <w:tcPr>
            <w:tcW w:type="dxa" w:w="3685"/>
          </w:tcPr>
          <w:p>
            <w:r/>
            <w:r>
              <w:rPr>
                <w:rFonts w:ascii="Calibri" w:hAnsi="Calibri"/>
                <w:b w:val="0"/>
                <w:sz w:val="20"/>
              </w:rPr>
              <w:t>notebooks/F4_EvaluacionValidacion.ipynb</w:t>
            </w:r>
          </w:p>
        </w:tc>
        <w:tc>
          <w:tcPr>
            <w:tcW w:type="dxa" w:w="5386"/>
          </w:tcPr>
          <w:p>
            <w:pPr>
              <w:jc w:val="center"/>
            </w:pPr>
            <w:r/>
            <w:r>
              <w:rPr>
                <w:rFonts w:ascii="Calibri" w:hAnsi="Calibri"/>
                <w:b w:val="0"/>
                <w:sz w:val="20"/>
              </w:rPr>
              <w:t>Notebook ejecutable con el código fuente completo de esta fase.</w:t>
            </w:r>
          </w:p>
        </w:tc>
      </w:tr>
      <w:tr>
        <w:tc>
          <w:tcPr>
            <w:tcW w:type="dxa" w:w="3685"/>
            <w:shd w:val="clear" w:color="auto" w:fill="F2F2F2"/>
          </w:tcPr>
          <w:p>
            <w:r/>
            <w:r>
              <w:rPr>
                <w:rFonts w:ascii="Calibri" w:hAnsi="Calibri"/>
                <w:b w:val="0"/>
                <w:sz w:val="20"/>
              </w:rPr>
              <w:t>notebooks/F1_Definicion.ipynb, F2_Regresion.ipynb, F3_RedesNeuronales.ipynb</w:t>
            </w:r>
          </w:p>
        </w:tc>
        <w:tc>
          <w:tcPr>
            <w:tcW w:type="dxa" w:w="5386"/>
            <w:shd w:val="clear" w:color="auto" w:fill="F2F2F2"/>
          </w:tcPr>
          <w:p>
            <w:pPr>
              <w:jc w:val="center"/>
            </w:pPr>
            <w:r/>
            <w:r>
              <w:rPr>
                <w:rFonts w:ascii="Calibri" w:hAnsi="Calibri"/>
                <w:b w:val="0"/>
                <w:sz w:val="20"/>
              </w:rPr>
              <w:t>Notebooks de las fases previas del proyecto, de las cuales esta fase reutiliza dataset, variable objetivo y modelo campeón.</w:t>
            </w:r>
          </w:p>
        </w:tc>
      </w:tr>
      <w:tr>
        <w:tc>
          <w:tcPr>
            <w:tcW w:type="dxa" w:w="3685"/>
          </w:tcPr>
          <w:p>
            <w:r/>
            <w:r>
              <w:rPr>
                <w:rFonts w:ascii="Calibri" w:hAnsi="Calibri"/>
                <w:b w:val="0"/>
                <w:sz w:val="20"/>
              </w:rPr>
              <w:t>figures/f4_*.png</w:t>
            </w:r>
          </w:p>
        </w:tc>
        <w:tc>
          <w:tcPr>
            <w:tcW w:type="dxa" w:w="5386"/>
          </w:tcPr>
          <w:p>
            <w:pPr>
              <w:jc w:val="center"/>
            </w:pPr>
            <w:r/>
            <w:r>
              <w:rPr>
                <w:rFonts w:ascii="Calibri" w:hAnsi="Calibri"/>
                <w:b w:val="0"/>
                <w:sz w:val="20"/>
              </w:rPr>
              <w:t>Matrices de confusión, gráficos comparativos, curvas ROC y gráficos de estabilidad K-Fold generados por el notebook de esta fase.</w:t>
            </w:r>
          </w:p>
        </w:tc>
      </w:tr>
      <w:tr>
        <w:tc>
          <w:tcPr>
            <w:tcW w:type="dxa" w:w="3685"/>
            <w:shd w:val="clear" w:color="auto" w:fill="F2F2F2"/>
          </w:tcPr>
          <w:p>
            <w:r/>
            <w:r>
              <w:rPr>
                <w:rFonts w:ascii="Calibri" w:hAnsi="Calibri"/>
                <w:b w:val="0"/>
                <w:sz w:val="20"/>
              </w:rPr>
              <w:t>data/AI_Impact_on_Jobs_2030.csv</w:t>
            </w:r>
          </w:p>
        </w:tc>
        <w:tc>
          <w:tcPr>
            <w:tcW w:type="dxa" w:w="5386"/>
            <w:shd w:val="clear" w:color="auto" w:fill="F2F2F2"/>
          </w:tcPr>
          <w:p>
            <w:pPr>
              <w:jc w:val="center"/>
            </w:pPr>
            <w:r/>
            <w:r>
              <w:rPr>
                <w:rFonts w:ascii="Calibri" w:hAnsi="Calibri"/>
                <w:b w:val="0"/>
                <w:sz w:val="20"/>
              </w:rPr>
              <w:t>Dataset AI Impact on Jobs 2030 utilizado en las cuatro fases del proyecto.</w:t>
            </w:r>
          </w:p>
        </w:tc>
      </w:tr>
      <w:tr>
        <w:tc>
          <w:tcPr>
            <w:tcW w:type="dxa" w:w="3685"/>
          </w:tcPr>
          <w:p>
            <w:r/>
            <w:r>
              <w:rPr>
                <w:rFonts w:ascii="Calibri" w:hAnsi="Calibri"/>
                <w:b w:val="0"/>
                <w:sz w:val="20"/>
              </w:rPr>
              <w:t>MCDI504_S4_2_GRUPO5.docx / .pdf</w:t>
            </w:r>
          </w:p>
        </w:tc>
        <w:tc>
          <w:tcPr>
            <w:tcW w:type="dxa" w:w="5386"/>
          </w:tcPr>
          <w:p>
            <w:pPr>
              <w:jc w:val="center"/>
            </w:pPr>
            <w:r/>
            <w:r>
              <w:rPr>
                <w:rFonts w:ascii="Calibri" w:hAnsi="Calibri"/>
                <w:b w:val="0"/>
                <w:sz w:val="20"/>
              </w:rPr>
              <w:t>Presente informe final de la Fase 4.</w:t>
            </w:r>
          </w:p>
        </w:tc>
      </w:tr>
    </w:tbl>
    <w:p>
      <w:pPr>
        <w:spacing w:after="40"/>
      </w:pPr>
    </w:p>
    <w:p>
      <w:pPr>
        <w:pStyle w:val="Heading1"/>
      </w:pPr>
      <w:r>
        <w:t>VIII. Conclusiones técnicas del desempeño del modelo</w:t>
      </w:r>
    </w:p>
    <w:p>
      <w:r>
        <w:rPr>
          <w:b w:val="0"/>
          <w:i w:val="0"/>
        </w:rPr>
        <w:t>La evaluación de desempeño muestra que los siete modelos no tienen un comportamiento equivalente: el Árbol de Decisión presenta el desempeño más bajo, con un recall crítico de 0,17 para la clase High; Naive Bayes, pese a un ROC-AUC alto, comete el único error de confusión entre los extremos Low y High del conjunto; y KNN, SVM y las tres arquitecturas de MLP concentran el mejor desempeño, con un triple empate exacto entre KNN, SVM y el MLP de una capa oculta en las cuatro métricas basadas en la clase predicha.</w:t>
      </w:r>
    </w:p>
    <w:p>
      <w:r>
        <w:rPr>
          <w:b w:val="0"/>
          <w:i w:val="0"/>
        </w:rPr>
        <w:t>Para el cierre técnico de esta sección, se mantiene el MLP de una capa oculta como modelo de referencia, dado que la comparación con modelos tradicionales (secciones III-V) confirma —sin revertir— la decisión de modelamiento adoptada en la Fase 3: ningún modelo tradicional lo supera en las métricas de clase, y solo SVM lo iguala con una ventaja marginal en ROC-AUC.</w:t>
      </w:r>
    </w:p>
    <w:p>
      <w:r>
        <w:rPr>
          <w:b w:val="0"/>
          <w:i w:val="0"/>
        </w:rPr>
        <w:t>La condición técnica más relevante observada es que el 100% de los errores del modelo campeón (4 de 600 observaciones) corresponde a un único patrón: cargos reales Medium clasificados como High, sin ningún error en sentido contrario ni entre los extremos del riesgo. Si el objetivo prioritario de NextWork Advisory fuera minimizar por completo la sobreestimación de riesgo en cargos Medium, el modelo debería complementarse con una regla de revisión manual para los casos con probabilidad estimada cercana al umbral de decisión entre Medium y High, tal como se recomendó en la sección VI.</w:t>
      </w:r>
    </w:p>
    <w:p>
      <w:pPr>
        <w:pStyle w:val="Heading1"/>
      </w:pPr>
      <w:r>
        <w:t>IX. Reporte tabulado e interpretación de estabilidad de métricas</w:t>
      </w:r>
    </w:p>
    <w:p>
      <w:r>
        <w:rPr>
          <w:b w:val="0"/>
          <w:i w:val="0"/>
        </w:rPr>
        <w:t>La estabilidad de las métricas del modelo campeón se analiza mediante validación cruzada K-Fold (k=5), aplicada sobre el conjunto de entrenamiento (2.400 observaciones) utilizado en la evaluación Hold-Out de las secciones III-VIII. El material teórico del curso indica que K-Fold divide los datos en k particiones (folds) de tamaño aproximadamente igual, entrena el modelo k veces —cada vez usando k-1 folds para entrenar y el fold restante para validar— y permite así estimar tanto el nivel como la variabilidad del desempeño del modelo, en lugar de depender de una única partición (Ruete, 2026b). En este informe, el modelo campeón se reentrena por completo en cada fold (mediante clone()), evitando así que la estimación de estabilidad se contamine con información ya vista durante el ajuste original sobre el Hold-Out.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val="clear" w:color="auto" w:fill="0A3B49"/>
          </w:tcPr>
          <w:p>
            <w:pPr>
              <w:jc w:val="center"/>
            </w:pPr>
            <w:r/>
            <w:r>
              <w:rPr>
                <w:rFonts w:ascii="Calibri" w:hAnsi="Calibri"/>
                <w:b/>
                <w:color w:val="FFFFFF"/>
                <w:sz w:val="20"/>
              </w:rPr>
              <w:t>Fold</w:t>
            </w:r>
          </w:p>
        </w:tc>
        <w:tc>
          <w:tcPr>
            <w:tcW w:type="dxa" w:w="1928"/>
            <w:shd w:val="clear" w:color="auto" w:fill="0A3B49"/>
          </w:tcPr>
          <w:p>
            <w:pPr>
              <w:jc w:val="center"/>
            </w:pPr>
            <w:r/>
            <w:r>
              <w:rPr>
                <w:rFonts w:ascii="Calibri" w:hAnsi="Calibri"/>
                <w:b/>
                <w:color w:val="FFFFFF"/>
                <w:sz w:val="20"/>
              </w:rPr>
              <w:t>Accuracy</w:t>
            </w:r>
          </w:p>
        </w:tc>
        <w:tc>
          <w:tcPr>
            <w:tcW w:type="dxa" w:w="1928"/>
            <w:shd w:val="clear" w:color="auto" w:fill="0A3B49"/>
          </w:tcPr>
          <w:p>
            <w:pPr>
              <w:jc w:val="center"/>
            </w:pPr>
            <w:r/>
            <w:r>
              <w:rPr>
                <w:rFonts w:ascii="Calibri" w:hAnsi="Calibri"/>
                <w:b/>
                <w:color w:val="FFFFFF"/>
                <w:sz w:val="20"/>
              </w:rPr>
              <w:t>Precision (macro)</w:t>
            </w:r>
          </w:p>
        </w:tc>
        <w:tc>
          <w:tcPr>
            <w:tcW w:type="dxa" w:w="1928"/>
            <w:shd w:val="clear" w:color="auto" w:fill="0A3B49"/>
          </w:tcPr>
          <w:p>
            <w:pPr>
              <w:jc w:val="center"/>
            </w:pPr>
            <w:r/>
            <w:r>
              <w:rPr>
                <w:rFonts w:ascii="Calibri" w:hAnsi="Calibri"/>
                <w:b/>
                <w:color w:val="FFFFFF"/>
                <w:sz w:val="20"/>
              </w:rPr>
              <w:t>Recall (macro)</w:t>
            </w:r>
          </w:p>
        </w:tc>
        <w:tc>
          <w:tcPr>
            <w:tcW w:type="dxa" w:w="1928"/>
            <w:shd w:val="clear" w:color="auto" w:fill="0A3B49"/>
          </w:tcPr>
          <w:p>
            <w:pPr>
              <w:jc w:val="center"/>
            </w:pPr>
            <w:r/>
            <w:r>
              <w:rPr>
                <w:rFonts w:ascii="Calibri" w:hAnsi="Calibri"/>
                <w:b/>
                <w:color w:val="FFFFFF"/>
                <w:sz w:val="20"/>
              </w:rPr>
              <w:t>F1-score (macro)</w:t>
            </w:r>
          </w:p>
        </w:tc>
      </w:tr>
      <w:tr>
        <w:tc>
          <w:tcPr>
            <w:tcW w:type="dxa" w:w="1134"/>
          </w:tcPr>
          <w:p>
            <w:r/>
            <w:r>
              <w:rPr>
                <w:rFonts w:ascii="Calibri" w:hAnsi="Calibri"/>
                <w:b w:val="0"/>
                <w:sz w:val="20"/>
              </w:rPr>
              <w:t>1</w:t>
            </w:r>
          </w:p>
        </w:tc>
        <w:tc>
          <w:tcPr>
            <w:tcW w:type="dxa" w:w="1928"/>
          </w:tcPr>
          <w:p>
            <w:pPr>
              <w:jc w:val="center"/>
            </w:pPr>
            <w:r/>
            <w:r>
              <w:rPr>
                <w:rFonts w:ascii="Calibri" w:hAnsi="Calibri"/>
                <w:b w:val="0"/>
                <w:sz w:val="20"/>
              </w:rPr>
              <w:t>0,9750</w:t>
            </w:r>
          </w:p>
        </w:tc>
        <w:tc>
          <w:tcPr>
            <w:tcW w:type="dxa" w:w="1928"/>
          </w:tcPr>
          <w:p>
            <w:pPr>
              <w:jc w:val="center"/>
            </w:pPr>
            <w:r/>
            <w:r>
              <w:rPr>
                <w:rFonts w:ascii="Calibri" w:hAnsi="Calibri"/>
                <w:b w:val="0"/>
                <w:sz w:val="20"/>
              </w:rPr>
              <w:t>0,9775</w:t>
            </w:r>
          </w:p>
        </w:tc>
        <w:tc>
          <w:tcPr>
            <w:tcW w:type="dxa" w:w="1928"/>
          </w:tcPr>
          <w:p>
            <w:pPr>
              <w:jc w:val="center"/>
            </w:pPr>
            <w:r/>
            <w:r>
              <w:rPr>
                <w:rFonts w:ascii="Calibri" w:hAnsi="Calibri"/>
                <w:b w:val="0"/>
                <w:sz w:val="20"/>
              </w:rPr>
              <w:t>0,9668</w:t>
            </w:r>
          </w:p>
        </w:tc>
        <w:tc>
          <w:tcPr>
            <w:tcW w:type="dxa" w:w="1928"/>
          </w:tcPr>
          <w:p>
            <w:pPr>
              <w:jc w:val="center"/>
            </w:pPr>
            <w:r/>
            <w:r>
              <w:rPr>
                <w:rFonts w:ascii="Calibri" w:hAnsi="Calibri"/>
                <w:b w:val="0"/>
                <w:sz w:val="20"/>
              </w:rPr>
              <w:t>0,9713</w:t>
            </w:r>
          </w:p>
        </w:tc>
      </w:tr>
      <w:tr>
        <w:tc>
          <w:tcPr>
            <w:tcW w:type="dxa" w:w="1134"/>
            <w:shd w:val="clear" w:color="auto" w:fill="F2F2F2"/>
          </w:tcPr>
          <w:p>
            <w:r/>
            <w:r>
              <w:rPr>
                <w:rFonts w:ascii="Calibri" w:hAnsi="Calibri"/>
                <w:b w:val="0"/>
                <w:sz w:val="20"/>
              </w:rPr>
              <w:t>2</w:t>
            </w:r>
          </w:p>
        </w:tc>
        <w:tc>
          <w:tcPr>
            <w:tcW w:type="dxa" w:w="1928"/>
            <w:shd w:val="clear" w:color="auto" w:fill="F2F2F2"/>
          </w:tcPr>
          <w:p>
            <w:pPr>
              <w:jc w:val="center"/>
            </w:pPr>
            <w:r/>
            <w:r>
              <w:rPr>
                <w:rFonts w:ascii="Calibri" w:hAnsi="Calibri"/>
                <w:b w:val="0"/>
                <w:sz w:val="20"/>
              </w:rPr>
              <w:t>0,9875</w:t>
            </w:r>
          </w:p>
        </w:tc>
        <w:tc>
          <w:tcPr>
            <w:tcW w:type="dxa" w:w="1928"/>
            <w:shd w:val="clear" w:color="auto" w:fill="F2F2F2"/>
          </w:tcPr>
          <w:p>
            <w:pPr>
              <w:jc w:val="center"/>
            </w:pPr>
            <w:r/>
            <w:r>
              <w:rPr>
                <w:rFonts w:ascii="Calibri" w:hAnsi="Calibri"/>
                <w:b w:val="0"/>
                <w:sz w:val="20"/>
              </w:rPr>
              <w:t>0,9919</w:t>
            </w:r>
          </w:p>
        </w:tc>
        <w:tc>
          <w:tcPr>
            <w:tcW w:type="dxa" w:w="1928"/>
            <w:shd w:val="clear" w:color="auto" w:fill="F2F2F2"/>
          </w:tcPr>
          <w:p>
            <w:pPr>
              <w:jc w:val="center"/>
            </w:pPr>
            <w:r/>
            <w:r>
              <w:rPr>
                <w:rFonts w:ascii="Calibri" w:hAnsi="Calibri"/>
                <w:b w:val="0"/>
                <w:sz w:val="20"/>
              </w:rPr>
              <w:t>0,9839</w:t>
            </w:r>
          </w:p>
        </w:tc>
        <w:tc>
          <w:tcPr>
            <w:tcW w:type="dxa" w:w="1928"/>
            <w:shd w:val="clear" w:color="auto" w:fill="F2F2F2"/>
          </w:tcPr>
          <w:p>
            <w:pPr>
              <w:jc w:val="center"/>
            </w:pPr>
            <w:r/>
            <w:r>
              <w:rPr>
                <w:rFonts w:ascii="Calibri" w:hAnsi="Calibri"/>
                <w:b w:val="0"/>
                <w:sz w:val="20"/>
              </w:rPr>
              <w:t>0,9877</w:t>
            </w:r>
          </w:p>
        </w:tc>
      </w:tr>
      <w:tr>
        <w:tc>
          <w:tcPr>
            <w:tcW w:type="dxa" w:w="1134"/>
          </w:tcPr>
          <w:p>
            <w:r/>
            <w:r>
              <w:rPr>
                <w:rFonts w:ascii="Calibri" w:hAnsi="Calibri"/>
                <w:b w:val="0"/>
                <w:sz w:val="20"/>
              </w:rPr>
              <w:t>3</w:t>
            </w:r>
          </w:p>
        </w:tc>
        <w:tc>
          <w:tcPr>
            <w:tcW w:type="dxa" w:w="1928"/>
          </w:tcPr>
          <w:p>
            <w:pPr>
              <w:jc w:val="center"/>
            </w:pPr>
            <w:r/>
            <w:r>
              <w:rPr>
                <w:rFonts w:ascii="Calibri" w:hAnsi="Calibri"/>
                <w:b w:val="0"/>
                <w:sz w:val="20"/>
              </w:rPr>
              <w:t>0,9896</w:t>
            </w:r>
          </w:p>
        </w:tc>
        <w:tc>
          <w:tcPr>
            <w:tcW w:type="dxa" w:w="1928"/>
          </w:tcPr>
          <w:p>
            <w:pPr>
              <w:jc w:val="center"/>
            </w:pPr>
            <w:r/>
            <w:r>
              <w:rPr>
                <w:rFonts w:ascii="Calibri" w:hAnsi="Calibri"/>
                <w:b w:val="0"/>
                <w:sz w:val="20"/>
              </w:rPr>
              <w:t>0,9891</w:t>
            </w:r>
          </w:p>
        </w:tc>
        <w:tc>
          <w:tcPr>
            <w:tcW w:type="dxa" w:w="1928"/>
          </w:tcPr>
          <w:p>
            <w:pPr>
              <w:jc w:val="center"/>
            </w:pPr>
            <w:r/>
            <w:r>
              <w:rPr>
                <w:rFonts w:ascii="Calibri" w:hAnsi="Calibri"/>
                <w:b w:val="0"/>
                <w:sz w:val="20"/>
              </w:rPr>
              <w:t>0,9900</w:t>
            </w:r>
          </w:p>
        </w:tc>
        <w:tc>
          <w:tcPr>
            <w:tcW w:type="dxa" w:w="1928"/>
          </w:tcPr>
          <w:p>
            <w:pPr>
              <w:jc w:val="center"/>
            </w:pPr>
            <w:r/>
            <w:r>
              <w:rPr>
                <w:rFonts w:ascii="Calibri" w:hAnsi="Calibri"/>
                <w:b w:val="0"/>
                <w:sz w:val="20"/>
              </w:rPr>
              <w:t>0,9895</w:t>
            </w:r>
          </w:p>
        </w:tc>
      </w:tr>
      <w:tr>
        <w:tc>
          <w:tcPr>
            <w:tcW w:type="dxa" w:w="1134"/>
            <w:shd w:val="clear" w:color="auto" w:fill="F2F2F2"/>
          </w:tcPr>
          <w:p>
            <w:r/>
            <w:r>
              <w:rPr>
                <w:rFonts w:ascii="Calibri" w:hAnsi="Calibri"/>
                <w:b w:val="0"/>
                <w:sz w:val="20"/>
              </w:rPr>
              <w:t>4</w:t>
            </w:r>
          </w:p>
        </w:tc>
        <w:tc>
          <w:tcPr>
            <w:tcW w:type="dxa" w:w="1928"/>
            <w:shd w:val="clear" w:color="auto" w:fill="F2F2F2"/>
          </w:tcPr>
          <w:p>
            <w:pPr>
              <w:jc w:val="center"/>
            </w:pPr>
            <w:r/>
            <w:r>
              <w:rPr>
                <w:rFonts w:ascii="Calibri" w:hAnsi="Calibri"/>
                <w:b w:val="0"/>
                <w:sz w:val="20"/>
              </w:rPr>
              <w:t>0,9896</w:t>
            </w:r>
          </w:p>
        </w:tc>
        <w:tc>
          <w:tcPr>
            <w:tcW w:type="dxa" w:w="1928"/>
            <w:shd w:val="clear" w:color="auto" w:fill="F2F2F2"/>
          </w:tcPr>
          <w:p>
            <w:pPr>
              <w:jc w:val="center"/>
            </w:pPr>
            <w:r/>
            <w:r>
              <w:rPr>
                <w:rFonts w:ascii="Calibri" w:hAnsi="Calibri"/>
                <w:b w:val="0"/>
                <w:sz w:val="20"/>
              </w:rPr>
              <w:t>0,9916</w:t>
            </w:r>
          </w:p>
        </w:tc>
        <w:tc>
          <w:tcPr>
            <w:tcW w:type="dxa" w:w="1928"/>
            <w:shd w:val="clear" w:color="auto" w:fill="F2F2F2"/>
          </w:tcPr>
          <w:p>
            <w:pPr>
              <w:jc w:val="center"/>
            </w:pPr>
            <w:r/>
            <w:r>
              <w:rPr>
                <w:rFonts w:ascii="Calibri" w:hAnsi="Calibri"/>
                <w:b w:val="0"/>
                <w:sz w:val="20"/>
              </w:rPr>
              <w:t>0,9879</w:t>
            </w:r>
          </w:p>
        </w:tc>
        <w:tc>
          <w:tcPr>
            <w:tcW w:type="dxa" w:w="1928"/>
            <w:shd w:val="clear" w:color="auto" w:fill="F2F2F2"/>
          </w:tcPr>
          <w:p>
            <w:pPr>
              <w:jc w:val="center"/>
            </w:pPr>
            <w:r/>
            <w:r>
              <w:rPr>
                <w:rFonts w:ascii="Calibri" w:hAnsi="Calibri"/>
                <w:b w:val="0"/>
                <w:sz w:val="20"/>
              </w:rPr>
              <w:t>0,9897</w:t>
            </w:r>
          </w:p>
        </w:tc>
      </w:tr>
      <w:tr>
        <w:tc>
          <w:tcPr>
            <w:tcW w:type="dxa" w:w="1134"/>
          </w:tcPr>
          <w:p>
            <w:r/>
            <w:r>
              <w:rPr>
                <w:rFonts w:ascii="Calibri" w:hAnsi="Calibri"/>
                <w:b w:val="0"/>
                <w:sz w:val="20"/>
              </w:rPr>
              <w:t>5</w:t>
            </w:r>
          </w:p>
        </w:tc>
        <w:tc>
          <w:tcPr>
            <w:tcW w:type="dxa" w:w="1928"/>
          </w:tcPr>
          <w:p>
            <w:pPr>
              <w:jc w:val="center"/>
            </w:pPr>
            <w:r/>
            <w:r>
              <w:rPr>
                <w:rFonts w:ascii="Calibri" w:hAnsi="Calibri"/>
                <w:b w:val="0"/>
                <w:sz w:val="20"/>
              </w:rPr>
              <w:t>0,9875</w:t>
            </w:r>
          </w:p>
        </w:tc>
        <w:tc>
          <w:tcPr>
            <w:tcW w:type="dxa" w:w="1928"/>
          </w:tcPr>
          <w:p>
            <w:pPr>
              <w:jc w:val="center"/>
            </w:pPr>
            <w:r/>
            <w:r>
              <w:rPr>
                <w:rFonts w:ascii="Calibri" w:hAnsi="Calibri"/>
                <w:b w:val="0"/>
                <w:sz w:val="20"/>
              </w:rPr>
              <w:t>0,9902</w:t>
            </w:r>
          </w:p>
        </w:tc>
        <w:tc>
          <w:tcPr>
            <w:tcW w:type="dxa" w:w="1928"/>
          </w:tcPr>
          <w:p>
            <w:pPr>
              <w:jc w:val="center"/>
            </w:pPr>
            <w:r/>
            <w:r>
              <w:rPr>
                <w:rFonts w:ascii="Calibri" w:hAnsi="Calibri"/>
                <w:b w:val="0"/>
                <w:sz w:val="20"/>
              </w:rPr>
              <w:t>0,9844</w:t>
            </w:r>
          </w:p>
        </w:tc>
        <w:tc>
          <w:tcPr>
            <w:tcW w:type="dxa" w:w="1928"/>
          </w:tcPr>
          <w:p>
            <w:pPr>
              <w:jc w:val="center"/>
            </w:pPr>
            <w:r/>
            <w:r>
              <w:rPr>
                <w:rFonts w:ascii="Calibri" w:hAnsi="Calibri"/>
                <w:b w:val="0"/>
                <w:sz w:val="20"/>
              </w:rPr>
              <w:t>0,9870</w:t>
            </w:r>
          </w:p>
        </w:tc>
      </w:tr>
    </w:tbl>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color="auto" w:fill="0A3B49"/>
          </w:tcPr>
          <w:p>
            <w:pPr>
              <w:jc w:val="center"/>
            </w:pPr>
            <w:r/>
            <w:r>
              <w:rPr>
                <w:rFonts w:ascii="Calibri" w:hAnsi="Calibri"/>
                <w:b/>
                <w:color w:val="FFFFFF"/>
                <w:sz w:val="20"/>
              </w:rPr>
              <w:t>Estadístico</w:t>
            </w:r>
          </w:p>
        </w:tc>
        <w:tc>
          <w:tcPr>
            <w:tcW w:type="dxa" w:w="1814"/>
            <w:shd w:val="clear" w:color="auto" w:fill="0A3B49"/>
          </w:tcPr>
          <w:p>
            <w:pPr>
              <w:jc w:val="center"/>
            </w:pPr>
            <w:r/>
            <w:r>
              <w:rPr>
                <w:rFonts w:ascii="Calibri" w:hAnsi="Calibri"/>
                <w:b/>
                <w:color w:val="FFFFFF"/>
                <w:sz w:val="20"/>
              </w:rPr>
              <w:t>Accuracy</w:t>
            </w:r>
          </w:p>
        </w:tc>
        <w:tc>
          <w:tcPr>
            <w:tcW w:type="dxa" w:w="1984"/>
            <w:shd w:val="clear" w:color="auto" w:fill="0A3B49"/>
          </w:tcPr>
          <w:p>
            <w:pPr>
              <w:jc w:val="center"/>
            </w:pPr>
            <w:r/>
            <w:r>
              <w:rPr>
                <w:rFonts w:ascii="Calibri" w:hAnsi="Calibri"/>
                <w:b/>
                <w:color w:val="FFFFFF"/>
                <w:sz w:val="20"/>
              </w:rPr>
              <w:t>Precision (macro)</w:t>
            </w:r>
          </w:p>
        </w:tc>
        <w:tc>
          <w:tcPr>
            <w:tcW w:type="dxa" w:w="1814"/>
            <w:shd w:val="clear" w:color="auto" w:fill="0A3B49"/>
          </w:tcPr>
          <w:p>
            <w:pPr>
              <w:jc w:val="center"/>
            </w:pPr>
            <w:r/>
            <w:r>
              <w:rPr>
                <w:rFonts w:ascii="Calibri" w:hAnsi="Calibri"/>
                <w:b/>
                <w:color w:val="FFFFFF"/>
                <w:sz w:val="20"/>
              </w:rPr>
              <w:t>Recall (macro)</w:t>
            </w:r>
          </w:p>
        </w:tc>
        <w:tc>
          <w:tcPr>
            <w:tcW w:type="dxa" w:w="1814"/>
            <w:shd w:val="clear" w:color="auto" w:fill="0A3B49"/>
          </w:tcPr>
          <w:p>
            <w:pPr>
              <w:jc w:val="center"/>
            </w:pPr>
            <w:r/>
            <w:r>
              <w:rPr>
                <w:rFonts w:ascii="Calibri" w:hAnsi="Calibri"/>
                <w:b/>
                <w:color w:val="FFFFFF"/>
                <w:sz w:val="20"/>
              </w:rPr>
              <w:t>F1-score (macro)</w:t>
            </w:r>
          </w:p>
        </w:tc>
      </w:tr>
      <w:tr>
        <w:tc>
          <w:tcPr>
            <w:tcW w:type="dxa" w:w="1814"/>
          </w:tcPr>
          <w:p>
            <w:r/>
            <w:r>
              <w:rPr>
                <w:rFonts w:ascii="Calibri" w:hAnsi="Calibri"/>
                <w:b w:val="0"/>
                <w:sz w:val="20"/>
              </w:rPr>
              <w:t>Promedio</w:t>
            </w:r>
          </w:p>
        </w:tc>
        <w:tc>
          <w:tcPr>
            <w:tcW w:type="dxa" w:w="1814"/>
          </w:tcPr>
          <w:p>
            <w:pPr>
              <w:jc w:val="center"/>
            </w:pPr>
            <w:r/>
            <w:r>
              <w:rPr>
                <w:rFonts w:ascii="Calibri" w:hAnsi="Calibri"/>
                <w:b w:val="0"/>
                <w:sz w:val="20"/>
              </w:rPr>
              <w:t>0,9858</w:t>
            </w:r>
          </w:p>
        </w:tc>
        <w:tc>
          <w:tcPr>
            <w:tcW w:type="dxa" w:w="1984"/>
          </w:tcPr>
          <w:p>
            <w:pPr>
              <w:jc w:val="center"/>
            </w:pPr>
            <w:r/>
            <w:r>
              <w:rPr>
                <w:rFonts w:ascii="Calibri" w:hAnsi="Calibri"/>
                <w:b w:val="0"/>
                <w:sz w:val="20"/>
              </w:rPr>
              <w:t>0,9881</w:t>
            </w:r>
          </w:p>
        </w:tc>
        <w:tc>
          <w:tcPr>
            <w:tcW w:type="dxa" w:w="1814"/>
          </w:tcPr>
          <w:p>
            <w:pPr>
              <w:jc w:val="center"/>
            </w:pPr>
            <w:r/>
            <w:r>
              <w:rPr>
                <w:rFonts w:ascii="Calibri" w:hAnsi="Calibri"/>
                <w:b w:val="0"/>
                <w:sz w:val="20"/>
              </w:rPr>
              <w:t>0,9826</w:t>
            </w:r>
          </w:p>
        </w:tc>
        <w:tc>
          <w:tcPr>
            <w:tcW w:type="dxa" w:w="1814"/>
          </w:tcPr>
          <w:p>
            <w:pPr>
              <w:jc w:val="center"/>
            </w:pPr>
            <w:r/>
            <w:r>
              <w:rPr>
                <w:rFonts w:ascii="Calibri" w:hAnsi="Calibri"/>
                <w:b w:val="0"/>
                <w:sz w:val="20"/>
              </w:rPr>
              <w:t>0,9850</w:t>
            </w:r>
          </w:p>
        </w:tc>
      </w:tr>
      <w:tr>
        <w:tc>
          <w:tcPr>
            <w:tcW w:type="dxa" w:w="1814"/>
            <w:shd w:val="clear" w:color="auto" w:fill="F2F2F2"/>
          </w:tcPr>
          <w:p>
            <w:r/>
            <w:r>
              <w:rPr>
                <w:rFonts w:ascii="Calibri" w:hAnsi="Calibri"/>
                <w:b w:val="0"/>
                <w:sz w:val="20"/>
              </w:rPr>
              <w:t>Desviación estándar</w:t>
            </w:r>
          </w:p>
        </w:tc>
        <w:tc>
          <w:tcPr>
            <w:tcW w:type="dxa" w:w="1814"/>
            <w:shd w:val="clear" w:color="auto" w:fill="F2F2F2"/>
          </w:tcPr>
          <w:p>
            <w:pPr>
              <w:jc w:val="center"/>
            </w:pPr>
            <w:r/>
            <w:r>
              <w:rPr>
                <w:rFonts w:ascii="Calibri" w:hAnsi="Calibri"/>
                <w:b w:val="0"/>
                <w:sz w:val="20"/>
              </w:rPr>
              <w:t>0,0061</w:t>
            </w:r>
          </w:p>
        </w:tc>
        <w:tc>
          <w:tcPr>
            <w:tcW w:type="dxa" w:w="1984"/>
            <w:shd w:val="clear" w:color="auto" w:fill="F2F2F2"/>
          </w:tcPr>
          <w:p>
            <w:pPr>
              <w:jc w:val="center"/>
            </w:pPr>
            <w:r/>
            <w:r>
              <w:rPr>
                <w:rFonts w:ascii="Calibri" w:hAnsi="Calibri"/>
                <w:b w:val="0"/>
                <w:sz w:val="20"/>
              </w:rPr>
              <w:t>0,0060</w:t>
            </w:r>
          </w:p>
        </w:tc>
        <w:tc>
          <w:tcPr>
            <w:tcW w:type="dxa" w:w="1814"/>
            <w:shd w:val="clear" w:color="auto" w:fill="F2F2F2"/>
          </w:tcPr>
          <w:p>
            <w:pPr>
              <w:jc w:val="center"/>
            </w:pPr>
            <w:r/>
            <w:r>
              <w:rPr>
                <w:rFonts w:ascii="Calibri" w:hAnsi="Calibri"/>
                <w:b w:val="0"/>
                <w:sz w:val="20"/>
              </w:rPr>
              <w:t>0,0092</w:t>
            </w:r>
          </w:p>
        </w:tc>
        <w:tc>
          <w:tcPr>
            <w:tcW w:type="dxa" w:w="1814"/>
            <w:shd w:val="clear" w:color="auto" w:fill="F2F2F2"/>
          </w:tcPr>
          <w:p>
            <w:pPr>
              <w:jc w:val="center"/>
            </w:pPr>
            <w:r/>
            <w:r>
              <w:rPr>
                <w:rFonts w:ascii="Calibri" w:hAnsi="Calibri"/>
                <w:b w:val="0"/>
                <w:sz w:val="20"/>
              </w:rPr>
              <w:t>0,0078</w:t>
            </w:r>
          </w:p>
        </w:tc>
      </w:tr>
    </w:tbl>
    <w:p>
      <w:pPr>
        <w:spacing w:after="40"/>
      </w:pPr>
    </w:p>
    <w:p>
      <w:pPr>
        <w:jc w:val="center"/>
      </w:pPr>
      <w:r>
        <w:drawing>
          <wp:inline xmlns:a="http://schemas.openxmlformats.org/drawingml/2006/main" xmlns:pic="http://schemas.openxmlformats.org/drawingml/2006/picture">
            <wp:extent cx="5400000" cy="1878881"/>
            <wp:docPr id="10" name="Picture 10"/>
            <wp:cNvGraphicFramePr>
              <a:graphicFrameLocks noChangeAspect="1"/>
            </wp:cNvGraphicFramePr>
            <a:graphic>
              <a:graphicData uri="http://schemas.openxmlformats.org/drawingml/2006/picture">
                <pic:pic>
                  <pic:nvPicPr>
                    <pic:cNvPr id="0" name="f4_kfold_estabilidad.png"/>
                    <pic:cNvPicPr/>
                  </pic:nvPicPr>
                  <pic:blipFill>
                    <a:blip r:embed="rId18"/>
                    <a:stretch>
                      <a:fillRect/>
                    </a:stretch>
                  </pic:blipFill>
                  <pic:spPr>
                    <a:xfrm>
                      <a:off x="0" y="0"/>
                      <a:ext cx="5400000" cy="1878881"/>
                    </a:xfrm>
                    <a:prstGeom prst="rect"/>
                  </pic:spPr>
                </pic:pic>
              </a:graphicData>
            </a:graphic>
          </wp:inline>
        </w:drawing>
      </w:r>
    </w:p>
    <w:p>
      <w:pPr>
        <w:pStyle w:val="Caption2"/>
      </w:pPr>
      <w:r>
        <w:t>Figura 10. Accuracy y F1-score macro por fold (izquierda) y matriz de confusión agregada de los 5 folds (derecha) — modelo campeón, K-Fold k=5.</w:t>
      </w:r>
    </w:p>
    <w:p>
      <w:r>
        <w:rPr>
          <w:b w:val="0"/>
          <w:i w:val="0"/>
        </w:rPr>
        <w:t>La matriz de confusión agregada de los 5 folds (2.400 observaciones de entrenamiento evaluadas cada una exactamente una vez, al pertenecer a un único fold de validación) concentra igualmente sus errores en la frontera Medium/High: de 591 cargos reales Low, 564 se clasifican correctamente, 24 como Medium y 3 como High; de 1.217 cargos reales Medium, 1.210 se clasifican correctamente y 7 como High; los 592 cargos reales High se clasifican todos correctamente. El patrón de error es, por lo tanto, consistente con el observado en el Hold-Out (sección IV), aunque con una magnitud algo mayor (34 errores sobre 2.400 observaciones, 1,4%, frente a 4 sobre 600, 0,7%, en el Hold-Out).</w:t>
      </w:r>
    </w:p>
    <w:p>
      <w:r>
        <w:rPr>
          <w:b w:val="0"/>
          <w:i w:val="0"/>
        </w:rPr>
        <w:t>Las cuatro desviaciones estándar reportadas son bajas (todas inferiores a 1 punto porcentual), lo que indica una variabilidad baja entre folds y respalda que el desempeño del MLP de una capa oculta es consistente frente a distintas particiones del conjunto de entrenamiento. Se observa, sin embargo, que el promedio de K-Fold (accuracy 0,9858) es levemente inferior al resultado puntual del Hold-Out (accuracy 0,9933): el fold 1 explica gran parte de esta diferencia, al ser el único con un desempeño visiblemente menor (accuracy 0,9750) que los folds 2 a 5 (todos ≥ 0,987), lo que es consistente con la sensibilidad conocida de los MLPClassifier a la inicialización aleatoria de sus pesos y al subconjunto de entrenamiento disponible en cada fold (Goodfellow et al., 2016).</w:t>
      </w:r>
    </w:p>
    <w:p>
      <w:pPr>
        <w:pStyle w:val="Heading1"/>
      </w:pPr>
      <w:r>
        <w:t>X. Justificación de técnica de validación</w:t>
      </w:r>
    </w:p>
    <w:p>
      <w:r>
        <w:rPr>
          <w:b w:val="0"/>
          <w:i w:val="0"/>
        </w:rPr>
        <w:t>La técnica de validación utilizada es K-Fold Cross-Validation con k=5. Esta elección se fundamenta en la relación entre el tamaño del conjunto de datos, el costo computacional de cada técnica y la estabilidad esperada de las métricas resultantes (Ruete, 2026b; James et al., 2021).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val="clear" w:color="auto" w:fill="0A3B49"/>
          </w:tcPr>
          <w:p>
            <w:pPr>
              <w:jc w:val="center"/>
            </w:pPr>
            <w:r/>
            <w:r>
              <w:rPr>
                <w:rFonts w:ascii="Calibri" w:hAnsi="Calibri"/>
                <w:b/>
                <w:color w:val="FFFFFF"/>
                <w:sz w:val="20"/>
              </w:rPr>
              <w:t>Técnica</w:t>
            </w:r>
          </w:p>
        </w:tc>
        <w:tc>
          <w:tcPr>
            <w:tcW w:type="dxa" w:w="2381"/>
            <w:shd w:val="clear" w:color="auto" w:fill="0A3B49"/>
          </w:tcPr>
          <w:p>
            <w:pPr>
              <w:jc w:val="center"/>
            </w:pPr>
            <w:r/>
            <w:r>
              <w:rPr>
                <w:rFonts w:ascii="Calibri" w:hAnsi="Calibri"/>
                <w:b/>
                <w:color w:val="FFFFFF"/>
                <w:sz w:val="20"/>
              </w:rPr>
              <w:t>Ventaja</w:t>
            </w:r>
          </w:p>
        </w:tc>
        <w:tc>
          <w:tcPr>
            <w:tcW w:type="dxa" w:w="2608"/>
            <w:shd w:val="clear" w:color="auto" w:fill="0A3B49"/>
          </w:tcPr>
          <w:p>
            <w:pPr>
              <w:jc w:val="center"/>
            </w:pPr>
            <w:r/>
            <w:r>
              <w:rPr>
                <w:rFonts w:ascii="Calibri" w:hAnsi="Calibri"/>
                <w:b/>
                <w:color w:val="FFFFFF"/>
                <w:sz w:val="20"/>
              </w:rPr>
              <w:t>Limitación</w:t>
            </w:r>
          </w:p>
        </w:tc>
        <w:tc>
          <w:tcPr>
            <w:tcW w:type="dxa" w:w="2494"/>
            <w:shd w:val="clear" w:color="auto" w:fill="0A3B49"/>
          </w:tcPr>
          <w:p>
            <w:pPr>
              <w:jc w:val="center"/>
            </w:pPr>
            <w:r/>
            <w:r>
              <w:rPr>
                <w:rFonts w:ascii="Calibri" w:hAnsi="Calibri"/>
                <w:b/>
                <w:color w:val="FFFFFF"/>
                <w:sz w:val="20"/>
              </w:rPr>
              <w:t>Decisión en este informe</w:t>
            </w:r>
          </w:p>
        </w:tc>
      </w:tr>
      <w:tr>
        <w:tc>
          <w:tcPr>
            <w:tcW w:type="dxa" w:w="1587"/>
          </w:tcPr>
          <w:p>
            <w:r/>
            <w:r>
              <w:rPr>
                <w:rFonts w:ascii="Calibri" w:hAnsi="Calibri"/>
                <w:b w:val="0"/>
                <w:sz w:val="20"/>
              </w:rPr>
              <w:t>Hold-Out</w:t>
            </w:r>
          </w:p>
        </w:tc>
        <w:tc>
          <w:tcPr>
            <w:tcW w:type="dxa" w:w="2381"/>
          </w:tcPr>
          <w:p>
            <w:pPr>
              <w:jc w:val="center"/>
            </w:pPr>
            <w:r/>
            <w:r>
              <w:rPr>
                <w:rFonts w:ascii="Calibri" w:hAnsi="Calibri"/>
                <w:b w:val="0"/>
                <w:sz w:val="20"/>
              </w:rPr>
              <w:t>Costo computacional mínimo (un único entrenamiento); ya utilizado como partición 80/20 estratificada para las secciones III-VIII.</w:t>
            </w:r>
          </w:p>
        </w:tc>
        <w:tc>
          <w:tcPr>
            <w:tcW w:type="dxa" w:w="2608"/>
          </w:tcPr>
          <w:p>
            <w:pPr>
              <w:jc w:val="center"/>
            </w:pPr>
            <w:r/>
            <w:r>
              <w:rPr>
                <w:rFonts w:ascii="Calibri" w:hAnsi="Calibri"/>
                <w:b w:val="0"/>
                <w:sz w:val="20"/>
              </w:rPr>
              <w:t>Entrega una única estimación puntual de cada métrica, sin evidencia directa de cuánto podría variar el desempeño ante otra partición de los datos.</w:t>
            </w:r>
          </w:p>
        </w:tc>
        <w:tc>
          <w:tcPr>
            <w:tcW w:type="dxa" w:w="2494"/>
          </w:tcPr>
          <w:p>
            <w:pPr>
              <w:jc w:val="center"/>
            </w:pPr>
            <w:r/>
            <w:r>
              <w:rPr>
                <w:rFonts w:ascii="Calibri" w:hAnsi="Calibri"/>
                <w:b w:val="0"/>
                <w:sz w:val="20"/>
              </w:rPr>
              <w:t>Se mantiene como evaluación puntual inicial, pero no como única fuente de evidencia de desempeño.</w:t>
            </w:r>
          </w:p>
        </w:tc>
      </w:tr>
      <w:tr>
        <w:tc>
          <w:tcPr>
            <w:tcW w:type="dxa" w:w="1587"/>
            <w:shd w:val="clear" w:color="auto" w:fill="F2F2F2"/>
          </w:tcPr>
          <w:p>
            <w:r/>
            <w:r>
              <w:rPr>
                <w:rFonts w:ascii="Calibri" w:hAnsi="Calibri"/>
                <w:b w:val="0"/>
                <w:sz w:val="20"/>
              </w:rPr>
              <w:t>K-Fold (k=5)</w:t>
            </w:r>
          </w:p>
        </w:tc>
        <w:tc>
          <w:tcPr>
            <w:tcW w:type="dxa" w:w="2381"/>
            <w:shd w:val="clear" w:color="auto" w:fill="F2F2F2"/>
          </w:tcPr>
          <w:p>
            <w:pPr>
              <w:jc w:val="center"/>
            </w:pPr>
            <w:r/>
            <w:r>
              <w:rPr>
                <w:rFonts w:ascii="Calibri" w:hAnsi="Calibri"/>
                <w:b w:val="0"/>
                <w:sz w:val="20"/>
              </w:rPr>
              <w:t>Permite calcular promedio y desviación estándar de cada métrica entre folds (sección IX), con un costo moderado (5 reentrenamientos completos).</w:t>
            </w:r>
          </w:p>
        </w:tc>
        <w:tc>
          <w:tcPr>
            <w:tcW w:type="dxa" w:w="2608"/>
            <w:shd w:val="clear" w:color="auto" w:fill="F2F2F2"/>
          </w:tcPr>
          <w:p>
            <w:pPr>
              <w:jc w:val="center"/>
            </w:pPr>
            <w:r/>
            <w:r>
              <w:rPr>
                <w:rFonts w:ascii="Calibri" w:hAnsi="Calibri"/>
                <w:b w:val="0"/>
                <w:sz w:val="20"/>
              </w:rPr>
              <w:t>Requiere cinco reentrenamientos del modelo, más costoso que Hold-Out.</w:t>
            </w:r>
          </w:p>
        </w:tc>
        <w:tc>
          <w:tcPr>
            <w:tcW w:type="dxa" w:w="2494"/>
            <w:shd w:val="clear" w:color="auto" w:fill="F2F2F2"/>
          </w:tcPr>
          <w:p>
            <w:pPr>
              <w:jc w:val="center"/>
            </w:pPr>
            <w:r/>
            <w:r>
              <w:rPr>
                <w:rFonts w:ascii="Calibri" w:hAnsi="Calibri"/>
                <w:b w:val="0"/>
                <w:sz w:val="20"/>
              </w:rPr>
              <w:t>Se selecciona como técnica principal de validación del modelo campeón.</w:t>
            </w:r>
          </w:p>
        </w:tc>
      </w:tr>
      <w:tr>
        <w:tc>
          <w:tcPr>
            <w:tcW w:type="dxa" w:w="1587"/>
          </w:tcPr>
          <w:p>
            <w:r/>
            <w:r>
              <w:rPr>
                <w:rFonts w:ascii="Calibri" w:hAnsi="Calibri"/>
                <w:b w:val="0"/>
                <w:sz w:val="20"/>
              </w:rPr>
              <w:t>Leave-One-Out (LOO)</w:t>
            </w:r>
          </w:p>
        </w:tc>
        <w:tc>
          <w:tcPr>
            <w:tcW w:type="dxa" w:w="2381"/>
          </w:tcPr>
          <w:p>
            <w:pPr>
              <w:jc w:val="center"/>
            </w:pPr>
            <w:r/>
            <w:r>
              <w:rPr>
                <w:rFonts w:ascii="Calibri" w:hAnsi="Calibri"/>
                <w:b w:val="0"/>
                <w:sz w:val="20"/>
              </w:rPr>
              <w:t>Máximo aprovechamiento de los datos de entrenamiento en cada iteración de validación.</w:t>
            </w:r>
          </w:p>
        </w:tc>
        <w:tc>
          <w:tcPr>
            <w:tcW w:type="dxa" w:w="2608"/>
          </w:tcPr>
          <w:p>
            <w:pPr>
              <w:jc w:val="center"/>
            </w:pPr>
            <w:r/>
            <w:r>
              <w:rPr>
                <w:rFonts w:ascii="Calibri" w:hAnsi="Calibri"/>
                <w:b w:val="0"/>
                <w:sz w:val="20"/>
              </w:rPr>
              <w:t>Exigiría 2.400 reentrenamientos completos del MLP campeón (uno por observación de entrenamiento), un costo computacional injustificado para el beneficio marginal esperado.</w:t>
            </w:r>
          </w:p>
        </w:tc>
        <w:tc>
          <w:tcPr>
            <w:tcW w:type="dxa" w:w="2494"/>
          </w:tcPr>
          <w:p>
            <w:pPr>
              <w:jc w:val="center"/>
            </w:pPr>
            <w:r/>
            <w:r>
              <w:rPr>
                <w:rFonts w:ascii="Calibri" w:hAnsi="Calibri"/>
                <w:b w:val="0"/>
                <w:sz w:val="20"/>
              </w:rPr>
              <w:t>Se descarta por costo computacional desproporcionado respecto del tamaño del dataset.</w:t>
            </w:r>
          </w:p>
        </w:tc>
      </w:tr>
    </w:tbl>
    <w:p>
      <w:pPr>
        <w:spacing w:after="40"/>
      </w:pPr>
    </w:p>
    <w:p>
      <w:r>
        <w:rPr>
          <w:b w:val="0"/>
          <w:i w:val="0"/>
        </w:rPr>
        <w:t>El tamaño del conjunto de datos —3.000 observaciones, 2.400 en el conjunto de entrenamiento tras la partición Hold-Out— es moderado: suficientemente grande como para que cada fold de K-Fold (k=5) conserve una cantidad razonable de observaciones por clase (~480 por fold), pero no tan grande como para que una única partición Hold-Out sea, por sí sola, suficiente para descartar variabilidad asociada al muestreo (James et al., 2021). Esta necesidad de evidencia adicional se confirmó empíricamente en la sección IX: el promedio de K-Fold resultó levemente inferior al resultado puntual del Hold-Out, exactamente el tipo de matiz que Hold-Out, por definición, no puede entregar por sí solo.</w:t>
      </w:r>
    </w:p>
    <w:p>
      <w:r>
        <w:rPr>
          <w:b w:val="0"/>
          <w:i w:val="0"/>
        </w:rPr>
        <w:t>K-Fold se justifica también por coherencia con el objetivo sumativo de esta fase (RA4): no solo interesa medir el desempeño del modelo campeón, sino fundamentar la confiabilidad de esos resultados mediante evidencia de estabilidad. En consecuencia, K-Fold (k=5) ofrece el mejor balance entre robustez de la estimación y costo computacional para el tamaño y las características de este dataset, siendo preferible tanto a Hold-Out (menor evidencia de estabilidad) como a Leave-One-Out (costo computacional injustificado para 2.400 observaciones de entrenamiento).</w:t>
      </w:r>
    </w:p>
    <w:p>
      <w:pPr>
        <w:pStyle w:val="Heading1"/>
      </w:pPr>
      <w:r>
        <w:t>XI. Coherencia metodológica de validación</w:t>
      </w:r>
    </w:p>
    <w:p>
      <w:r>
        <w:rPr>
          <w:b w:val="0"/>
          <w:i w:val="0"/>
        </w:rPr>
        <w:t>La coherencia metodológica se observa en la relación entre las características de los datos, el modelo evaluado, las métricas utilizadas y la técnica de validación aplicada.</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0A3B49"/>
          </w:tcPr>
          <w:p>
            <w:pPr>
              <w:jc w:val="center"/>
            </w:pPr>
            <w:r/>
            <w:r>
              <w:rPr>
                <w:rFonts w:ascii="Calibri" w:hAnsi="Calibri"/>
                <w:b/>
                <w:color w:val="FFFFFF"/>
                <w:sz w:val="20"/>
              </w:rPr>
              <w:t>Dimensión metodológica</w:t>
            </w:r>
          </w:p>
        </w:tc>
        <w:tc>
          <w:tcPr>
            <w:tcW w:type="dxa" w:w="3175"/>
            <w:shd w:val="clear" w:color="auto" w:fill="0A3B49"/>
          </w:tcPr>
          <w:p>
            <w:pPr>
              <w:jc w:val="center"/>
            </w:pPr>
            <w:r/>
            <w:r>
              <w:rPr>
                <w:rFonts w:ascii="Calibri" w:hAnsi="Calibri"/>
                <w:b/>
                <w:color w:val="FFFFFF"/>
                <w:sz w:val="20"/>
              </w:rPr>
              <w:t>Decisión aplicada</w:t>
            </w:r>
          </w:p>
        </w:tc>
        <w:tc>
          <w:tcPr>
            <w:tcW w:type="dxa" w:w="3855"/>
            <w:shd w:val="clear" w:color="auto" w:fill="0A3B49"/>
          </w:tcPr>
          <w:p>
            <w:pPr>
              <w:jc w:val="center"/>
            </w:pPr>
            <w:r/>
            <w:r>
              <w:rPr>
                <w:rFonts w:ascii="Calibri" w:hAnsi="Calibri"/>
                <w:b/>
                <w:color w:val="FFFFFF"/>
                <w:sz w:val="20"/>
              </w:rPr>
              <w:t>Coherencia con el proceso de evaluación</w:t>
            </w:r>
          </w:p>
        </w:tc>
      </w:tr>
      <w:tr>
        <w:tc>
          <w:tcPr>
            <w:tcW w:type="dxa" w:w="2041"/>
          </w:tcPr>
          <w:p>
            <w:r/>
            <w:r>
              <w:rPr>
                <w:rFonts w:ascii="Calibri" w:hAnsi="Calibri"/>
                <w:b w:val="0"/>
                <w:sz w:val="20"/>
              </w:rPr>
              <w:t>Tipo de problema</w:t>
            </w:r>
          </w:p>
        </w:tc>
        <w:tc>
          <w:tcPr>
            <w:tcW w:type="dxa" w:w="3175"/>
          </w:tcPr>
          <w:p>
            <w:pPr>
              <w:jc w:val="center"/>
            </w:pPr>
            <w:r/>
            <w:r>
              <w:rPr>
                <w:rFonts w:ascii="Calibri" w:hAnsi="Calibri"/>
                <w:b w:val="0"/>
                <w:sz w:val="20"/>
              </w:rPr>
              <w:t>Clasificación supervisada multiclase (Low / Medium / High).</w:t>
            </w:r>
          </w:p>
        </w:tc>
        <w:tc>
          <w:tcPr>
            <w:tcW w:type="dxa" w:w="3855"/>
          </w:tcPr>
          <w:p>
            <w:pPr>
              <w:jc w:val="center"/>
            </w:pPr>
            <w:r/>
            <w:r>
              <w:rPr>
                <w:rFonts w:ascii="Calibri" w:hAnsi="Calibri"/>
                <w:b w:val="0"/>
                <w:sz w:val="20"/>
              </w:rPr>
              <w:t>Justifica el uso de métricas macro-promediadas y de matrices de confusión de 3×3, tanto en Hold-Out (sección IV) como en K-Fold (sección IX).</w:t>
            </w:r>
          </w:p>
        </w:tc>
      </w:tr>
      <w:tr>
        <w:tc>
          <w:tcPr>
            <w:tcW w:type="dxa" w:w="2041"/>
            <w:shd w:val="clear" w:color="auto" w:fill="F2F2F2"/>
          </w:tcPr>
          <w:p>
            <w:r/>
            <w:r>
              <w:rPr>
                <w:rFonts w:ascii="Calibri" w:hAnsi="Calibri"/>
                <w:b w:val="0"/>
                <w:sz w:val="20"/>
              </w:rPr>
              <w:t>Desbalance de clases</w:t>
            </w:r>
          </w:p>
        </w:tc>
        <w:tc>
          <w:tcPr>
            <w:tcW w:type="dxa" w:w="3175"/>
            <w:shd w:val="clear" w:color="auto" w:fill="F2F2F2"/>
          </w:tcPr>
          <w:p>
            <w:pPr>
              <w:jc w:val="center"/>
            </w:pPr>
            <w:r/>
            <w:r>
              <w:rPr>
                <w:rFonts w:ascii="Calibri" w:hAnsi="Calibri"/>
                <w:b w:val="0"/>
                <w:sz w:val="20"/>
              </w:rPr>
              <w:t>Risk_Category presenta desbalance moderado (Medium ≈ 50,7%).</w:t>
            </w:r>
          </w:p>
        </w:tc>
        <w:tc>
          <w:tcPr>
            <w:tcW w:type="dxa" w:w="3855"/>
            <w:shd w:val="clear" w:color="auto" w:fill="F2F2F2"/>
          </w:tcPr>
          <w:p>
            <w:pPr>
              <w:jc w:val="center"/>
            </w:pPr>
            <w:r/>
            <w:r>
              <w:rPr>
                <w:rFonts w:ascii="Calibri" w:hAnsi="Calibri"/>
                <w:b w:val="0"/>
                <w:sz w:val="20"/>
              </w:rPr>
              <w:t>Justifica el uso de stratify=y en la partición Hold-Out y de shuffle=True en KFold, para preservar una representación adecuada de las tres clases en cada partición.</w:t>
            </w:r>
          </w:p>
        </w:tc>
      </w:tr>
      <w:tr>
        <w:tc>
          <w:tcPr>
            <w:tcW w:type="dxa" w:w="2041"/>
          </w:tcPr>
          <w:p>
            <w:r/>
            <w:r>
              <w:rPr>
                <w:rFonts w:ascii="Calibri" w:hAnsi="Calibri"/>
                <w:b w:val="0"/>
                <w:sz w:val="20"/>
              </w:rPr>
              <w:t>Modelo evaluado</w:t>
            </w:r>
          </w:p>
        </w:tc>
        <w:tc>
          <w:tcPr>
            <w:tcW w:type="dxa" w:w="3175"/>
          </w:tcPr>
          <w:p>
            <w:pPr>
              <w:jc w:val="center"/>
            </w:pPr>
            <w:r/>
            <w:r>
              <w:rPr>
                <w:rFonts w:ascii="Calibri" w:hAnsi="Calibri"/>
                <w:b w:val="0"/>
                <w:sz w:val="20"/>
              </w:rPr>
              <w:t>MLP de una capa oculta, sensible a la inicialización aleatoria de sus pesos.</w:t>
            </w:r>
          </w:p>
        </w:tc>
        <w:tc>
          <w:tcPr>
            <w:tcW w:type="dxa" w:w="3855"/>
          </w:tcPr>
          <w:p>
            <w:pPr>
              <w:jc w:val="center"/>
            </w:pPr>
            <w:r/>
            <w:r>
              <w:rPr>
                <w:rFonts w:ascii="Calibri" w:hAnsi="Calibri"/>
                <w:b w:val="0"/>
                <w:sz w:val="20"/>
              </w:rPr>
              <w:t>Justifica reentrenar el modelo desde cero en cada fold (clone()) en lugar de reutilizar los pesos ya ajustados sobre el Hold-Out completo.</w:t>
            </w:r>
          </w:p>
        </w:tc>
      </w:tr>
      <w:tr>
        <w:tc>
          <w:tcPr>
            <w:tcW w:type="dxa" w:w="2041"/>
            <w:shd w:val="clear" w:color="auto" w:fill="F2F2F2"/>
          </w:tcPr>
          <w:p>
            <w:r/>
            <w:r>
              <w:rPr>
                <w:rFonts w:ascii="Calibri" w:hAnsi="Calibri"/>
                <w:b w:val="0"/>
                <w:sz w:val="20"/>
              </w:rPr>
              <w:t>Conjunto de métricas</w:t>
            </w:r>
          </w:p>
        </w:tc>
        <w:tc>
          <w:tcPr>
            <w:tcW w:type="dxa" w:w="3175"/>
            <w:shd w:val="clear" w:color="auto" w:fill="F2F2F2"/>
          </w:tcPr>
          <w:p>
            <w:pPr>
              <w:jc w:val="center"/>
            </w:pPr>
            <w:r/>
            <w:r>
              <w:rPr>
                <w:rFonts w:ascii="Calibri" w:hAnsi="Calibri"/>
                <w:b w:val="0"/>
                <w:sz w:val="20"/>
              </w:rPr>
              <w:t>Accuracy, precision, recall y F1-score (macro) en ambos esquemas de evaluación.</w:t>
            </w:r>
          </w:p>
        </w:tc>
        <w:tc>
          <w:tcPr>
            <w:tcW w:type="dxa" w:w="3855"/>
            <w:shd w:val="clear" w:color="auto" w:fill="F2F2F2"/>
          </w:tcPr>
          <w:p>
            <w:pPr>
              <w:jc w:val="center"/>
            </w:pPr>
            <w:r/>
            <w:r>
              <w:rPr>
                <w:rFonts w:ascii="Calibri" w:hAnsi="Calibri"/>
                <w:b w:val="0"/>
                <w:sz w:val="20"/>
              </w:rPr>
              <w:t>Permite comparar directamente el desempeño puntual (Hold-Out) con el desempeño promedio y su variabilidad (K-Fold), sin cambiar de criterio entre secciones.</w:t>
            </w:r>
          </w:p>
        </w:tc>
      </w:tr>
      <w:tr>
        <w:tc>
          <w:tcPr>
            <w:tcW w:type="dxa" w:w="2041"/>
          </w:tcPr>
          <w:p>
            <w:r/>
            <w:r>
              <w:rPr>
                <w:rFonts w:ascii="Calibri" w:hAnsi="Calibri"/>
                <w:b w:val="0"/>
                <w:sz w:val="20"/>
              </w:rPr>
              <w:t>Tamaño y costo computacional</w:t>
            </w:r>
          </w:p>
        </w:tc>
        <w:tc>
          <w:tcPr>
            <w:tcW w:type="dxa" w:w="3175"/>
          </w:tcPr>
          <w:p>
            <w:pPr>
              <w:jc w:val="center"/>
            </w:pPr>
            <w:r/>
            <w:r>
              <w:rPr>
                <w:rFonts w:ascii="Calibri" w:hAnsi="Calibri"/>
                <w:b w:val="0"/>
                <w:sz w:val="20"/>
              </w:rPr>
              <w:t>Dataset de 3.000 observaciones; K-Fold k=5 (5 reentrenamientos) en lugar de LOO (2.400 reentrenamientos).</w:t>
            </w:r>
          </w:p>
        </w:tc>
        <w:tc>
          <w:tcPr>
            <w:tcW w:type="dxa" w:w="3855"/>
          </w:tcPr>
          <w:p>
            <w:pPr>
              <w:jc w:val="center"/>
            </w:pPr>
            <w:r/>
            <w:r>
              <w:rPr>
                <w:rFonts w:ascii="Calibri" w:hAnsi="Calibri"/>
                <w:b w:val="0"/>
                <w:sz w:val="20"/>
              </w:rPr>
              <w:t>Refleja la relación explícita entre tamaño del dataset, costo computacional y estabilidad esperada exigida por el RA4 (ID4.2).</w:t>
            </w:r>
          </w:p>
        </w:tc>
      </w:tr>
    </w:tbl>
    <w:p>
      <w:pPr>
        <w:spacing w:after="40"/>
      </w:pPr>
    </w:p>
    <w:p>
      <w:r>
        <w:rPr>
          <w:b w:val="0"/>
          <w:i w:val="0"/>
        </w:rPr>
        <w:t>La principal precaución metodológica observada durante la validación es la sensibilidad del fold 1 (sección IX), cuyo desempeño más bajo (accuracy 0,9750) recuerda que la estabilidad de un MLP depende tanto de los datos disponibles en cada partición como de la inicialización aleatoria de sus pesos. Esto no invalida la decisión metodológica de usar K-Fold; por el contrario, es precisamente el tipo de evidencia que esta técnica está diseñada para exponer, y que un esquema Hold-Out habría dejado oculta.</w:t>
      </w:r>
    </w:p>
    <w:p>
      <w:pPr>
        <w:pStyle w:val="Heading1"/>
      </w:pPr>
      <w:r>
        <w:t>XII. Notebook y trazabilidad del proceso de validación</w:t>
      </w:r>
    </w:p>
    <w:p>
      <w:r>
        <w:rPr>
          <w:b w:val="0"/>
          <w:i w:val="0"/>
        </w:rPr>
        <w:t>La trazabilidad del proceso de validación se evidencia en el bloque de código de la sección 8 del notebook (notebooks/F4_EvaluacionValidacion.ipynb), que define la partición KFold, clona y reentrena el modelo campeón en cada fold, y agrega tanto las métricas como la matriz de confusión de cada partición de validación.</w:t>
      </w:r>
    </w:p>
    <w:p>
      <w:pPr>
        <w:pStyle w:val="CodeBlock"/>
        <w:shd w:val="clear" w:color="auto" w:fill="F2F2F2"/>
      </w:pPr>
      <w:r>
        <w:t>kf = KFold(n_splits=5, shuffle=True, random_state=RANDOM_STATE)</w:t>
        <w:br/>
      </w:r>
      <w:r>
        <w:t>cm_agregada = np.zeros((3, 3), dtype=int)</w:t>
        <w:br/>
      </w:r>
      <w:r>
        <w:br/>
      </w:r>
      <w:r>
        <w:t>for fold, (idx_train, idx_val) in enumerate(kf.split(X_train_scaled, y_train), start=1):</w:t>
        <w:br/>
      </w:r>
      <w:r>
        <w:t xml:space="preserve">    X_tr_fold, X_val_fold = X_train_scaled[idx_train], X_train_scaled[idx_val]</w:t>
        <w:br/>
      </w:r>
      <w:r>
        <w:t xml:space="preserve">    y_tr_fold = y_train.iloc[idx_train]</w:t>
        <w:br/>
      </w:r>
      <w:r>
        <w:t xml:space="preserve">    y_val_fold = y_train.iloc[idx_val]</w:t>
        <w:br/>
      </w:r>
      <w:r>
        <w:br/>
      </w:r>
      <w:r>
        <w:t xml:space="preserve">    modelo_fold = clone(modelo_campeon)</w:t>
        <w:br/>
      </w:r>
      <w:r>
        <w:t xml:space="preserve">    modelo_fold.fit(X_tr_fold, y_tr_fold)</w:t>
        <w:br/>
      </w:r>
      <w:r>
        <w:t xml:space="preserve">    y_pred_fold = modelo_fold.predict(X_val_fold)</w:t>
        <w:br/>
      </w:r>
      <w:r>
        <w:br/>
      </w:r>
      <w:r>
        <w:t xml:space="preserve">    cm_agregada += confusion_matrix(y_val_fold, y_pred_fold, labels=CLASES)</w:t>
        <w:br/>
      </w:r>
      <w:r>
        <w:t xml:space="preserve">    ...</w:t>
      </w:r>
    </w:p>
    <w:tbl>
      <w:tblPr>
        <w:tblStyle w:val="TableGrid"/>
        <w:tblW w:type="auto" w:w="0"/>
        <w:jc w:val="center"/>
        <w:tblLook w:firstColumn="1" w:firstRow="1" w:lastColumn="0" w:lastRow="0" w:noHBand="0" w:noVBand="1" w:val="04A0"/>
      </w:tblPr>
      <w:tblGrid>
        <w:gridCol w:w="4703"/>
        <w:gridCol w:w="4703"/>
      </w:tblGrid>
      <w:tr>
        <w:tc>
          <w:tcPr>
            <w:tcW w:type="dxa" w:w="3685"/>
            <w:shd w:val="clear" w:color="auto" w:fill="0A3B49"/>
          </w:tcPr>
          <w:p>
            <w:pPr>
              <w:jc w:val="center"/>
            </w:pPr>
            <w:r/>
            <w:r>
              <w:rPr>
                <w:rFonts w:ascii="Calibri" w:hAnsi="Calibri"/>
                <w:b/>
                <w:color w:val="FFFFFF"/>
                <w:sz w:val="20"/>
              </w:rPr>
              <w:t>Evidencia de validación</w:t>
            </w:r>
          </w:p>
        </w:tc>
        <w:tc>
          <w:tcPr>
            <w:tcW w:type="dxa" w:w="5386"/>
            <w:shd w:val="clear" w:color="auto" w:fill="0A3B49"/>
          </w:tcPr>
          <w:p>
            <w:pPr>
              <w:jc w:val="center"/>
            </w:pPr>
            <w:r/>
            <w:r>
              <w:rPr>
                <w:rFonts w:ascii="Calibri" w:hAnsi="Calibri"/>
                <w:b/>
                <w:color w:val="FFFFFF"/>
                <w:sz w:val="20"/>
              </w:rPr>
              <w:t>Resultado reportado</w:t>
            </w:r>
          </w:p>
        </w:tc>
      </w:tr>
      <w:tr>
        <w:tc>
          <w:tcPr>
            <w:tcW w:type="dxa" w:w="3685"/>
          </w:tcPr>
          <w:p>
            <w:r/>
            <w:r>
              <w:rPr>
                <w:rFonts w:ascii="Calibri" w:hAnsi="Calibri"/>
                <w:b w:val="0"/>
                <w:sz w:val="20"/>
              </w:rPr>
              <w:t>K-Fold con k=5 sobre el modelo campeón</w:t>
            </w:r>
          </w:p>
        </w:tc>
        <w:tc>
          <w:tcPr>
            <w:tcW w:type="dxa" w:w="5386"/>
          </w:tcPr>
          <w:p>
            <w:pPr>
              <w:jc w:val="center"/>
            </w:pPr>
            <w:r/>
            <w:r>
              <w:rPr>
                <w:rFonts w:ascii="Calibri" w:hAnsi="Calibri"/>
                <w:b w:val="0"/>
                <w:sz w:val="20"/>
              </w:rPr>
              <w:t>Cinco entrenamientos y evaluaciones independientes sobre particiones del conjunto de entrenamiento (sección IX).</w:t>
            </w:r>
          </w:p>
        </w:tc>
      </w:tr>
      <w:tr>
        <w:tc>
          <w:tcPr>
            <w:tcW w:type="dxa" w:w="3685"/>
            <w:shd w:val="clear" w:color="auto" w:fill="F2F2F2"/>
          </w:tcPr>
          <w:p>
            <w:r/>
            <w:r>
              <w:rPr>
                <w:rFonts w:ascii="Calibri" w:hAnsi="Calibri"/>
                <w:b w:val="0"/>
                <w:sz w:val="20"/>
              </w:rPr>
              <w:t>Accuracy por fold</w:t>
            </w:r>
          </w:p>
        </w:tc>
        <w:tc>
          <w:tcPr>
            <w:tcW w:type="dxa" w:w="5386"/>
            <w:shd w:val="clear" w:color="auto" w:fill="F2F2F2"/>
          </w:tcPr>
          <w:p>
            <w:pPr>
              <w:jc w:val="center"/>
            </w:pPr>
            <w:r/>
            <w:r>
              <w:rPr>
                <w:rFonts w:ascii="Calibri" w:hAnsi="Calibri"/>
                <w:b w:val="0"/>
                <w:sz w:val="20"/>
              </w:rPr>
              <w:t>0,9750; 0,9875; 0,9896; 0,9896; 0,9875</w:t>
            </w:r>
          </w:p>
        </w:tc>
      </w:tr>
      <w:tr>
        <w:tc>
          <w:tcPr>
            <w:tcW w:type="dxa" w:w="3685"/>
          </w:tcPr>
          <w:p>
            <w:r/>
            <w:r>
              <w:rPr>
                <w:rFonts w:ascii="Calibri" w:hAnsi="Calibri"/>
                <w:b w:val="0"/>
                <w:sz w:val="20"/>
              </w:rPr>
              <w:t>Accuracy promedio ± desviación estándar</w:t>
            </w:r>
          </w:p>
        </w:tc>
        <w:tc>
          <w:tcPr>
            <w:tcW w:type="dxa" w:w="5386"/>
          </w:tcPr>
          <w:p>
            <w:pPr>
              <w:jc w:val="center"/>
            </w:pPr>
            <w:r/>
            <w:r>
              <w:rPr>
                <w:rFonts w:ascii="Calibri" w:hAnsi="Calibri"/>
                <w:b w:val="0"/>
                <w:sz w:val="20"/>
              </w:rPr>
              <w:t>0,9858 ± 0,0061</w:t>
            </w:r>
          </w:p>
        </w:tc>
      </w:tr>
      <w:tr>
        <w:tc>
          <w:tcPr>
            <w:tcW w:type="dxa" w:w="3685"/>
            <w:shd w:val="clear" w:color="auto" w:fill="F2F2F2"/>
          </w:tcPr>
          <w:p>
            <w:r/>
            <w:r>
              <w:rPr>
                <w:rFonts w:ascii="Calibri" w:hAnsi="Calibri"/>
                <w:b w:val="0"/>
                <w:sz w:val="20"/>
              </w:rPr>
              <w:t>F1-score macro promedio ± desviación estándar</w:t>
            </w:r>
          </w:p>
        </w:tc>
        <w:tc>
          <w:tcPr>
            <w:tcW w:type="dxa" w:w="5386"/>
            <w:shd w:val="clear" w:color="auto" w:fill="F2F2F2"/>
          </w:tcPr>
          <w:p>
            <w:pPr>
              <w:jc w:val="center"/>
            </w:pPr>
            <w:r/>
            <w:r>
              <w:rPr>
                <w:rFonts w:ascii="Calibri" w:hAnsi="Calibri"/>
                <w:b w:val="0"/>
                <w:sz w:val="20"/>
              </w:rPr>
              <w:t>0,9850 ± 0,0078</w:t>
            </w:r>
          </w:p>
        </w:tc>
      </w:tr>
      <w:tr>
        <w:tc>
          <w:tcPr>
            <w:tcW w:type="dxa" w:w="3685"/>
          </w:tcPr>
          <w:p>
            <w:r/>
            <w:r>
              <w:rPr>
                <w:rFonts w:ascii="Calibri" w:hAnsi="Calibri"/>
                <w:b w:val="0"/>
                <w:sz w:val="20"/>
              </w:rPr>
              <w:t>Matriz de confusión agregada (2.400 observaciones)</w:t>
            </w:r>
          </w:p>
        </w:tc>
        <w:tc>
          <w:tcPr>
            <w:tcW w:type="dxa" w:w="5386"/>
          </w:tcPr>
          <w:p>
            <w:pPr>
              <w:jc w:val="center"/>
            </w:pPr>
            <w:r/>
            <w:r>
              <w:rPr>
                <w:rFonts w:ascii="Calibri" w:hAnsi="Calibri"/>
                <w:b w:val="0"/>
                <w:sz w:val="20"/>
              </w:rPr>
              <w:t>34 errores totales (1,4%), concentrados en la frontera Medium/High y Low/Medium; 0 errores en High como clase real.</w:t>
            </w:r>
          </w:p>
        </w:tc>
      </w:tr>
      <w:tr>
        <w:tc>
          <w:tcPr>
            <w:tcW w:type="dxa" w:w="3685"/>
            <w:shd w:val="clear" w:color="auto" w:fill="F2F2F2"/>
          </w:tcPr>
          <w:p>
            <w:r/>
            <w:r>
              <w:rPr>
                <w:rFonts w:ascii="Calibri" w:hAnsi="Calibri"/>
                <w:b w:val="0"/>
                <w:sz w:val="20"/>
              </w:rPr>
              <w:t>Reentrenamiento por fold</w:t>
            </w:r>
          </w:p>
        </w:tc>
        <w:tc>
          <w:tcPr>
            <w:tcW w:type="dxa" w:w="5386"/>
            <w:shd w:val="clear" w:color="auto" w:fill="F2F2F2"/>
          </w:tcPr>
          <w:p>
            <w:pPr>
              <w:jc w:val="center"/>
            </w:pPr>
            <w:r/>
            <w:r>
              <w:rPr>
                <w:rFonts w:ascii="Calibri" w:hAnsi="Calibri"/>
                <w:b w:val="0"/>
                <w:sz w:val="20"/>
              </w:rPr>
              <w:t>clone(modelo_campeon) seguido de .fit() en cada iteración, evitando reutilizar pesos ya ajustados sobre el Hold-Out.</w:t>
            </w:r>
          </w:p>
        </w:tc>
      </w:tr>
    </w:tbl>
    <w:p>
      <w:pPr>
        <w:spacing w:after="40"/>
      </w:pPr>
    </w:p>
    <w:p>
      <w:r>
        <w:rPr>
          <w:b w:val="0"/>
          <w:i w:val="0"/>
        </w:rPr>
        <w:t>Para asegurar reproducibilidad, el repositorio del proyecto conserva el notebook ejecutable (notebooks/F4_EvaluacionValidacion.ipynb), las figuras exportadas (figures/f4_*.png), el presente informe en formato PDF y los notebooks de las fases previas (F1 a F3) de los cuales esta fase reutiliza dataset, variable objetivo y modelo campeón.</w:t>
      </w:r>
    </w:p>
    <w:p>
      <w:pPr>
        <w:pStyle w:val="Heading1"/>
      </w:pPr>
      <w:r>
        <w:t>XIII. Conclusiones técnicas del proceso de validación</w:t>
      </w:r>
    </w:p>
    <w:p>
      <w:r>
        <w:rPr>
          <w:b w:val="0"/>
          <w:i w:val="0"/>
        </w:rPr>
        <w:t>La validación cruzada K-Fold (k=5) aplicada al MLP de una capa oculta cumple el propósito de estimar la estabilidad del modelo campeón más allá de una única partición Hold-Out: el desempeño promedio (accuracy 0,9858 ± 0,0061; F1-score macro 0,9850 ± 0,0078) confirma que el modelo es sólido y estable en la generalidad de las particiones evaluadas, aunque matiza el resultado puntual del Hold-Out (accuracy 0,9933), que se ubica en el extremo favorable del rango observado entre folds.</w:t>
      </w:r>
    </w:p>
    <w:p>
      <w:r>
        <w:rPr>
          <w:b w:val="0"/>
          <w:i w:val="0"/>
        </w:rPr>
        <w:t>La decisión metodológica de utilizar K-Fold en lugar de Hold-Out simple o de Leave-One-Out es adecuada porque el dataset tiene un tamaño moderado (3.000 observaciones) y porque el reentrenamiento del MLP campeón, aunque no trivial, resulta computacionalmente razonable a un costo de 5 reentrenamientos —muy inferior a los 2.400 que exigiría LOO— sin sacrificar evidencia de estabilidad respecto de un Hold-Out simple.</w:t>
      </w:r>
    </w:p>
    <w:p>
      <w:r>
        <w:rPr>
          <w:b w:val="0"/>
          <w:i w:val="0"/>
        </w:rPr>
        <w:t>Como mejora metodológica futura, se recomienda: (i) ajustar los hiperparámetros del MLP campeón (por ejemplo, alpha o hidden_layer_sizes) mediante búsqueda en grilla combinada con K-Fold, para reducir la variabilidad observada en el fold más débil (fold 1); (ii) aplicar validación anidada (nested cross-validation) si en fases futuras se incorpora ajuste de hiperparámetros, para evitar optimismo en la estimación de desempeño; y (iii) evaluar el modelo campeón sobre un conjunto de prueba adicional, completamente independiente del proceso de partición y validación cruzada actual, antes de un eventual uso operativo por parte de NextWork Advisory.</w:t>
      </w:r>
    </w:p>
    <w:p>
      <w:pPr>
        <w:pStyle w:val="Heading1"/>
      </w:pPr>
      <w:r>
        <w:t>XIV. Uso de fuentes, citación y referencias</w:t>
      </w:r>
    </w:p>
    <w:p>
      <w:r>
        <w:rPr>
          <w:b w:val="0"/>
          <w:i w:val="0"/>
        </w:rPr>
        <w:t>El informe se fundamenta en fuentes docentes del curso, documentación técnica oficial de las librerías utilizadas y bibliografía académica complementaria. Las fuentes docentes (Ruete, 2026a, 2026b) sustentan directamente la definición conceptual de las métricas de clasificación y de las técnicas de validación exigidas por el RA4. La documentación técnica de scikit-learn (scikit-learn Developers, 2026a, 2026b; Pedregosa et al., 2011) respalda las decisiones de implementación —cálculo de ROC-AUC multiclase mediante el esquema One-vs-Rest, configuración de KFold— y la fuente académica complementaria (James et al., 2021) fundamenta la relación entre tamaño del dataset, costo computacional y estabilidad esperada utilizada para justificar K-Fold por sobre Hold-Out y Leave-One-Out en la sección X. Todas las citas integradas en el desarrollo del informe mantienen correspondencia directa con esta lista de referencias, en formato APA vigente (7.ª edición).</w:t>
      </w:r>
    </w:p>
    <w:p>
      <w:pPr>
        <w:pStyle w:val="Heading2"/>
      </w:pPr>
      <w:r>
        <w:t>Referencias</w:t>
      </w:r>
    </w:p>
    <w:p>
      <w:pPr>
        <w:ind w:left="567" w:hanging="567"/>
      </w:pPr>
      <w:r>
        <w:t>James, G., Witten, D., Hastie, T., &amp; Tibshirani, R. (2021). An introduction to statistical learning: With applications in R (2nd ed.). Springer. https://www.statlearning.com/</w:t>
      </w:r>
    </w:p>
    <w:p>
      <w:pPr>
        <w:ind w:left="567" w:hanging="567"/>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ind w:left="567" w:hanging="567"/>
      </w:pPr>
      <w:r>
        <w:t>Ruete, D. (2026a). Métricas de evaluación: accuracy, F1-score, curva ROC-AUC, curvas precisión-recall, matriz de confusión [Apunte]. Universidad Andrés Bello, Santiago, Chile.</w:t>
      </w:r>
    </w:p>
    <w:p>
      <w:pPr>
        <w:ind w:left="567" w:hanging="567"/>
      </w:pPr>
      <w:r>
        <w:t>Ruete, D. (2026b). Técnicas de evaluación: validación cruzada (K-Fold-Cross-validation, Leave-One-Out-validation, Hold-Out-validation) [Apunte]. Universidad Andrés Bello, Santiago, Chile.</w:t>
      </w:r>
    </w:p>
    <w:p>
      <w:pPr>
        <w:ind w:left="567" w:hanging="567"/>
      </w:pPr>
      <w:r>
        <w:t>scikit-learn Developers. (2026a). Metrics and scoring: quantifying the quality of predictions. scikit-learn. https://scikit-learn.org/stable/modules/model_evaluation.html</w:t>
      </w:r>
    </w:p>
    <w:p>
      <w:pPr>
        <w:ind w:left="567" w:hanging="567"/>
      </w:pPr>
      <w:r>
        <w:t>scikit-learn Developers. (2026b). Cross-validation: evaluating estimator performance. scikit-learn. https://scikit-learn.org/stable/modules/cross_validation.html</w:t>
      </w:r>
    </w:p>
    <w:p>
      <w:r>
        <w:br w:type="page"/>
      </w:r>
    </w:p>
    <w:p>
      <w:pPr>
        <w:pStyle w:val="Heading1"/>
      </w:pPr>
      <w:r>
        <w:t>XV. Anexos</w:t>
      </w:r>
    </w:p>
    <w:p>
      <w:pPr>
        <w:pStyle w:val="Heading2"/>
      </w:pPr>
      <w:r>
        <w:t>Anexo A. Reporte de clasificación detallado por clase — modelo campeón (MLP 1 capa oculta)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val="clear" w:color="auto" w:fill="0A3B49"/>
          </w:tcPr>
          <w:p>
            <w:pPr>
              <w:jc w:val="center"/>
            </w:pPr>
            <w:r/>
            <w:r>
              <w:rPr>
                <w:rFonts w:ascii="Calibri" w:hAnsi="Calibri"/>
                <w:b/>
                <w:color w:val="FFFFFF"/>
                <w:sz w:val="20"/>
              </w:rPr>
              <w:t>Clase</w:t>
            </w:r>
          </w:p>
        </w:tc>
        <w:tc>
          <w:tcPr>
            <w:tcW w:type="dxa" w:w="1701"/>
            <w:shd w:val="clear" w:color="auto" w:fill="0A3B49"/>
          </w:tcPr>
          <w:p>
            <w:pPr>
              <w:jc w:val="center"/>
            </w:pPr>
            <w:r/>
            <w:r>
              <w:rPr>
                <w:rFonts w:ascii="Calibri" w:hAnsi="Calibri"/>
                <w:b/>
                <w:color w:val="FFFFFF"/>
                <w:sz w:val="20"/>
              </w:rPr>
              <w:t>Precision</w:t>
            </w:r>
          </w:p>
        </w:tc>
        <w:tc>
          <w:tcPr>
            <w:tcW w:type="dxa" w:w="1701"/>
            <w:shd w:val="clear" w:color="auto" w:fill="0A3B49"/>
          </w:tcPr>
          <w:p>
            <w:pPr>
              <w:jc w:val="center"/>
            </w:pPr>
            <w:r/>
            <w:r>
              <w:rPr>
                <w:rFonts w:ascii="Calibri" w:hAnsi="Calibri"/>
                <w:b/>
                <w:color w:val="FFFFFF"/>
                <w:sz w:val="20"/>
              </w:rPr>
              <w:t>Recall</w:t>
            </w:r>
          </w:p>
        </w:tc>
        <w:tc>
          <w:tcPr>
            <w:tcW w:type="dxa" w:w="1701"/>
            <w:shd w:val="clear" w:color="auto" w:fill="0A3B49"/>
          </w:tcPr>
          <w:p>
            <w:pPr>
              <w:jc w:val="center"/>
            </w:pPr>
            <w:r/>
            <w:r>
              <w:rPr>
                <w:rFonts w:ascii="Calibri" w:hAnsi="Calibri"/>
                <w:b/>
                <w:color w:val="FFFFFF"/>
                <w:sz w:val="20"/>
              </w:rPr>
              <w:t>F1-score</w:t>
            </w:r>
          </w:p>
        </w:tc>
        <w:tc>
          <w:tcPr>
            <w:tcW w:type="dxa" w:w="1701"/>
            <w:shd w:val="clear" w:color="auto" w:fill="0A3B49"/>
          </w:tcPr>
          <w:p>
            <w:pPr>
              <w:jc w:val="center"/>
            </w:pPr>
            <w:r/>
            <w:r>
              <w:rPr>
                <w:rFonts w:ascii="Calibri" w:hAnsi="Calibri"/>
                <w:b/>
                <w:color w:val="FFFFFF"/>
                <w:sz w:val="20"/>
              </w:rPr>
              <w:t>Soporte (n)</w:t>
            </w:r>
          </w:p>
        </w:tc>
      </w:tr>
      <w:tr>
        <w:tc>
          <w:tcPr>
            <w:tcW w:type="dxa" w:w="2268"/>
          </w:tcPr>
          <w:p>
            <w:r/>
            <w:r>
              <w:rPr>
                <w:rFonts w:ascii="Calibri" w:hAnsi="Calibri"/>
                <w:b w:val="0"/>
                <w:sz w:val="20"/>
              </w:rPr>
              <w:t>Low</w:t>
            </w:r>
          </w:p>
        </w:tc>
        <w:tc>
          <w:tcPr>
            <w:tcW w:type="dxa" w:w="1701"/>
          </w:tcPr>
          <w:p>
            <w:pPr>
              <w:jc w:val="center"/>
            </w:pPr>
            <w:r/>
            <w:r>
              <w:rPr>
                <w:rFonts w:ascii="Calibri" w:hAnsi="Calibri"/>
                <w:b w:val="0"/>
                <w:sz w:val="20"/>
              </w:rPr>
              <w:t>1,00</w:t>
            </w:r>
          </w:p>
        </w:tc>
        <w:tc>
          <w:tcPr>
            <w:tcW w:type="dxa" w:w="1701"/>
          </w:tcPr>
          <w:p>
            <w:pPr>
              <w:jc w:val="center"/>
            </w:pPr>
            <w:r/>
            <w:r>
              <w:rPr>
                <w:rFonts w:ascii="Calibri" w:hAnsi="Calibri"/>
                <w:b w:val="0"/>
                <w:sz w:val="20"/>
              </w:rPr>
              <w:t>1,00</w:t>
            </w:r>
          </w:p>
        </w:tc>
        <w:tc>
          <w:tcPr>
            <w:tcW w:type="dxa" w:w="1701"/>
          </w:tcPr>
          <w:p>
            <w:pPr>
              <w:jc w:val="center"/>
            </w:pPr>
            <w:r/>
            <w:r>
              <w:rPr>
                <w:rFonts w:ascii="Calibri" w:hAnsi="Calibri"/>
                <w:b w:val="0"/>
                <w:sz w:val="20"/>
              </w:rPr>
              <w:t>1,00</w:t>
            </w:r>
          </w:p>
        </w:tc>
        <w:tc>
          <w:tcPr>
            <w:tcW w:type="dxa" w:w="1701"/>
          </w:tcPr>
          <w:p>
            <w:pPr>
              <w:jc w:val="center"/>
            </w:pPr>
            <w:r/>
            <w:r>
              <w:rPr>
                <w:rFonts w:ascii="Calibri" w:hAnsi="Calibri"/>
                <w:b w:val="0"/>
                <w:sz w:val="20"/>
              </w:rPr>
              <w:t>148</w:t>
            </w:r>
          </w:p>
        </w:tc>
      </w:tr>
      <w:tr>
        <w:tc>
          <w:tcPr>
            <w:tcW w:type="dxa" w:w="2268"/>
            <w:shd w:val="clear" w:color="auto" w:fill="F2F2F2"/>
          </w:tcPr>
          <w:p>
            <w:r/>
            <w:r>
              <w:rPr>
                <w:rFonts w:ascii="Calibri" w:hAnsi="Calibri"/>
                <w:b w:val="0"/>
                <w:sz w:val="20"/>
              </w:rPr>
              <w:t>Medium</w:t>
            </w:r>
          </w:p>
        </w:tc>
        <w:tc>
          <w:tcPr>
            <w:tcW w:type="dxa" w:w="1701"/>
            <w:shd w:val="clear" w:color="auto" w:fill="F2F2F2"/>
          </w:tcPr>
          <w:p>
            <w:pPr>
              <w:jc w:val="center"/>
            </w:pPr>
            <w:r/>
            <w:r>
              <w:rPr>
                <w:rFonts w:ascii="Calibri" w:hAnsi="Calibri"/>
                <w:b w:val="0"/>
                <w:sz w:val="20"/>
              </w:rPr>
              <w:t>1,00</w:t>
            </w:r>
          </w:p>
        </w:tc>
        <w:tc>
          <w:tcPr>
            <w:tcW w:type="dxa" w:w="1701"/>
            <w:shd w:val="clear" w:color="auto" w:fill="F2F2F2"/>
          </w:tcPr>
          <w:p>
            <w:pPr>
              <w:jc w:val="center"/>
            </w:pPr>
            <w:r/>
            <w:r>
              <w:rPr>
                <w:rFonts w:ascii="Calibri" w:hAnsi="Calibri"/>
                <w:b w:val="0"/>
                <w:sz w:val="20"/>
              </w:rPr>
              <w:t>0,99</w:t>
            </w:r>
          </w:p>
        </w:tc>
        <w:tc>
          <w:tcPr>
            <w:tcW w:type="dxa" w:w="1701"/>
            <w:shd w:val="clear" w:color="auto" w:fill="F2F2F2"/>
          </w:tcPr>
          <w:p>
            <w:pPr>
              <w:jc w:val="center"/>
            </w:pPr>
            <w:r/>
            <w:r>
              <w:rPr>
                <w:rFonts w:ascii="Calibri" w:hAnsi="Calibri"/>
                <w:b w:val="0"/>
                <w:sz w:val="20"/>
              </w:rPr>
              <w:t>0,99</w:t>
            </w:r>
          </w:p>
        </w:tc>
        <w:tc>
          <w:tcPr>
            <w:tcW w:type="dxa" w:w="1701"/>
            <w:shd w:val="clear" w:color="auto" w:fill="F2F2F2"/>
          </w:tcPr>
          <w:p>
            <w:pPr>
              <w:jc w:val="center"/>
            </w:pPr>
            <w:r/>
            <w:r>
              <w:rPr>
                <w:rFonts w:ascii="Calibri" w:hAnsi="Calibri"/>
                <w:b w:val="0"/>
                <w:sz w:val="20"/>
              </w:rPr>
              <w:t>304</w:t>
            </w:r>
          </w:p>
        </w:tc>
      </w:tr>
      <w:tr>
        <w:tc>
          <w:tcPr>
            <w:tcW w:type="dxa" w:w="2268"/>
          </w:tcPr>
          <w:p>
            <w:r/>
            <w:r>
              <w:rPr>
                <w:rFonts w:ascii="Calibri" w:hAnsi="Calibri"/>
                <w:b w:val="0"/>
                <w:sz w:val="20"/>
              </w:rPr>
              <w:t>High</w:t>
            </w:r>
          </w:p>
        </w:tc>
        <w:tc>
          <w:tcPr>
            <w:tcW w:type="dxa" w:w="1701"/>
          </w:tcPr>
          <w:p>
            <w:pPr>
              <w:jc w:val="center"/>
            </w:pPr>
            <w:r/>
            <w:r>
              <w:rPr>
                <w:rFonts w:ascii="Calibri" w:hAnsi="Calibri"/>
                <w:b w:val="0"/>
                <w:sz w:val="20"/>
              </w:rPr>
              <w:t>0,97</w:t>
            </w:r>
          </w:p>
        </w:tc>
        <w:tc>
          <w:tcPr>
            <w:tcW w:type="dxa" w:w="1701"/>
          </w:tcPr>
          <w:p>
            <w:pPr>
              <w:jc w:val="center"/>
            </w:pPr>
            <w:r/>
            <w:r>
              <w:rPr>
                <w:rFonts w:ascii="Calibri" w:hAnsi="Calibri"/>
                <w:b w:val="0"/>
                <w:sz w:val="20"/>
              </w:rPr>
              <w:t>1,00</w:t>
            </w:r>
          </w:p>
        </w:tc>
        <w:tc>
          <w:tcPr>
            <w:tcW w:type="dxa" w:w="1701"/>
          </w:tcPr>
          <w:p>
            <w:pPr>
              <w:jc w:val="center"/>
            </w:pPr>
            <w:r/>
            <w:r>
              <w:rPr>
                <w:rFonts w:ascii="Calibri" w:hAnsi="Calibri"/>
                <w:b w:val="0"/>
                <w:sz w:val="20"/>
              </w:rPr>
              <w:t>0,99</w:t>
            </w:r>
          </w:p>
        </w:tc>
        <w:tc>
          <w:tcPr>
            <w:tcW w:type="dxa" w:w="1701"/>
          </w:tcPr>
          <w:p>
            <w:pPr>
              <w:jc w:val="center"/>
            </w:pPr>
            <w:r/>
            <w:r>
              <w:rPr>
                <w:rFonts w:ascii="Calibri" w:hAnsi="Calibri"/>
                <w:b w:val="0"/>
                <w:sz w:val="20"/>
              </w:rPr>
              <w:t>148</w:t>
            </w:r>
          </w:p>
        </w:tc>
      </w:tr>
      <w:tr>
        <w:tc>
          <w:tcPr>
            <w:tcW w:type="dxa" w:w="2268"/>
            <w:shd w:val="clear" w:color="auto" w:fill="F2F2F2"/>
          </w:tcPr>
          <w:p>
            <w:r/>
            <w:r>
              <w:rPr>
                <w:rFonts w:ascii="Calibri" w:hAnsi="Calibri"/>
                <w:b w:val="0"/>
                <w:sz w:val="20"/>
              </w:rPr>
              <w:t>Accuracy global</w:t>
            </w:r>
          </w:p>
        </w:tc>
        <w:tc>
          <w:tcPr>
            <w:tcW w:type="dxa" w:w="1701"/>
            <w:shd w:val="clear" w:color="auto" w:fill="F2F2F2"/>
          </w:tcPr>
          <w:p>
            <w:pPr>
              <w:jc w:val="center"/>
            </w:pPr>
            <w:r/>
            <w:r>
              <w:rPr>
                <w:rFonts w:ascii="Calibri" w:hAnsi="Calibri"/>
                <w:b w:val="0"/>
                <w:sz w:val="20"/>
              </w:rPr>
            </w:r>
          </w:p>
        </w:tc>
        <w:tc>
          <w:tcPr>
            <w:tcW w:type="dxa" w:w="1701"/>
            <w:shd w:val="clear" w:color="auto" w:fill="F2F2F2"/>
          </w:tcPr>
          <w:p>
            <w:pPr>
              <w:jc w:val="center"/>
            </w:pPr>
            <w:r/>
            <w:r>
              <w:rPr>
                <w:rFonts w:ascii="Calibri" w:hAnsi="Calibri"/>
                <w:b w:val="0"/>
                <w:sz w:val="20"/>
              </w:rPr>
            </w:r>
          </w:p>
        </w:tc>
        <w:tc>
          <w:tcPr>
            <w:tcW w:type="dxa" w:w="1701"/>
            <w:shd w:val="clear" w:color="auto" w:fill="F2F2F2"/>
          </w:tcPr>
          <w:p>
            <w:pPr>
              <w:jc w:val="center"/>
            </w:pPr>
            <w:r/>
            <w:r>
              <w:rPr>
                <w:rFonts w:ascii="Calibri" w:hAnsi="Calibri"/>
                <w:b w:val="0"/>
                <w:sz w:val="20"/>
              </w:rPr>
              <w:t>0,9933</w:t>
            </w:r>
          </w:p>
        </w:tc>
        <w:tc>
          <w:tcPr>
            <w:tcW w:type="dxa" w:w="1701"/>
            <w:shd w:val="clear" w:color="auto" w:fill="F2F2F2"/>
          </w:tcPr>
          <w:p>
            <w:pPr>
              <w:jc w:val="center"/>
            </w:pPr>
            <w:r/>
            <w:r>
              <w:rPr>
                <w:rFonts w:ascii="Calibri" w:hAnsi="Calibri"/>
                <w:b w:val="0"/>
                <w:sz w:val="20"/>
              </w:rPr>
              <w:t>600</w:t>
            </w:r>
          </w:p>
        </w:tc>
      </w:tr>
      <w:tr>
        <w:tc>
          <w:tcPr>
            <w:tcW w:type="dxa" w:w="2268"/>
          </w:tcPr>
          <w:p>
            <w:r/>
            <w:r>
              <w:rPr>
                <w:rFonts w:ascii="Calibri" w:hAnsi="Calibri"/>
                <w:b w:val="0"/>
                <w:sz w:val="20"/>
              </w:rPr>
              <w:t>Macro avg</w:t>
            </w:r>
          </w:p>
        </w:tc>
        <w:tc>
          <w:tcPr>
            <w:tcW w:type="dxa" w:w="1701"/>
          </w:tcPr>
          <w:p>
            <w:pPr>
              <w:jc w:val="center"/>
            </w:pPr>
            <w:r/>
            <w:r>
              <w:rPr>
                <w:rFonts w:ascii="Calibri" w:hAnsi="Calibri"/>
                <w:b w:val="0"/>
                <w:sz w:val="20"/>
              </w:rPr>
              <w:t>0,99</w:t>
            </w:r>
          </w:p>
        </w:tc>
        <w:tc>
          <w:tcPr>
            <w:tcW w:type="dxa" w:w="1701"/>
          </w:tcPr>
          <w:p>
            <w:pPr>
              <w:jc w:val="center"/>
            </w:pPr>
            <w:r/>
            <w:r>
              <w:rPr>
                <w:rFonts w:ascii="Calibri" w:hAnsi="Calibri"/>
                <w:b w:val="0"/>
                <w:sz w:val="20"/>
              </w:rPr>
              <w:t>1,00</w:t>
            </w:r>
          </w:p>
        </w:tc>
        <w:tc>
          <w:tcPr>
            <w:tcW w:type="dxa" w:w="1701"/>
          </w:tcPr>
          <w:p>
            <w:pPr>
              <w:jc w:val="center"/>
            </w:pPr>
            <w:r/>
            <w:r>
              <w:rPr>
                <w:rFonts w:ascii="Calibri" w:hAnsi="Calibri"/>
                <w:b w:val="0"/>
                <w:sz w:val="20"/>
              </w:rPr>
              <w:t>0,99</w:t>
            </w:r>
          </w:p>
        </w:tc>
        <w:tc>
          <w:tcPr>
            <w:tcW w:type="dxa" w:w="1701"/>
          </w:tcPr>
          <w:p>
            <w:pPr>
              <w:jc w:val="center"/>
            </w:pPr>
            <w:r/>
            <w:r>
              <w:rPr>
                <w:rFonts w:ascii="Calibri" w:hAnsi="Calibri"/>
                <w:b w:val="0"/>
                <w:sz w:val="20"/>
              </w:rPr>
              <w:t>600</w:t>
            </w:r>
          </w:p>
        </w:tc>
      </w:tr>
      <w:tr>
        <w:tc>
          <w:tcPr>
            <w:tcW w:type="dxa" w:w="2268"/>
            <w:shd w:val="clear" w:color="auto" w:fill="F2F2F2"/>
          </w:tcPr>
          <w:p>
            <w:r/>
            <w:r>
              <w:rPr>
                <w:rFonts w:ascii="Calibri" w:hAnsi="Calibri"/>
                <w:b w:val="0"/>
                <w:sz w:val="20"/>
              </w:rPr>
              <w:t>Weighted avg</w:t>
            </w:r>
          </w:p>
        </w:tc>
        <w:tc>
          <w:tcPr>
            <w:tcW w:type="dxa" w:w="1701"/>
            <w:shd w:val="clear" w:color="auto" w:fill="F2F2F2"/>
          </w:tcPr>
          <w:p>
            <w:pPr>
              <w:jc w:val="center"/>
            </w:pPr>
            <w:r/>
            <w:r>
              <w:rPr>
                <w:rFonts w:ascii="Calibri" w:hAnsi="Calibri"/>
                <w:b w:val="0"/>
                <w:sz w:val="20"/>
              </w:rPr>
              <w:t>0,99</w:t>
            </w:r>
          </w:p>
        </w:tc>
        <w:tc>
          <w:tcPr>
            <w:tcW w:type="dxa" w:w="1701"/>
            <w:shd w:val="clear" w:color="auto" w:fill="F2F2F2"/>
          </w:tcPr>
          <w:p>
            <w:pPr>
              <w:jc w:val="center"/>
            </w:pPr>
            <w:r/>
            <w:r>
              <w:rPr>
                <w:rFonts w:ascii="Calibri" w:hAnsi="Calibri"/>
                <w:b w:val="0"/>
                <w:sz w:val="20"/>
              </w:rPr>
              <w:t>0,99</w:t>
            </w:r>
          </w:p>
        </w:tc>
        <w:tc>
          <w:tcPr>
            <w:tcW w:type="dxa" w:w="1701"/>
            <w:shd w:val="clear" w:color="auto" w:fill="F2F2F2"/>
          </w:tcPr>
          <w:p>
            <w:pPr>
              <w:jc w:val="center"/>
            </w:pPr>
            <w:r/>
            <w:r>
              <w:rPr>
                <w:rFonts w:ascii="Calibri" w:hAnsi="Calibri"/>
                <w:b w:val="0"/>
                <w:sz w:val="20"/>
              </w:rPr>
              <w:t>0,99</w:t>
            </w:r>
          </w:p>
        </w:tc>
        <w:tc>
          <w:tcPr>
            <w:tcW w:type="dxa" w:w="1701"/>
            <w:shd w:val="clear" w:color="auto" w:fill="F2F2F2"/>
          </w:tcPr>
          <w:p>
            <w:pPr>
              <w:jc w:val="center"/>
            </w:pPr>
            <w:r/>
            <w:r>
              <w:rPr>
                <w:rFonts w:ascii="Calibri" w:hAnsi="Calibri"/>
                <w:b w:val="0"/>
                <w:sz w:val="20"/>
              </w:rPr>
              <w:t>600</w:t>
            </w:r>
          </w:p>
        </w:tc>
      </w:tr>
    </w:tbl>
    <w:p>
      <w:pPr>
        <w:spacing w:after="40"/>
      </w:pPr>
    </w:p>
    <w:p>
      <w:pPr>
        <w:pStyle w:val="Heading2"/>
      </w:pPr>
      <w:r>
        <w:t>Anexo B. Correspondencia entre figuras y contenido del informe</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color="auto" w:fill="0A3B49"/>
          </w:tcPr>
          <w:p>
            <w:pPr>
              <w:jc w:val="center"/>
            </w:pPr>
            <w:r/>
            <w:r>
              <w:rPr>
                <w:rFonts w:ascii="Calibri" w:hAnsi="Calibri"/>
                <w:b/>
                <w:color w:val="FFFFFF"/>
                <w:sz w:val="20"/>
              </w:rPr>
              <w:t>Figura</w:t>
            </w:r>
          </w:p>
        </w:tc>
        <w:tc>
          <w:tcPr>
            <w:tcW w:type="dxa" w:w="3628"/>
            <w:shd w:val="clear" w:color="auto" w:fill="0A3B49"/>
          </w:tcPr>
          <w:p>
            <w:pPr>
              <w:jc w:val="center"/>
            </w:pPr>
            <w:r/>
            <w:r>
              <w:rPr>
                <w:rFonts w:ascii="Calibri" w:hAnsi="Calibri"/>
                <w:b/>
                <w:color w:val="FFFFFF"/>
                <w:sz w:val="20"/>
              </w:rPr>
              <w:t>Contenido</w:t>
            </w:r>
          </w:p>
        </w:tc>
        <w:tc>
          <w:tcPr>
            <w:tcW w:type="dxa" w:w="3969"/>
            <w:shd w:val="clear" w:color="auto" w:fill="0A3B49"/>
          </w:tcPr>
          <w:p>
            <w:pPr>
              <w:jc w:val="center"/>
            </w:pPr>
            <w:r/>
            <w:r>
              <w:rPr>
                <w:rFonts w:ascii="Calibri" w:hAnsi="Calibri"/>
                <w:b/>
                <w:color w:val="FFFFFF"/>
                <w:sz w:val="20"/>
              </w:rPr>
              <w:t>Relación con el informe</w:t>
            </w:r>
          </w:p>
        </w:tc>
      </w:tr>
      <w:tr>
        <w:tc>
          <w:tcPr>
            <w:tcW w:type="dxa" w:w="1474"/>
          </w:tcPr>
          <w:p>
            <w:r/>
            <w:r>
              <w:rPr>
                <w:rFonts w:ascii="Calibri" w:hAnsi="Calibri"/>
                <w:b w:val="0"/>
                <w:sz w:val="20"/>
              </w:rPr>
              <w:t>Figura 1</w:t>
            </w:r>
          </w:p>
        </w:tc>
        <w:tc>
          <w:tcPr>
            <w:tcW w:type="dxa" w:w="3628"/>
          </w:tcPr>
          <w:p>
            <w:pPr>
              <w:jc w:val="center"/>
            </w:pPr>
            <w:r/>
            <w:r>
              <w:rPr>
                <w:rFonts w:ascii="Calibri" w:hAnsi="Calibri"/>
                <w:b w:val="0"/>
                <w:sz w:val="20"/>
              </w:rPr>
              <w:t>Distribución de clases de Risk_Category</w:t>
            </w:r>
          </w:p>
        </w:tc>
        <w:tc>
          <w:tcPr>
            <w:tcW w:type="dxa" w:w="3969"/>
          </w:tcPr>
          <w:p>
            <w:pPr>
              <w:jc w:val="center"/>
            </w:pPr>
            <w:r/>
            <w:r>
              <w:rPr>
                <w:rFonts w:ascii="Calibri" w:hAnsi="Calibri"/>
                <w:b w:val="0"/>
                <w:sz w:val="20"/>
              </w:rPr>
              <w:t>Contexto de la variable objetivo (sección II)</w:t>
            </w:r>
          </w:p>
        </w:tc>
      </w:tr>
      <w:tr>
        <w:tc>
          <w:tcPr>
            <w:tcW w:type="dxa" w:w="1474"/>
            <w:shd w:val="clear" w:color="auto" w:fill="F2F2F2"/>
          </w:tcPr>
          <w:p>
            <w:r/>
            <w:r>
              <w:rPr>
                <w:rFonts w:ascii="Calibri" w:hAnsi="Calibri"/>
                <w:b w:val="0"/>
                <w:sz w:val="20"/>
              </w:rPr>
              <w:t>Figura 2</w:t>
            </w:r>
          </w:p>
        </w:tc>
        <w:tc>
          <w:tcPr>
            <w:tcW w:type="dxa" w:w="3628"/>
            <w:shd w:val="clear" w:color="auto" w:fill="F2F2F2"/>
          </w:tcPr>
          <w:p>
            <w:pPr>
              <w:jc w:val="center"/>
            </w:pPr>
            <w:r/>
            <w:r>
              <w:rPr>
                <w:rFonts w:ascii="Calibri" w:hAnsi="Calibri"/>
                <w:b w:val="0"/>
                <w:sz w:val="20"/>
              </w:rPr>
              <w:t>Comparación de accuracy y ROC-AUC de los 7 modelos</w:t>
            </w:r>
          </w:p>
        </w:tc>
        <w:tc>
          <w:tcPr>
            <w:tcW w:type="dxa" w:w="3969"/>
            <w:shd w:val="clear" w:color="auto" w:fill="F2F2F2"/>
          </w:tcPr>
          <w:p>
            <w:pPr>
              <w:jc w:val="center"/>
            </w:pPr>
            <w:r/>
            <w:r>
              <w:rPr>
                <w:rFonts w:ascii="Calibri" w:hAnsi="Calibri"/>
                <w:b w:val="0"/>
                <w:sz w:val="20"/>
              </w:rPr>
              <w:t>Reporte tabulado comparativo (sección III)</w:t>
            </w:r>
          </w:p>
        </w:tc>
      </w:tr>
      <w:tr>
        <w:tc>
          <w:tcPr>
            <w:tcW w:type="dxa" w:w="1474"/>
          </w:tcPr>
          <w:p>
            <w:r/>
            <w:r>
              <w:rPr>
                <w:rFonts w:ascii="Calibri" w:hAnsi="Calibri"/>
                <w:b w:val="0"/>
                <w:sz w:val="20"/>
              </w:rPr>
              <w:t>Figuras 3-9</w:t>
            </w:r>
          </w:p>
        </w:tc>
        <w:tc>
          <w:tcPr>
            <w:tcW w:type="dxa" w:w="3628"/>
          </w:tcPr>
          <w:p>
            <w:pPr>
              <w:jc w:val="center"/>
            </w:pPr>
            <w:r/>
            <w:r>
              <w:rPr>
                <w:rFonts w:ascii="Calibri" w:hAnsi="Calibri"/>
                <w:b w:val="0"/>
                <w:sz w:val="20"/>
              </w:rPr>
              <w:t>Matrices de confusión por modelo (KNN, Árbol, SVM, NB, MLP1, MLP2, MLP3)</w:t>
            </w:r>
          </w:p>
        </w:tc>
        <w:tc>
          <w:tcPr>
            <w:tcW w:type="dxa" w:w="3969"/>
          </w:tcPr>
          <w:p>
            <w:pPr>
              <w:jc w:val="center"/>
            </w:pPr>
            <w:r/>
            <w:r>
              <w:rPr>
                <w:rFonts w:ascii="Calibri" w:hAnsi="Calibri"/>
                <w:b w:val="0"/>
                <w:sz w:val="20"/>
              </w:rPr>
              <w:t>Evidencia cuantitativa de aciertos y errores por clase (sección IV)</w:t>
            </w:r>
          </w:p>
        </w:tc>
      </w:tr>
      <w:tr>
        <w:tc>
          <w:tcPr>
            <w:tcW w:type="dxa" w:w="1474"/>
            <w:shd w:val="clear" w:color="auto" w:fill="F2F2F2"/>
          </w:tcPr>
          <w:p>
            <w:r/>
            <w:r>
              <w:rPr>
                <w:rFonts w:ascii="Calibri" w:hAnsi="Calibri"/>
                <w:b w:val="0"/>
                <w:sz w:val="20"/>
              </w:rPr>
              <w:t>Figura 10</w:t>
            </w:r>
          </w:p>
        </w:tc>
        <w:tc>
          <w:tcPr>
            <w:tcW w:type="dxa" w:w="3628"/>
            <w:shd w:val="clear" w:color="auto" w:fill="F2F2F2"/>
          </w:tcPr>
          <w:p>
            <w:pPr>
              <w:jc w:val="center"/>
            </w:pPr>
            <w:r/>
            <w:r>
              <w:rPr>
                <w:rFonts w:ascii="Calibri" w:hAnsi="Calibri"/>
                <w:b w:val="0"/>
                <w:sz w:val="20"/>
              </w:rPr>
              <w:t>Accuracy/F1 por fold y matriz de confusión agregada K-Fold</w:t>
            </w:r>
          </w:p>
        </w:tc>
        <w:tc>
          <w:tcPr>
            <w:tcW w:type="dxa" w:w="3969"/>
            <w:shd w:val="clear" w:color="auto" w:fill="F2F2F2"/>
          </w:tcPr>
          <w:p>
            <w:pPr>
              <w:jc w:val="center"/>
            </w:pPr>
            <w:r/>
            <w:r>
              <w:rPr>
                <w:rFonts w:ascii="Calibri" w:hAnsi="Calibri"/>
                <w:b w:val="0"/>
                <w:sz w:val="20"/>
              </w:rPr>
              <w:t>Estabilidad de métricas del modelo campeón (sección IX)</w:t>
            </w:r>
          </w:p>
        </w:tc>
      </w:tr>
    </w:tbl>
    <w:p>
      <w:pPr>
        <w:spacing w:after="40"/>
      </w:pPr>
    </w:p>
    <w:p>
      <w:pPr>
        <w:pStyle w:val="Heading2"/>
      </w:pPr>
      <w:r>
        <w:t>Anexo C. Correspondencia entre criterios de rúbrica y secciones del informe</w:t>
      </w:r>
    </w:p>
    <w:tbl>
      <w:tblPr>
        <w:tblStyle w:val="TableGrid"/>
        <w:tblW w:type="auto" w:w="0"/>
        <w:jc w:val="center"/>
        <w:tblLook w:firstColumn="1" w:firstRow="1" w:lastColumn="0" w:lastRow="0" w:noHBand="0" w:noVBand="1" w:val="04A0"/>
      </w:tblPr>
      <w:tblGrid>
        <w:gridCol w:w="4703"/>
        <w:gridCol w:w="4703"/>
      </w:tblGrid>
      <w:tr>
        <w:tc>
          <w:tcPr>
            <w:tcW w:type="dxa" w:w="5953"/>
            <w:shd w:val="clear" w:color="auto" w:fill="0A3B49"/>
          </w:tcPr>
          <w:p>
            <w:pPr>
              <w:jc w:val="center"/>
            </w:pPr>
            <w:r/>
            <w:r>
              <w:rPr>
                <w:rFonts w:ascii="Calibri" w:hAnsi="Calibri"/>
                <w:b/>
                <w:color w:val="FFFFFF"/>
                <w:sz w:val="20"/>
              </w:rPr>
              <w:t>Criterio de rúbrica</w:t>
            </w:r>
          </w:p>
        </w:tc>
        <w:tc>
          <w:tcPr>
            <w:tcW w:type="dxa" w:w="3118"/>
            <w:shd w:val="clear" w:color="auto" w:fill="0A3B49"/>
          </w:tcPr>
          <w:p>
            <w:pPr>
              <w:jc w:val="center"/>
            </w:pPr>
            <w:r/>
            <w:r>
              <w:rPr>
                <w:rFonts w:ascii="Calibri" w:hAnsi="Calibri"/>
                <w:b/>
                <w:color w:val="FFFFFF"/>
                <w:sz w:val="20"/>
              </w:rPr>
              <w:t>Sección que lo cubre</w:t>
            </w:r>
          </w:p>
        </w:tc>
      </w:tr>
      <w:tr>
        <w:tc>
          <w:tcPr>
            <w:tcW w:type="dxa" w:w="5953"/>
          </w:tcPr>
          <w:p>
            <w:r/>
            <w:r>
              <w:rPr>
                <w:rFonts w:ascii="Calibri" w:hAnsi="Calibri"/>
                <w:b w:val="0"/>
                <w:sz w:val="20"/>
              </w:rPr>
              <w:t>C1. Evaluación del desempeño del modelo</w:t>
            </w:r>
          </w:p>
        </w:tc>
        <w:tc>
          <w:tcPr>
            <w:tcW w:type="dxa" w:w="3118"/>
          </w:tcPr>
          <w:p>
            <w:pPr>
              <w:jc w:val="center"/>
            </w:pPr>
            <w:r/>
            <w:r>
              <w:rPr>
                <w:rFonts w:ascii="Calibri" w:hAnsi="Calibri"/>
                <w:b w:val="0"/>
                <w:sz w:val="20"/>
              </w:rPr>
              <w:t>II</w:t>
            </w:r>
          </w:p>
        </w:tc>
      </w:tr>
      <w:tr>
        <w:tc>
          <w:tcPr>
            <w:tcW w:type="dxa" w:w="5953"/>
            <w:shd w:val="clear" w:color="auto" w:fill="F2F2F2"/>
          </w:tcPr>
          <w:p>
            <w:r/>
            <w:r>
              <w:rPr>
                <w:rFonts w:ascii="Calibri" w:hAnsi="Calibri"/>
                <w:b w:val="0"/>
                <w:sz w:val="20"/>
              </w:rPr>
              <w:t>C2. Reporte tabulado e interpretación de métricas del modelo</w:t>
            </w:r>
          </w:p>
        </w:tc>
        <w:tc>
          <w:tcPr>
            <w:tcW w:type="dxa" w:w="3118"/>
            <w:shd w:val="clear" w:color="auto" w:fill="F2F2F2"/>
          </w:tcPr>
          <w:p>
            <w:pPr>
              <w:jc w:val="center"/>
            </w:pPr>
            <w:r/>
            <w:r>
              <w:rPr>
                <w:rFonts w:ascii="Calibri" w:hAnsi="Calibri"/>
                <w:b w:val="0"/>
                <w:sz w:val="20"/>
              </w:rPr>
              <w:t>III</w:t>
            </w:r>
          </w:p>
        </w:tc>
      </w:tr>
      <w:tr>
        <w:tc>
          <w:tcPr>
            <w:tcW w:type="dxa" w:w="5953"/>
          </w:tcPr>
          <w:p>
            <w:r/>
            <w:r>
              <w:rPr>
                <w:rFonts w:ascii="Calibri" w:hAnsi="Calibri"/>
                <w:b w:val="0"/>
                <w:sz w:val="20"/>
              </w:rPr>
              <w:t>C3. Matriz de confusión y métricas de clasificación</w:t>
            </w:r>
          </w:p>
        </w:tc>
        <w:tc>
          <w:tcPr>
            <w:tcW w:type="dxa" w:w="3118"/>
          </w:tcPr>
          <w:p>
            <w:pPr>
              <w:jc w:val="center"/>
            </w:pPr>
            <w:r/>
            <w:r>
              <w:rPr>
                <w:rFonts w:ascii="Calibri" w:hAnsi="Calibri"/>
                <w:b w:val="0"/>
                <w:sz w:val="20"/>
              </w:rPr>
              <w:t>IV</w:t>
            </w:r>
          </w:p>
        </w:tc>
      </w:tr>
      <w:tr>
        <w:tc>
          <w:tcPr>
            <w:tcW w:type="dxa" w:w="5953"/>
            <w:shd w:val="clear" w:color="auto" w:fill="F2F2F2"/>
          </w:tcPr>
          <w:p>
            <w:r/>
            <w:r>
              <w:rPr>
                <w:rFonts w:ascii="Calibri" w:hAnsi="Calibri"/>
                <w:b w:val="0"/>
                <w:sz w:val="20"/>
              </w:rPr>
              <w:t>C4. Interpretación del desempeño del modelo</w:t>
            </w:r>
          </w:p>
        </w:tc>
        <w:tc>
          <w:tcPr>
            <w:tcW w:type="dxa" w:w="3118"/>
            <w:shd w:val="clear" w:color="auto" w:fill="F2F2F2"/>
          </w:tcPr>
          <w:p>
            <w:pPr>
              <w:jc w:val="center"/>
            </w:pPr>
            <w:r/>
            <w:r>
              <w:rPr>
                <w:rFonts w:ascii="Calibri" w:hAnsi="Calibri"/>
                <w:b w:val="0"/>
                <w:sz w:val="20"/>
              </w:rPr>
              <w:t>V</w:t>
            </w:r>
          </w:p>
        </w:tc>
      </w:tr>
      <w:tr>
        <w:tc>
          <w:tcPr>
            <w:tcW w:type="dxa" w:w="5953"/>
          </w:tcPr>
          <w:p>
            <w:r/>
            <w:r>
              <w:rPr>
                <w:rFonts w:ascii="Calibri" w:hAnsi="Calibri"/>
                <w:b w:val="0"/>
                <w:sz w:val="20"/>
              </w:rPr>
              <w:t>C5. Interpretación para toma de decisiones</w:t>
            </w:r>
          </w:p>
        </w:tc>
        <w:tc>
          <w:tcPr>
            <w:tcW w:type="dxa" w:w="3118"/>
          </w:tcPr>
          <w:p>
            <w:pPr>
              <w:jc w:val="center"/>
            </w:pPr>
            <w:r/>
            <w:r>
              <w:rPr>
                <w:rFonts w:ascii="Calibri" w:hAnsi="Calibri"/>
                <w:b w:val="0"/>
                <w:sz w:val="20"/>
              </w:rPr>
              <w:t>VI</w:t>
            </w:r>
          </w:p>
        </w:tc>
      </w:tr>
      <w:tr>
        <w:tc>
          <w:tcPr>
            <w:tcW w:type="dxa" w:w="5953"/>
            <w:shd w:val="clear" w:color="auto" w:fill="F2F2F2"/>
          </w:tcPr>
          <w:p>
            <w:r/>
            <w:r>
              <w:rPr>
                <w:rFonts w:ascii="Calibri" w:hAnsi="Calibri"/>
                <w:b w:val="0"/>
                <w:sz w:val="20"/>
              </w:rPr>
              <w:t>C6. Notebook y trazabilidad del proceso de evaluación del modelo</w:t>
            </w:r>
          </w:p>
        </w:tc>
        <w:tc>
          <w:tcPr>
            <w:tcW w:type="dxa" w:w="3118"/>
            <w:shd w:val="clear" w:color="auto" w:fill="F2F2F2"/>
          </w:tcPr>
          <w:p>
            <w:pPr>
              <w:jc w:val="center"/>
            </w:pPr>
            <w:r/>
            <w:r>
              <w:rPr>
                <w:rFonts w:ascii="Calibri" w:hAnsi="Calibri"/>
                <w:b w:val="0"/>
                <w:sz w:val="20"/>
              </w:rPr>
              <w:t>VII</w:t>
            </w:r>
          </w:p>
        </w:tc>
      </w:tr>
      <w:tr>
        <w:tc>
          <w:tcPr>
            <w:tcW w:type="dxa" w:w="5953"/>
          </w:tcPr>
          <w:p>
            <w:r/>
            <w:r>
              <w:rPr>
                <w:rFonts w:ascii="Calibri" w:hAnsi="Calibri"/>
                <w:b w:val="0"/>
                <w:sz w:val="20"/>
              </w:rPr>
              <w:t>C7. Conclusiones técnicas del desempeño del modelo</w:t>
            </w:r>
          </w:p>
        </w:tc>
        <w:tc>
          <w:tcPr>
            <w:tcW w:type="dxa" w:w="3118"/>
          </w:tcPr>
          <w:p>
            <w:pPr>
              <w:jc w:val="center"/>
            </w:pPr>
            <w:r/>
            <w:r>
              <w:rPr>
                <w:rFonts w:ascii="Calibri" w:hAnsi="Calibri"/>
                <w:b w:val="0"/>
                <w:sz w:val="20"/>
              </w:rPr>
              <w:t>VIII</w:t>
            </w:r>
          </w:p>
        </w:tc>
      </w:tr>
      <w:tr>
        <w:tc>
          <w:tcPr>
            <w:tcW w:type="dxa" w:w="5953"/>
            <w:shd w:val="clear" w:color="auto" w:fill="F2F2F2"/>
          </w:tcPr>
          <w:p>
            <w:r/>
            <w:r>
              <w:rPr>
                <w:rFonts w:ascii="Calibri" w:hAnsi="Calibri"/>
                <w:b w:val="0"/>
                <w:sz w:val="20"/>
              </w:rPr>
              <w:t>C8. Reporte tabulado e interpretación de estabilidad de métricas</w:t>
            </w:r>
          </w:p>
        </w:tc>
        <w:tc>
          <w:tcPr>
            <w:tcW w:type="dxa" w:w="3118"/>
            <w:shd w:val="clear" w:color="auto" w:fill="F2F2F2"/>
          </w:tcPr>
          <w:p>
            <w:pPr>
              <w:jc w:val="center"/>
            </w:pPr>
            <w:r/>
            <w:r>
              <w:rPr>
                <w:rFonts w:ascii="Calibri" w:hAnsi="Calibri"/>
                <w:b w:val="0"/>
                <w:sz w:val="20"/>
              </w:rPr>
              <w:t>IX</w:t>
            </w:r>
          </w:p>
        </w:tc>
      </w:tr>
      <w:tr>
        <w:tc>
          <w:tcPr>
            <w:tcW w:type="dxa" w:w="5953"/>
          </w:tcPr>
          <w:p>
            <w:r/>
            <w:r>
              <w:rPr>
                <w:rFonts w:ascii="Calibri" w:hAnsi="Calibri"/>
                <w:b w:val="0"/>
                <w:sz w:val="20"/>
              </w:rPr>
              <w:t>C9. Justificación de técnica de validación</w:t>
            </w:r>
          </w:p>
        </w:tc>
        <w:tc>
          <w:tcPr>
            <w:tcW w:type="dxa" w:w="3118"/>
          </w:tcPr>
          <w:p>
            <w:pPr>
              <w:jc w:val="center"/>
            </w:pPr>
            <w:r/>
            <w:r>
              <w:rPr>
                <w:rFonts w:ascii="Calibri" w:hAnsi="Calibri"/>
                <w:b w:val="0"/>
                <w:sz w:val="20"/>
              </w:rPr>
              <w:t>X</w:t>
            </w:r>
          </w:p>
        </w:tc>
      </w:tr>
      <w:tr>
        <w:tc>
          <w:tcPr>
            <w:tcW w:type="dxa" w:w="5953"/>
            <w:shd w:val="clear" w:color="auto" w:fill="F2F2F2"/>
          </w:tcPr>
          <w:p>
            <w:r/>
            <w:r>
              <w:rPr>
                <w:rFonts w:ascii="Calibri" w:hAnsi="Calibri"/>
                <w:b w:val="0"/>
                <w:sz w:val="20"/>
              </w:rPr>
              <w:t>C10. Coherencia metodológica de validación</w:t>
            </w:r>
          </w:p>
        </w:tc>
        <w:tc>
          <w:tcPr>
            <w:tcW w:type="dxa" w:w="3118"/>
            <w:shd w:val="clear" w:color="auto" w:fill="F2F2F2"/>
          </w:tcPr>
          <w:p>
            <w:pPr>
              <w:jc w:val="center"/>
            </w:pPr>
            <w:r/>
            <w:r>
              <w:rPr>
                <w:rFonts w:ascii="Calibri" w:hAnsi="Calibri"/>
                <w:b w:val="0"/>
                <w:sz w:val="20"/>
              </w:rPr>
              <w:t>XI</w:t>
            </w:r>
          </w:p>
        </w:tc>
      </w:tr>
      <w:tr>
        <w:tc>
          <w:tcPr>
            <w:tcW w:type="dxa" w:w="5953"/>
          </w:tcPr>
          <w:p>
            <w:r/>
            <w:r>
              <w:rPr>
                <w:rFonts w:ascii="Calibri" w:hAnsi="Calibri"/>
                <w:b w:val="0"/>
                <w:sz w:val="20"/>
              </w:rPr>
              <w:t>C11. Notebook y trazabilidad del proceso de validación</w:t>
            </w:r>
          </w:p>
        </w:tc>
        <w:tc>
          <w:tcPr>
            <w:tcW w:type="dxa" w:w="3118"/>
          </w:tcPr>
          <w:p>
            <w:pPr>
              <w:jc w:val="center"/>
            </w:pPr>
            <w:r/>
            <w:r>
              <w:rPr>
                <w:rFonts w:ascii="Calibri" w:hAnsi="Calibri"/>
                <w:b w:val="0"/>
                <w:sz w:val="20"/>
              </w:rPr>
              <w:t>XII</w:t>
            </w:r>
          </w:p>
        </w:tc>
      </w:tr>
      <w:tr>
        <w:tc>
          <w:tcPr>
            <w:tcW w:type="dxa" w:w="5953"/>
            <w:shd w:val="clear" w:color="auto" w:fill="F2F2F2"/>
          </w:tcPr>
          <w:p>
            <w:r/>
            <w:r>
              <w:rPr>
                <w:rFonts w:ascii="Calibri" w:hAnsi="Calibri"/>
                <w:b w:val="0"/>
                <w:sz w:val="20"/>
              </w:rPr>
              <w:t>C12. Conclusiones técnicas del proceso de validación</w:t>
            </w:r>
          </w:p>
        </w:tc>
        <w:tc>
          <w:tcPr>
            <w:tcW w:type="dxa" w:w="3118"/>
            <w:shd w:val="clear" w:color="auto" w:fill="F2F2F2"/>
          </w:tcPr>
          <w:p>
            <w:pPr>
              <w:jc w:val="center"/>
            </w:pPr>
            <w:r/>
            <w:r>
              <w:rPr>
                <w:rFonts w:ascii="Calibri" w:hAnsi="Calibri"/>
                <w:b w:val="0"/>
                <w:sz w:val="20"/>
              </w:rPr>
              <w:t>XIII</w:t>
            </w:r>
          </w:p>
        </w:tc>
      </w:tr>
      <w:tr>
        <w:tc>
          <w:tcPr>
            <w:tcW w:type="dxa" w:w="5953"/>
          </w:tcPr>
          <w:p>
            <w:r/>
            <w:r>
              <w:rPr>
                <w:rFonts w:ascii="Calibri" w:hAnsi="Calibri"/>
                <w:b w:val="0"/>
                <w:sz w:val="20"/>
              </w:rPr>
              <w:t>C13. Portada e índice</w:t>
            </w:r>
          </w:p>
        </w:tc>
        <w:tc>
          <w:tcPr>
            <w:tcW w:type="dxa" w:w="3118"/>
          </w:tcPr>
          <w:p>
            <w:pPr>
              <w:jc w:val="center"/>
            </w:pPr>
            <w:r/>
            <w:r>
              <w:rPr>
                <w:rFonts w:ascii="Calibri" w:hAnsi="Calibri"/>
                <w:b w:val="0"/>
                <w:sz w:val="20"/>
              </w:rPr>
              <w:t>I</w:t>
            </w:r>
          </w:p>
        </w:tc>
      </w:tr>
      <w:tr>
        <w:tc>
          <w:tcPr>
            <w:tcW w:type="dxa" w:w="5953"/>
            <w:shd w:val="clear" w:color="auto" w:fill="F2F2F2"/>
          </w:tcPr>
          <w:p>
            <w:r/>
            <w:r>
              <w:rPr>
                <w:rFonts w:ascii="Calibri" w:hAnsi="Calibri"/>
                <w:b w:val="0"/>
                <w:sz w:val="20"/>
              </w:rPr>
              <w:t>C14. Formato institucional</w:t>
            </w:r>
          </w:p>
        </w:tc>
        <w:tc>
          <w:tcPr>
            <w:tcW w:type="dxa" w:w="3118"/>
            <w:shd w:val="clear" w:color="auto" w:fill="F2F2F2"/>
          </w:tcPr>
          <w:p>
            <w:pPr>
              <w:jc w:val="center"/>
            </w:pPr>
            <w:r/>
            <w:r>
              <w:rPr>
                <w:rFonts w:ascii="Calibri" w:hAnsi="Calibri"/>
                <w:b w:val="0"/>
                <w:sz w:val="20"/>
              </w:rPr>
              <w:t>Formato general del documento</w:t>
            </w:r>
          </w:p>
        </w:tc>
      </w:tr>
      <w:tr>
        <w:tc>
          <w:tcPr>
            <w:tcW w:type="dxa" w:w="5953"/>
          </w:tcPr>
          <w:p>
            <w:r/>
            <w:r>
              <w:rPr>
                <w:rFonts w:ascii="Calibri" w:hAnsi="Calibri"/>
                <w:b w:val="0"/>
                <w:sz w:val="20"/>
              </w:rPr>
              <w:t>C15. Ortografía y gramática</w:t>
            </w:r>
          </w:p>
        </w:tc>
        <w:tc>
          <w:tcPr>
            <w:tcW w:type="dxa" w:w="3118"/>
          </w:tcPr>
          <w:p>
            <w:pPr>
              <w:jc w:val="center"/>
            </w:pPr>
            <w:r/>
            <w:r>
              <w:rPr>
                <w:rFonts w:ascii="Calibri" w:hAnsi="Calibri"/>
                <w:b w:val="0"/>
                <w:sz w:val="20"/>
              </w:rPr>
              <w:t>Formato general del documento</w:t>
            </w:r>
          </w:p>
        </w:tc>
      </w:tr>
      <w:tr>
        <w:tc>
          <w:tcPr>
            <w:tcW w:type="dxa" w:w="5953"/>
            <w:shd w:val="clear" w:color="auto" w:fill="F2F2F2"/>
          </w:tcPr>
          <w:p>
            <w:r/>
            <w:r>
              <w:rPr>
                <w:rFonts w:ascii="Calibri" w:hAnsi="Calibri"/>
                <w:b w:val="0"/>
                <w:sz w:val="20"/>
              </w:rPr>
              <w:t>C16. Uso de fuentes, citación y referencias</w:t>
            </w:r>
          </w:p>
        </w:tc>
        <w:tc>
          <w:tcPr>
            <w:tcW w:type="dxa" w:w="3118"/>
            <w:shd w:val="clear" w:color="auto" w:fill="F2F2F2"/>
          </w:tcPr>
          <w:p>
            <w:pPr>
              <w:jc w:val="center"/>
            </w:pPr>
            <w:r/>
            <w:r>
              <w:rPr>
                <w:rFonts w:ascii="Calibri" w:hAnsi="Calibri"/>
                <w:b w:val="0"/>
                <w:sz w:val="20"/>
              </w:rPr>
              <w:t>XIV</w:t>
            </w:r>
          </w:p>
        </w:tc>
      </w:tr>
      <w:tr>
        <w:tc>
          <w:tcPr>
            <w:tcW w:type="dxa" w:w="5953"/>
          </w:tcPr>
          <w:p>
            <w:r/>
            <w:r>
              <w:rPr>
                <w:rFonts w:ascii="Calibri" w:hAnsi="Calibri"/>
                <w:b w:val="0"/>
                <w:sz w:val="20"/>
              </w:rPr>
              <w:t>C17. Anexos</w:t>
            </w:r>
          </w:p>
        </w:tc>
        <w:tc>
          <w:tcPr>
            <w:tcW w:type="dxa" w:w="3118"/>
          </w:tcPr>
          <w:p>
            <w:pPr>
              <w:jc w:val="center"/>
            </w:pPr>
            <w:r/>
            <w:r>
              <w:rPr>
                <w:rFonts w:ascii="Calibri" w:hAnsi="Calibri"/>
                <w:b w:val="0"/>
                <w:sz w:val="20"/>
              </w:rPr>
              <w:t>XV</w:t>
            </w:r>
          </w:p>
        </w:tc>
      </w:tr>
    </w:tbl>
    <w:p>
      <w:pPr>
        <w:spacing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A3B4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A3B4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A3B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27"/>
    </w:pPr>
    <w:rPr>
      <w:rFonts w:ascii="Consolas" w:hAnsi="Consolas"/>
      <w:color w:val="202020"/>
      <w:sz w:val="18"/>
    </w:rPr>
  </w:style>
  <w:style w:type="paragraph" w:customStyle="1" w:styleId="Caption2">
    <w:name w:val="Caption2"/>
    <w:pPr>
      <w:spacing w:after="240"/>
      <w:jc w:val="center"/>
    </w:pPr>
    <w:rPr>
      <w:rFonts w:ascii="Calibri" w:hAnsi="Calibri"/>
      <w:i/>
      <w:color w:val="404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