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737360" cy="581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5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/>
          <w:sz w:val="22"/>
        </w:rPr>
        <w:t>MCDI503</w:t>
      </w:r>
    </w:p>
    <w:p>
      <w:pPr>
        <w:spacing w:after="120"/>
        <w:jc w:val="center"/>
      </w:pPr>
      <w:r>
        <w:rPr>
          <w:sz w:val="21"/>
        </w:rPr>
        <w:t>EXPLORACIÓN INTELIGENTE PARA LA CIENCIA DE DATOS</w:t>
      </w:r>
    </w:p>
    <w:p>
      <w:pPr>
        <w:spacing w:after="120" w:line="252" w:lineRule="auto"/>
        <w:jc w:val="center"/>
      </w:pPr>
      <w:r>
        <w:rPr>
          <w:b/>
          <w:color w:val="1F3864"/>
          <w:sz w:val="30"/>
        </w:rPr>
        <w:t>Pipeline exploratorio reproducible de ingeniería de variables y selección preliminar de características del dataset Titanic — Cierre del proyecto, Fase 4</w:t>
      </w:r>
    </w:p>
    <w:tbl>
      <w:tblPr>
        <w:tblW w:type="auto" w:w="0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1584"/>
        <w:gridCol w:w="7776"/>
      </w:tblGrid>
      <w:tr>
        <w:trPr>
          <w:cantSplit/>
        </w:trPr>
        <w:tc>
          <w:tcPr>
            <w:tcW w:type="dxa" w:w="1584"/>
            <w:shd w:val="clear" w:color="auto" w:fill="EAEFF7"/>
          </w:tcPr>
          <w:p>
            <w:pPr>
              <w:spacing w:line="240" w:lineRule="auto" w:after="0"/>
              <w:jc w:val="left"/>
            </w:pPr>
            <w:r>
              <w:rPr>
                <w:b/>
                <w:sz w:val="19"/>
              </w:rPr>
              <w:t>Curso</w:t>
            </w:r>
          </w:p>
        </w:tc>
        <w:tc>
          <w:tcPr>
            <w:tcW w:type="dxa" w:w="7776"/>
          </w:tcPr>
          <w:p>
            <w:pPr>
              <w:spacing w:line="240" w:lineRule="auto" w:after="0"/>
              <w:jc w:val="left"/>
            </w:pPr>
            <w:r>
              <w:rPr>
                <w:sz w:val="19"/>
              </w:rPr>
              <w:t>MCDI503 — Exploración inteligente para la ciencia de datos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AEFF7"/>
          </w:tcPr>
          <w:p>
            <w:pPr>
              <w:spacing w:line="240" w:lineRule="auto" w:after="0"/>
              <w:jc w:val="left"/>
            </w:pPr>
            <w:r>
              <w:rPr>
                <w:b/>
                <w:sz w:val="19"/>
              </w:rPr>
              <w:t>Grupo</w:t>
            </w:r>
          </w:p>
        </w:tc>
        <w:tc>
          <w:tcPr>
            <w:tcW w:type="dxa" w:w="7776"/>
          </w:tcPr>
          <w:p>
            <w:pPr>
              <w:spacing w:line="240" w:lineRule="auto" w:after="0"/>
              <w:jc w:val="left"/>
            </w:pPr>
            <w:r>
              <w:rPr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AEFF7"/>
          </w:tcPr>
          <w:p>
            <w:pPr>
              <w:spacing w:line="240" w:lineRule="auto" w:after="0"/>
              <w:jc w:val="left"/>
            </w:pPr>
            <w:r>
              <w:rPr>
                <w:b/>
                <w:sz w:val="19"/>
              </w:rPr>
              <w:t>Integrantes</w:t>
            </w:r>
          </w:p>
        </w:tc>
        <w:tc>
          <w:tcPr>
            <w:tcW w:type="dxa" w:w="7776"/>
          </w:tcPr>
          <w:p>
            <w:pPr>
              <w:spacing w:line="240" w:lineRule="auto" w:after="0"/>
              <w:jc w:val="left"/>
            </w:pPr>
            <w:r>
              <w:rPr>
                <w:sz w:val="19"/>
              </w:rPr>
              <w:t>Arturo Knopke Vera, Nicolás Soletic Cobos, Sebastián Navarrete Soto, Roberto Moncada González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AEFF7"/>
          </w:tcPr>
          <w:p>
            <w:pPr>
              <w:spacing w:line="240" w:lineRule="auto" w:after="0"/>
              <w:jc w:val="left"/>
            </w:pPr>
            <w:r>
              <w:rPr>
                <w:b/>
                <w:sz w:val="19"/>
              </w:rPr>
              <w:t>Docente</w:t>
            </w:r>
          </w:p>
        </w:tc>
        <w:tc>
          <w:tcPr>
            <w:tcW w:type="dxa" w:w="7776"/>
          </w:tcPr>
          <w:p>
            <w:pPr>
              <w:spacing w:line="240" w:lineRule="auto" w:after="0"/>
              <w:jc w:val="left"/>
            </w:pPr>
            <w:r>
              <w:rPr>
                <w:sz w:val="19"/>
              </w:rPr>
              <w:t>Sergio Paraíso Medina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AEFF7"/>
          </w:tcPr>
          <w:p>
            <w:pPr>
              <w:spacing w:line="240" w:lineRule="auto" w:after="0"/>
              <w:jc w:val="left"/>
            </w:pPr>
            <w:r>
              <w:rPr>
                <w:b/>
                <w:sz w:val="19"/>
              </w:rPr>
              <w:t>Dataset</w:t>
            </w:r>
          </w:p>
        </w:tc>
        <w:tc>
          <w:tcPr>
            <w:tcW w:type="dxa" w:w="7776"/>
          </w:tcPr>
          <w:p>
            <w:pPr>
              <w:spacing w:line="240" w:lineRule="auto" w:after="0"/>
              <w:jc w:val="left"/>
            </w:pPr>
            <w:r>
              <w:rPr>
                <w:rFonts w:ascii="Consolas" w:hAnsi="Consolas" w:eastAsia="Consolas"/>
                <w:sz w:val="16"/>
              </w:rPr>
              <w:t>titanic_prepared.csv</w:t>
            </w:r>
            <w:r>
              <w:rPr>
                <w:sz w:val="19"/>
              </w:rPr>
              <w:t xml:space="preserve"> (Fases 2-3): 891 pasajeros, 32 variables; fuente original Titanic-Dataset.csv (Kaggle) integrada con seaborn-data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AEFF7"/>
          </w:tcPr>
          <w:p>
            <w:pPr>
              <w:spacing w:line="240" w:lineRule="auto" w:after="0"/>
              <w:jc w:val="left"/>
            </w:pPr>
            <w:r>
              <w:rPr>
                <w:b/>
                <w:sz w:val="19"/>
              </w:rPr>
              <w:t>Notebook</w:t>
            </w:r>
          </w:p>
        </w:tc>
        <w:tc>
          <w:tcPr>
            <w:tcW w:type="dxa" w:w="7776"/>
          </w:tcPr>
          <w:p>
            <w:pPr>
              <w:spacing w:line="240" w:lineRule="auto" w:after="0"/>
              <w:jc w:val="left"/>
            </w:pPr>
            <w:r>
              <w:rPr>
                <w:rFonts w:ascii="Consolas" w:hAnsi="Consolas" w:eastAsia="Consolas"/>
                <w:sz w:val="16"/>
              </w:rPr>
              <w:t>mcdi503_f4_sumativo_grupo5.ipynb</w:t>
            </w:r>
            <w:r>
              <w:rPr>
                <w:sz w:val="19"/>
              </w:rPr>
              <w:t xml:space="preserve"> (ejecutado de principio a fin); salida: </w:t>
            </w:r>
            <w:r>
              <w:rPr>
                <w:rFonts w:ascii="Consolas" w:hAnsi="Consolas" w:eastAsia="Consolas"/>
                <w:sz w:val="16"/>
              </w:rPr>
              <w:t>titanic_features.csv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AEFF7"/>
          </w:tcPr>
          <w:p>
            <w:pPr>
              <w:spacing w:line="240" w:lineRule="auto" w:after="0"/>
              <w:jc w:val="left"/>
            </w:pPr>
            <w:r>
              <w:rPr>
                <w:b/>
                <w:sz w:val="19"/>
              </w:rPr>
              <w:t>Fecha</w:t>
            </w:r>
          </w:p>
        </w:tc>
        <w:tc>
          <w:tcPr>
            <w:tcW w:type="dxa" w:w="7776"/>
          </w:tcPr>
          <w:p>
            <w:pPr>
              <w:spacing w:line="240" w:lineRule="auto" w:after="0"/>
              <w:jc w:val="left"/>
            </w:pPr>
            <w:r>
              <w:rPr>
                <w:sz w:val="19"/>
              </w:rPr>
              <w:t>20 de septiembre de 2026</w:t>
            </w:r>
          </w:p>
        </w:tc>
      </w:tr>
    </w:tbl>
    <w:p>
      <w:pPr>
        <w:pStyle w:val="Heading1"/>
      </w:pPr>
      <w:r>
        <w:t>I. Título del avance y foco del pipeline final</w:t>
      </w:r>
    </w:p>
    <w:p>
      <w:pPr>
        <w:jc w:val="both"/>
      </w:pPr>
      <w:r>
        <w:rPr>
          <w:b/>
        </w:rPr>
        <w:t>Foco:</w:t>
      </w:r>
      <w:r>
        <w:t xml:space="preserve"> este informe sintetiza el cierre técnico del proyecto, cuya evidencia principal es el notebook de la Fase 4 (referenciado como </w:t>
      </w:r>
      <w:r>
        <w:rPr>
          <w:i/>
        </w:rPr>
        <w:t>NB §…</w:t>
      </w:r>
      <w:r>
        <w:t>). A partir del dataset ya depurado en las Fases 2-3, el pipeline entrega un conjunto de características codificado, escalado y justificado para predecir la supervivencia de los pasajeros del RMS Titanic (</w:t>
      </w:r>
      <w:r>
        <w:rPr>
          <w:rFonts w:ascii="Consolas" w:hAnsi="Consolas" w:eastAsia="Consolas"/>
          <w:sz w:val="19"/>
        </w:rPr>
        <w:t>Survived</w:t>
      </w:r>
      <w:r>
        <w:t>) en una etapa posterior de modelamiento.</w:t>
      </w:r>
    </w:p>
    <w:p>
      <w:pPr>
        <w:pStyle w:val="Heading1"/>
      </w:pPr>
      <w:r>
        <w:t>II. Contexto del proyecto y objetivo del cierre</w:t>
      </w:r>
    </w:p>
    <w:p>
      <w:pPr>
        <w:jc w:val="both"/>
      </w:pPr>
      <w:r>
        <w:rPr>
          <w:b/>
        </w:rPr>
        <w:t>Contexto.</w:t>
      </w:r>
      <w:r>
        <w:t xml:space="preserve"> El hundimiento del RMS Titanic (1912) es un caso clásico de clasificación binaria: la supervivencia se asocia a atributos del pasajero como sexo, clase, edad y tamaño del grupo de viaje. Se mantuvo el dataset de las fases anteriores por ser la opción más completa para evidenciar transformaciones, variables derivadas, codificación de categóricas y selección de características (Kaggle, s. f.).</w:t>
      </w:r>
    </w:p>
    <w:p>
      <w:pPr>
        <w:jc w:val="both"/>
      </w:pPr>
      <w:r>
        <w:rPr>
          <w:b/>
        </w:rPr>
        <w:t>Objetivo del cierre.</w:t>
      </w:r>
      <w:r>
        <w:t xml:space="preserve"> Construir un pipeline reproducible que aplique transformaciones justificadas, derive un número acotado de variables con valor analítico explícito y seleccione características con criterios declarados, dejando el dataset listo para modelar sin entrenar ningún modelo en esta fase (RA4).</w:t>
      </w:r>
    </w:p>
    <w:p>
      <w:pPr>
        <w:jc w:val="both"/>
      </w:pPr>
      <w:r>
        <w:rPr>
          <w:b/>
        </w:rPr>
        <w:t>Relación con el análisis previo.</w:t>
      </w:r>
      <w:r>
        <w:t xml:space="preserve"> Las Fases 2-3 dejaron imputados </w:t>
      </w:r>
      <w:r>
        <w:rPr>
          <w:rFonts w:ascii="Consolas" w:hAnsi="Consolas" w:eastAsia="Consolas"/>
          <w:sz w:val="19"/>
        </w:rPr>
        <w:t>Age</w:t>
      </w:r>
      <w:r>
        <w:t xml:space="preserve"> y </w:t>
      </w:r>
      <w:r>
        <w:rPr>
          <w:rFonts w:ascii="Consolas" w:hAnsi="Consolas" w:eastAsia="Consolas"/>
          <w:sz w:val="19"/>
        </w:rPr>
        <w:t>Embarked</w:t>
      </w:r>
      <w:r>
        <w:t xml:space="preserve">, integrada la fuente seaborn-data y creadas </w:t>
      </w:r>
      <w:r>
        <w:rPr>
          <w:rFonts w:ascii="Consolas" w:hAnsi="Consolas" w:eastAsia="Consolas"/>
          <w:sz w:val="19"/>
        </w:rPr>
        <w:t>Title_agrupado</w:t>
      </w:r>
      <w:r>
        <w:t xml:space="preserve">, </w:t>
      </w:r>
      <w:r>
        <w:rPr>
          <w:rFonts w:ascii="Consolas" w:hAnsi="Consolas" w:eastAsia="Consolas"/>
          <w:sz w:val="19"/>
        </w:rPr>
        <w:t>FamilySize</w:t>
      </w:r>
      <w:r>
        <w:t xml:space="preserve">, </w:t>
      </w:r>
      <w:r>
        <w:rPr>
          <w:rFonts w:ascii="Consolas" w:hAnsi="Consolas" w:eastAsia="Consolas"/>
          <w:sz w:val="19"/>
        </w:rPr>
        <w:t>AgeGroup</w:t>
      </w:r>
      <w:r>
        <w:t xml:space="preserve">, </w:t>
      </w:r>
      <w:r>
        <w:rPr>
          <w:rFonts w:ascii="Consolas" w:hAnsi="Consolas" w:eastAsia="Consolas"/>
          <w:sz w:val="19"/>
        </w:rPr>
        <w:t>Fare_log</w:t>
      </w:r>
      <w:r>
        <w:t xml:space="preserve"> y </w:t>
      </w:r>
      <w:r>
        <w:rPr>
          <w:rFonts w:ascii="Consolas" w:hAnsi="Consolas" w:eastAsia="Consolas"/>
          <w:sz w:val="19"/>
        </w:rPr>
        <w:t>Deck_combinado</w:t>
      </w:r>
      <w:r>
        <w:t xml:space="preserve">. Dos hallazgos de ese EDA motivan la Fase 4: (i) el 13.02 % de </w:t>
      </w:r>
      <w:r>
        <w:rPr>
          <w:rFonts w:ascii="Consolas" w:hAnsi="Consolas" w:eastAsia="Consolas"/>
          <w:sz w:val="19"/>
        </w:rPr>
        <w:t>Fare</w:t>
      </w:r>
      <w:r>
        <w:t xml:space="preserve"> son atípicos por IQR y el 92.2 % de ellos comparte </w:t>
      </w:r>
      <w:r>
        <w:rPr>
          <w:rFonts w:ascii="Consolas" w:hAnsi="Consolas" w:eastAsia="Consolas"/>
          <w:sz w:val="19"/>
        </w:rPr>
        <w:t>Ticket</w:t>
      </w:r>
      <w:r>
        <w:t xml:space="preserve">; (ii) el efecto de </w:t>
      </w:r>
      <w:r>
        <w:rPr>
          <w:rFonts w:ascii="Consolas" w:hAnsi="Consolas" w:eastAsia="Consolas"/>
          <w:sz w:val="19"/>
        </w:rPr>
        <w:t>Pclass</w:t>
      </w:r>
      <w:r>
        <w:t xml:space="preserve"> sobre la supervivencia difiere por sexo. Este pipeline parte de ese dataset (NB §III), sin volver al crudo.</w:t>
      </w:r>
    </w:p>
    <w:p>
      <w:pPr>
        <w:pStyle w:val="Heading1"/>
      </w:pPr>
      <w:r>
        <w:t>III. Transformaciones y normalizaciones aplicadas</w:t>
      </w:r>
    </w:p>
    <w:p>
      <w:pPr>
        <w:pStyle w:val="Heading2"/>
      </w:pPr>
      <w:r>
        <w:t>III.1 Diagnóstico de escala y asimetría (NB §IV.1)</w:t>
      </w:r>
    </w:p>
    <w:p>
      <w:pPr>
        <w:jc w:val="both"/>
      </w:pPr>
      <w:r>
        <w:t xml:space="preserve">Las Fases 2-3 ya corrigieron la asimetría de </w:t>
      </w:r>
      <w:r>
        <w:rPr>
          <w:rFonts w:ascii="Consolas" w:hAnsi="Consolas" w:eastAsia="Consolas"/>
          <w:sz w:val="19"/>
        </w:rPr>
        <w:t>Fare</w:t>
      </w:r>
      <w:r>
        <w:t xml:space="preserve"> (4.78 → 0.39 con </w:t>
      </w:r>
      <w:r>
        <w:rPr>
          <w:rFonts w:ascii="Consolas" w:hAnsi="Consolas" w:eastAsia="Consolas"/>
          <w:sz w:val="19"/>
        </w:rPr>
        <w:t>log1p</w:t>
      </w:r>
      <w:r>
        <w:t xml:space="preserve">). Faltaba dejar las variables numéricas en una escala comparable para modelos sensibles a ella (regresión regularizada, KNN, SVM). La asimetría residual es alta en </w:t>
      </w:r>
      <w:r>
        <w:rPr>
          <w:rFonts w:ascii="Consolas" w:hAnsi="Consolas" w:eastAsia="Consolas"/>
          <w:sz w:val="19"/>
        </w:rPr>
        <w:t>SibSp</w:t>
      </w:r>
      <w:r>
        <w:t xml:space="preserve"> (3.69), </w:t>
      </w:r>
      <w:r>
        <w:rPr>
          <w:rFonts w:ascii="Consolas" w:hAnsi="Consolas" w:eastAsia="Consolas"/>
          <w:sz w:val="19"/>
        </w:rPr>
        <w:t>Parch</w:t>
      </w:r>
      <w:r>
        <w:t xml:space="preserve"> (2.74) y </w:t>
      </w:r>
      <w:r>
        <w:rPr>
          <w:rFonts w:ascii="Consolas" w:hAnsi="Consolas" w:eastAsia="Consolas"/>
          <w:sz w:val="19"/>
        </w:rPr>
        <w:t>FamilySize</w:t>
      </w:r>
      <w:r>
        <w:t xml:space="preserve"> (2.72) —esta última se usa en lugar de las dos primeras— y moderada en </w:t>
      </w:r>
      <w:r>
        <w:rPr>
          <w:rFonts w:ascii="Consolas" w:hAnsi="Consolas" w:eastAsia="Consolas"/>
          <w:sz w:val="19"/>
        </w:rPr>
        <w:t>Age_clean</w:t>
      </w:r>
      <w:r>
        <w:t xml:space="preserve"> (0.53).</w:t>
      </w:r>
    </w:p>
    <w:p>
      <w:pPr>
        <w:pStyle w:val="Heading2"/>
      </w:pPr>
      <w:r>
        <w:t>III.2 Transformaciones aplicadas (NB §IV.2 y §VIII)</w:t>
      </w:r>
    </w:p>
    <w:p>
      <w:pPr>
        <w:keepNext/>
        <w:spacing w:before="80" w:after="40" w:line="240" w:lineRule="auto"/>
      </w:pPr>
      <w:r>
        <w:rPr>
          <w:b/>
          <w:sz w:val="19"/>
        </w:rPr>
        <w:t xml:space="preserve">Tabla 1. </w:t>
      </w:r>
      <w:r>
        <w:rPr>
          <w:i/>
          <w:sz w:val="19"/>
        </w:rPr>
        <w:t>Transformaciones y normalizaciones aplicadas en la Fase 4</w:t>
      </w:r>
    </w:p>
    <w:tbl>
      <w:tblPr>
        <w:tblW w:type="auto" w:w="0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2232"/>
        <w:gridCol w:w="1512"/>
        <w:gridCol w:w="3671"/>
        <w:gridCol w:w="1944"/>
      </w:tblGrid>
      <w:tr>
        <w:trPr>
          <w:cantSplit/>
          <w:tblHeader/>
        </w:trPr>
        <w:tc>
          <w:tcPr>
            <w:tcW w:type="dxa" w:w="2232"/>
            <w:shd w:val="clear" w:color="auto" w:fill="1F3864"/>
          </w:tcPr>
          <w:p>
            <w:pPr>
              <w:spacing w:line="240" w:lineRule="auto" w:after="0"/>
              <w:jc w:val="left"/>
            </w:pPr>
            <w:r>
              <w:rPr>
                <w:b/>
                <w:color w:val="FFFFFF"/>
                <w:sz w:val="18"/>
              </w:rPr>
              <w:t>Variables</w:t>
            </w:r>
          </w:p>
        </w:tc>
        <w:tc>
          <w:tcPr>
            <w:tcW w:type="dxa" w:w="1512"/>
            <w:shd w:val="clear" w:color="auto" w:fill="1F3864"/>
          </w:tcPr>
          <w:p>
            <w:pPr>
              <w:spacing w:line="240" w:lineRule="auto" w:after="0"/>
              <w:jc w:val="left"/>
            </w:pPr>
            <w:r>
              <w:rPr>
                <w:b/>
                <w:color w:val="FFFFFF"/>
                <w:sz w:val="18"/>
              </w:rPr>
              <w:t>Operación</w:t>
            </w:r>
          </w:p>
        </w:tc>
        <w:tc>
          <w:tcPr>
            <w:tcW w:type="dxa" w:w="3672"/>
            <w:shd w:val="clear" w:color="auto" w:fill="1F3864"/>
          </w:tcPr>
          <w:p>
            <w:pPr>
              <w:spacing w:line="240" w:lineRule="auto" w:after="0"/>
              <w:jc w:val="left"/>
            </w:pPr>
            <w:r>
              <w:rPr>
                <w:b/>
                <w:color w:val="FFFFFF"/>
                <w:sz w:val="18"/>
              </w:rPr>
              <w:t>Propósito y coherencia con el EDA</w:t>
            </w:r>
          </w:p>
        </w:tc>
        <w:tc>
          <w:tcPr>
            <w:tcW w:type="dxa" w:w="1944"/>
            <w:shd w:val="clear" w:color="auto" w:fill="1F3864"/>
          </w:tcPr>
          <w:p>
            <w:pPr>
              <w:spacing w:line="240" w:lineRule="auto" w:after="0"/>
              <w:jc w:val="left"/>
            </w:pPr>
            <w:r>
              <w:rPr>
                <w:b/>
                <w:color w:val="FFFFFF"/>
                <w:sz w:val="18"/>
              </w:rPr>
              <w:t>Efecto en los datos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line="240" w:lineRule="auto" w:after="0"/>
              <w:jc w:val="left"/>
            </w:pPr>
            <w:r>
              <w:rPr>
                <w:rFonts w:ascii="Consolas" w:hAnsi="Consolas" w:eastAsia="Consolas"/>
                <w:sz w:val="15"/>
              </w:rPr>
              <w:t>Fare_per_person_log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FamilySize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TicketGroupSize</w:t>
            </w:r>
          </w:p>
        </w:tc>
        <w:tc>
          <w:tcPr>
            <w:tcW w:type="dxa" w:w="1512"/>
          </w:tcPr>
          <w:p>
            <w:pPr>
              <w:spacing w:line="240" w:lineRule="auto" w:after="0"/>
              <w:jc w:val="left"/>
            </w:pPr>
            <w:r>
              <w:rPr>
                <w:rFonts w:ascii="Consolas" w:hAnsi="Consolas" w:eastAsia="Consolas"/>
                <w:sz w:val="15"/>
              </w:rPr>
              <w:t>RobustScaler</w:t>
            </w:r>
            <w:r>
              <w:rPr>
                <w:sz w:val="18"/>
              </w:rPr>
              <w:t xml:space="preserve"> (mediana e IQR)</w:t>
            </w:r>
          </w:p>
        </w:tc>
        <w:tc>
          <w:tcPr>
            <w:tcW w:type="dxa" w:w="3672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 xml:space="preserve">Los atípicos de </w:t>
            </w:r>
            <w:r>
              <w:rPr>
                <w:rFonts w:ascii="Consolas" w:hAnsi="Consolas" w:eastAsia="Consolas"/>
                <w:sz w:val="15"/>
              </w:rPr>
              <w:t>Fare</w:t>
            </w:r>
            <w:r>
              <w:rPr>
                <w:sz w:val="18"/>
              </w:rPr>
              <w:t xml:space="preserve"> son tarifas de grupo legítimas, no errores; </w:t>
            </w:r>
            <w:r>
              <w:rPr>
                <w:rFonts w:ascii="Consolas" w:hAnsi="Consolas" w:eastAsia="Consolas"/>
                <w:sz w:val="15"/>
              </w:rPr>
              <w:t>StandardScaler</w:t>
            </w:r>
            <w:r>
              <w:rPr>
                <w:sz w:val="18"/>
              </w:rPr>
              <w:t xml:space="preserve"> los amplificaría porque usa media y desviación estándar (NB §IV.2).</w:t>
            </w:r>
          </w:p>
        </w:tc>
        <w:tc>
          <w:tcPr>
            <w:tcW w:type="dxa" w:w="1944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Mediana = 0 e IQR = 1; los valores extremos se conservan (Figura 1).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line="240" w:lineRule="auto" w:after="0"/>
              <w:jc w:val="left"/>
            </w:pPr>
            <w:r>
              <w:rPr>
                <w:rFonts w:ascii="Consolas" w:hAnsi="Consolas" w:eastAsia="Consolas"/>
                <w:sz w:val="15"/>
              </w:rPr>
              <w:t>Fare_per_person</w:t>
            </w:r>
          </w:p>
        </w:tc>
        <w:tc>
          <w:tcPr>
            <w:tcW w:type="dxa" w:w="1512"/>
          </w:tcPr>
          <w:p>
            <w:pPr>
              <w:spacing w:line="240" w:lineRule="auto" w:after="0"/>
              <w:jc w:val="left"/>
            </w:pPr>
            <w:r>
              <w:rPr>
                <w:rFonts w:ascii="Consolas" w:hAnsi="Consolas" w:eastAsia="Consolas"/>
                <w:sz w:val="15"/>
              </w:rPr>
              <w:t>log1p</w:t>
            </w:r>
          </w:p>
        </w:tc>
        <w:tc>
          <w:tcPr>
            <w:tcW w:type="dxa" w:w="3672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Corrige la cola derecha de la tarifa por persona.</w:t>
            </w:r>
          </w:p>
        </w:tc>
        <w:tc>
          <w:tcPr>
            <w:tcW w:type="dxa" w:w="1944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Asimetría 4.37 → 0.33.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line="240" w:lineRule="auto" w:after="0"/>
              <w:jc w:val="left"/>
            </w:pPr>
            <w:r>
              <w:rPr>
                <w:rFonts w:ascii="Consolas" w:hAnsi="Consolas" w:eastAsia="Consolas"/>
                <w:sz w:val="15"/>
              </w:rPr>
              <w:t>Title_agrupado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Sex_Pclass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AgeGroup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Embarked_clean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Deck_combinado</w:t>
            </w:r>
          </w:p>
        </w:tc>
        <w:tc>
          <w:tcPr>
            <w:tcW w:type="dxa" w:w="1512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 xml:space="preserve">Codificación </w:t>
            </w:r>
            <w:r>
              <w:rPr>
                <w:i/>
                <w:sz w:val="18"/>
              </w:rPr>
              <w:t>one-hot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eastAsia="Consolas"/>
                <w:sz w:val="15"/>
              </w:rPr>
              <w:t>drop_first</w:t>
            </w:r>
            <w:r>
              <w:rPr>
                <w:sz w:val="18"/>
              </w:rPr>
              <w:t>)</w:t>
            </w:r>
          </w:p>
        </w:tc>
        <w:tc>
          <w:tcPr>
            <w:tcW w:type="dxa" w:w="3672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Los modelos requieren entradas numéricas; se elimina una categoría por variable para evitar colinealidad perfecta.</w:t>
            </w:r>
          </w:p>
        </w:tc>
        <w:tc>
          <w:tcPr>
            <w:tcW w:type="dxa" w:w="1944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24 columnas indicadoras.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line="240" w:lineRule="auto" w:after="0"/>
              <w:jc w:val="left"/>
            </w:pPr>
            <w:r>
              <w:rPr>
                <w:rFonts w:ascii="Consolas" w:hAnsi="Consolas" w:eastAsia="Consolas"/>
                <w:sz w:val="15"/>
              </w:rPr>
              <w:t>Pclass</w:t>
            </w:r>
          </w:p>
        </w:tc>
        <w:tc>
          <w:tcPr>
            <w:tcW w:type="dxa" w:w="1512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Sin escalar</w:t>
            </w:r>
          </w:p>
        </w:tc>
        <w:tc>
          <w:tcPr>
            <w:tcW w:type="dxa" w:w="3672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Ordinal de rango 1-3, ya interpretable.</w:t>
            </w:r>
          </w:p>
        </w:tc>
        <w:tc>
          <w:tcPr>
            <w:tcW w:type="dxa" w:w="1944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Se mantiene tal cual.</w:t>
            </w:r>
          </w:p>
        </w:tc>
      </w:tr>
    </w:tbl>
    <w:p>
      <w:pPr>
        <w:keepNext/>
        <w:spacing w:before="80" w:after="40" w:line="240" w:lineRule="auto"/>
      </w:pPr>
      <w:r>
        <w:rPr>
          <w:b/>
          <w:sz w:val="19"/>
        </w:rPr>
        <w:t xml:space="preserve">Figura 1. </w:t>
      </w:r>
      <w:r>
        <w:rPr>
          <w:i/>
          <w:sz w:val="19"/>
        </w:rPr>
        <w:t xml:space="preserve">Variables numéricas antes y después de </w:t>
      </w:r>
      <w:r>
        <w:rPr>
          <w:rFonts w:ascii="Consolas" w:hAnsi="Consolas" w:eastAsia="Consolas"/>
          <w:i/>
          <w:sz w:val="16"/>
        </w:rPr>
        <w:t>RobustScaler</w:t>
      </w:r>
    </w:p>
    <w:p>
      <w:pPr>
        <w:keepNext w:val="0"/>
        <w:spacing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89120" cy="17712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_titanic_escalado_robus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771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IV. Variables derivadas o creadas</w:t>
      </w:r>
    </w:p>
    <w:p>
      <w:pPr>
        <w:spacing w:after="40"/>
        <w:jc w:val="both"/>
      </w:pPr>
      <w:r>
        <w:t xml:space="preserve">Se crearon dos variables, cada una motivada por un hallazgo específico del EDA (se evitó la sobre-ingeniería). Ninguna usa </w:t>
      </w:r>
      <w:r>
        <w:rPr>
          <w:rFonts w:ascii="Consolas" w:hAnsi="Consolas" w:eastAsia="Consolas"/>
          <w:sz w:val="19"/>
        </w:rPr>
        <w:t>Survived</w:t>
      </w:r>
      <w:r>
        <w:t xml:space="preserve"> ni variables posteriores al hundimiento (</w:t>
      </w:r>
      <w:r>
        <w:rPr>
          <w:rFonts w:ascii="Consolas" w:hAnsi="Consolas" w:eastAsia="Consolas"/>
          <w:sz w:val="19"/>
        </w:rPr>
        <w:t>alive</w:t>
      </w:r>
      <w:r>
        <w:t>, de seaborn-data, se excluye): no hay fuga de información (NB §V.3).</w:t>
      </w:r>
    </w:p>
    <w:p>
      <w:pPr>
        <w:keepNext/>
        <w:spacing w:before="80" w:after="40" w:line="240" w:lineRule="auto"/>
      </w:pPr>
      <w:r>
        <w:rPr>
          <w:b/>
          <w:sz w:val="19"/>
        </w:rPr>
        <w:t xml:space="preserve">Tabla 2. </w:t>
      </w:r>
      <w:r>
        <w:rPr>
          <w:i/>
          <w:sz w:val="19"/>
        </w:rPr>
        <w:t>Variables derivadas, lógica de construcción y valor analítico</w:t>
      </w:r>
    </w:p>
    <w:tbl>
      <w:tblPr>
        <w:tblW w:type="auto" w:w="0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1800"/>
        <w:gridCol w:w="3024"/>
        <w:gridCol w:w="4536"/>
      </w:tblGrid>
      <w:tr>
        <w:trPr>
          <w:cantSplit/>
          <w:tblHeader/>
        </w:trPr>
        <w:tc>
          <w:tcPr>
            <w:tcW w:type="dxa" w:w="1800"/>
            <w:shd w:val="clear" w:color="auto" w:fill="1F3864"/>
          </w:tcPr>
          <w:p>
            <w:pPr>
              <w:spacing w:line="240" w:lineRule="auto" w:after="0"/>
              <w:jc w:val="left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3024"/>
            <w:shd w:val="clear" w:color="auto" w:fill="1F3864"/>
          </w:tcPr>
          <w:p>
            <w:pPr>
              <w:spacing w:line="240" w:lineRule="auto" w:after="0"/>
              <w:jc w:val="left"/>
            </w:pPr>
            <w:r>
              <w:rPr>
                <w:b/>
                <w:color w:val="FFFFFF"/>
                <w:sz w:val="18"/>
              </w:rPr>
              <w:t>Origen y regla</w:t>
            </w:r>
          </w:p>
        </w:tc>
        <w:tc>
          <w:tcPr>
            <w:tcW w:type="dxa" w:w="4536"/>
            <w:shd w:val="clear" w:color="auto" w:fill="1F3864"/>
          </w:tcPr>
          <w:p>
            <w:pPr>
              <w:spacing w:line="240" w:lineRule="auto" w:after="0"/>
              <w:jc w:val="left"/>
            </w:pPr>
            <w:r>
              <w:rPr>
                <w:b/>
                <w:color w:val="FFFFFF"/>
                <w:sz w:val="18"/>
              </w:rPr>
              <w:t>Hallazgo que la motiva y valor analítico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line="240" w:lineRule="auto" w:after="0"/>
              <w:jc w:val="left"/>
            </w:pPr>
            <w:r>
              <w:rPr>
                <w:rFonts w:ascii="Consolas" w:hAnsi="Consolas" w:eastAsia="Consolas"/>
                <w:sz w:val="15"/>
              </w:rPr>
              <w:t>Fare_per_person_log</w:t>
            </w:r>
            <w:r>
              <w:rPr>
                <w:sz w:val="18"/>
              </w:rPr>
              <w:br/>
              <w:t xml:space="preserve">(con </w:t>
            </w:r>
            <w:r>
              <w:rPr>
                <w:rFonts w:ascii="Consolas" w:hAnsi="Consolas" w:eastAsia="Consolas"/>
                <w:sz w:val="15"/>
              </w:rPr>
              <w:t>TicketGroupSize</w:t>
            </w:r>
            <w:r>
              <w:rPr>
                <w:sz w:val="18"/>
              </w:rPr>
              <w:t>)</w:t>
            </w:r>
          </w:p>
        </w:tc>
        <w:tc>
          <w:tcPr>
            <w:tcW w:type="dxa" w:w="3024"/>
          </w:tcPr>
          <w:p>
            <w:pPr>
              <w:spacing w:line="240" w:lineRule="auto" w:after="0"/>
              <w:jc w:val="left"/>
            </w:pPr>
            <w:r>
              <w:rPr>
                <w:rFonts w:ascii="Consolas" w:hAnsi="Consolas" w:eastAsia="Consolas"/>
                <w:sz w:val="15"/>
              </w:rPr>
              <w:t>Ticket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eastAsia="Consolas"/>
                <w:sz w:val="15"/>
              </w:rPr>
              <w:t>Fare</w:t>
            </w:r>
            <w:r>
              <w:rPr>
                <w:sz w:val="18"/>
              </w:rPr>
              <w:t xml:space="preserve">. </w:t>
            </w:r>
            <w:r>
              <w:rPr>
                <w:rFonts w:ascii="Consolas" w:hAnsi="Consolas" w:eastAsia="Consolas"/>
                <w:sz w:val="15"/>
              </w:rPr>
              <w:t>TicketGroupSize</w:t>
            </w:r>
            <w:r>
              <w:rPr>
                <w:sz w:val="18"/>
              </w:rPr>
              <w:t xml:space="preserve"> = pasajeros con el mismo </w:t>
            </w:r>
            <w:r>
              <w:rPr>
                <w:rFonts w:ascii="Consolas" w:hAnsi="Consolas" w:eastAsia="Consolas"/>
                <w:sz w:val="15"/>
              </w:rPr>
              <w:t>Ticket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 w:eastAsia="Consolas"/>
                <w:sz w:val="15"/>
              </w:rPr>
              <w:t>Fare_per_person</w:t>
            </w:r>
            <w:r>
              <w:rPr>
                <w:sz w:val="18"/>
              </w:rPr>
              <w:t xml:space="preserve"> = </w:t>
            </w:r>
            <w:r>
              <w:rPr>
                <w:rFonts w:ascii="Consolas" w:hAnsi="Consolas" w:eastAsia="Consolas"/>
                <w:sz w:val="15"/>
              </w:rPr>
              <w:t>Fare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5"/>
              </w:rPr>
              <w:t>TicketGroupSize</w:t>
            </w:r>
            <w:r>
              <w:rPr>
                <w:sz w:val="18"/>
              </w:rPr>
              <w:t xml:space="preserve">; luego </w:t>
            </w:r>
            <w:r>
              <w:rPr>
                <w:rFonts w:ascii="Consolas" w:hAnsi="Consolas" w:eastAsia="Consolas"/>
                <w:sz w:val="15"/>
              </w:rPr>
              <w:t>log1p</w:t>
            </w:r>
            <w:r>
              <w:rPr>
                <w:sz w:val="18"/>
              </w:rPr>
              <w:t xml:space="preserve"> (NB §V.1).</w:t>
            </w:r>
          </w:p>
        </w:tc>
        <w:tc>
          <w:tcPr>
            <w:tcW w:type="dxa" w:w="4536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 xml:space="preserve">134 tickets repetidos agrupan 344 pasajeros: </w:t>
            </w:r>
            <w:r>
              <w:rPr>
                <w:rFonts w:ascii="Consolas" w:hAnsi="Consolas" w:eastAsia="Consolas"/>
                <w:sz w:val="15"/>
              </w:rPr>
              <w:t>Fare</w:t>
            </w:r>
            <w:r>
              <w:rPr>
                <w:sz w:val="18"/>
              </w:rPr>
              <w:t xml:space="preserve"> suele ser tarifa de grupo. La variable separa «pagó más» de «viajó en grupo». </w:t>
            </w:r>
            <w:r>
              <w:rPr>
                <w:rFonts w:ascii="Consolas" w:hAnsi="Consolas" w:eastAsia="Consolas"/>
                <w:sz w:val="15"/>
              </w:rPr>
              <w:t>TicketGroupSize</w:t>
            </w:r>
            <w:r>
              <w:rPr>
                <w:sz w:val="18"/>
              </w:rPr>
              <w:t xml:space="preserve"> difiere de </w:t>
            </w:r>
            <w:r>
              <w:rPr>
                <w:rFonts w:ascii="Consolas" w:hAnsi="Consolas" w:eastAsia="Consolas"/>
                <w:sz w:val="15"/>
              </w:rPr>
              <w:t>FamilySize</w:t>
            </w:r>
            <w:r>
              <w:rPr>
                <w:sz w:val="18"/>
              </w:rPr>
              <w:t xml:space="preserve"> en el 32.3 % de los casos. Asociación con </w:t>
            </w:r>
            <w:r>
              <w:rPr>
                <w:rFonts w:ascii="Consolas" w:hAnsi="Consolas" w:eastAsia="Consolas"/>
                <w:sz w:val="15"/>
              </w:rPr>
              <w:t>Survived</w:t>
            </w:r>
            <w:r>
              <w:rPr>
                <w:sz w:val="18"/>
              </w:rPr>
              <w:t>: Mann-Whitney U = 58 829.5, p = 6.3×10⁻²¹, r rango-biserial = 0.373 (medianas 8.05 vs. 13.00).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line="240" w:lineRule="auto" w:after="0"/>
              <w:jc w:val="left"/>
            </w:pPr>
            <w:r>
              <w:rPr>
                <w:rFonts w:ascii="Consolas" w:hAnsi="Consolas" w:eastAsia="Consolas"/>
                <w:sz w:val="15"/>
              </w:rPr>
              <w:t>Sex_Pclass</w:t>
            </w:r>
          </w:p>
        </w:tc>
        <w:tc>
          <w:tcPr>
            <w:tcW w:type="dxa" w:w="3024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 xml:space="preserve">Concatenación de </w:t>
            </w:r>
            <w:r>
              <w:rPr>
                <w:rFonts w:ascii="Consolas" w:hAnsi="Consolas" w:eastAsia="Consolas"/>
                <w:sz w:val="15"/>
              </w:rPr>
              <w:t>Sex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eastAsia="Consolas"/>
                <w:sz w:val="15"/>
              </w:rPr>
              <w:t>Pclass</w:t>
            </w:r>
            <w:r>
              <w:rPr>
                <w:sz w:val="18"/>
              </w:rPr>
              <w:t xml:space="preserve"> en una categórica de 6 niveles (NB §V.2).</w:t>
            </w:r>
          </w:p>
        </w:tc>
        <w:tc>
          <w:tcPr>
            <w:tcW w:type="dxa" w:w="4536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Supervivencia femenina 96.8 % / 92.1 % / 50.0 % (1.ª/2.ª/3.ª clase) vs. masculina 36.9 % / 15.7 % / 13.5 %. V de Cramér = 0.627 (</w:t>
            </w:r>
            <w:r>
              <w:rPr>
                <w:rFonts w:ascii="Consolas" w:hAnsi="Consolas" w:eastAsia="Consolas"/>
                <w:sz w:val="15"/>
              </w:rPr>
              <w:t>Sex</w:t>
            </w:r>
            <w:r>
              <w:rPr>
                <w:sz w:val="18"/>
              </w:rPr>
              <w:t xml:space="preserve"> 0.541; </w:t>
            </w:r>
            <w:r>
              <w:rPr>
                <w:rFonts w:ascii="Consolas" w:hAnsi="Consolas" w:eastAsia="Consolas"/>
                <w:sz w:val="15"/>
              </w:rPr>
              <w:t>Pclass</w:t>
            </w:r>
            <w:r>
              <w:rPr>
                <w:sz w:val="18"/>
              </w:rPr>
              <w:t xml:space="preserve"> 0.340). Como cruzar variables siempre suma información, se probó la interacción con un test de razón de verosimilitudes contra el modelo aditivo: LR = 28.79, gl = 2, p = 5.6×10⁻⁷.</w:t>
            </w:r>
          </w:p>
        </w:tc>
      </w:tr>
    </w:tbl>
    <w:p>
      <w:pPr>
        <w:spacing w:before="80"/>
        <w:jc w:val="both"/>
      </w:pPr>
      <w:r>
        <w:rPr>
          <w:b/>
        </w:rPr>
        <w:t>Matiz:</w:t>
      </w:r>
      <w:r>
        <w:t xml:space="preserve"> al controlar por tamaño de grupo, la correlación parcial con </w:t>
      </w:r>
      <w:r>
        <w:rPr>
          <w:rFonts w:ascii="Consolas" w:hAnsi="Consolas" w:eastAsia="Consolas"/>
          <w:sz w:val="19"/>
        </w:rPr>
        <w:t>Survived</w:t>
      </w:r>
      <w:r>
        <w:t xml:space="preserve"> cae en magnitud similar para </w:t>
      </w:r>
      <w:r>
        <w:rPr>
          <w:rFonts w:ascii="Consolas" w:hAnsi="Consolas" w:eastAsia="Consolas"/>
          <w:sz w:val="19"/>
        </w:rPr>
        <w:t>Fare_log</w:t>
      </w:r>
      <w:r>
        <w:t xml:space="preserve"> (10.7 %) y </w:t>
      </w:r>
      <w:r>
        <w:rPr>
          <w:rFonts w:ascii="Consolas" w:hAnsi="Consolas" w:eastAsia="Consolas"/>
          <w:sz w:val="19"/>
        </w:rPr>
        <w:t>Fare_per_person_log</w:t>
      </w:r>
      <w:r>
        <w:t xml:space="preserve"> (11.5 %). Por eso la preferencia por la segunda se apoya en su interpretabilidad conceptual, no en que aísle mejor el efecto del grupo (NB §VI.2).</w:t>
      </w:r>
    </w:p>
    <w:p>
      <w:pPr>
        <w:pStyle w:val="Heading1"/>
      </w:pPr>
      <w:r>
        <w:t>V. Selección preliminar de características</w:t>
      </w:r>
    </w:p>
    <w:p>
      <w:pPr>
        <w:pStyle w:val="Heading2"/>
      </w:pPr>
      <w:r>
        <w:t>V.1 Criterios de selección (NB §VI)</w:t>
      </w:r>
    </w:p>
    <w:p>
      <w:pPr>
        <w:spacing w:after="40"/>
        <w:jc w:val="both"/>
      </w:pPr>
      <w:r>
        <w:t xml:space="preserve">(1) Relevancia analítica y predictiva frente a </w:t>
      </w:r>
      <w:r>
        <w:rPr>
          <w:rFonts w:ascii="Consolas" w:hAnsi="Consolas" w:eastAsia="Consolas"/>
          <w:sz w:val="19"/>
        </w:rPr>
        <w:t>Survived</w:t>
      </w:r>
      <w:r>
        <w:t xml:space="preserve"> (V de Cramér, rango-biserial e información mutua, </w:t>
      </w:r>
      <w:r>
        <w:rPr>
          <w:i/>
        </w:rPr>
        <w:t>MI</w:t>
      </w:r>
      <w:r>
        <w:t xml:space="preserve">); (2) redundancia con otras variables; (3) interpretabilidad; (4) consistencia, medida como estabilidad del ranking de </w:t>
      </w:r>
      <w:r>
        <w:rPr>
          <w:i/>
        </w:rPr>
        <w:t>MI</w:t>
      </w:r>
      <w:r>
        <w:t xml:space="preserve"> con tres semillas. La decisión final se resume en la Tabla 3 y la relevancia en la Figura 2.</w:t>
      </w:r>
    </w:p>
    <w:p>
      <w:pPr>
        <w:pStyle w:val="Heading2"/>
      </w:pPr>
      <w:r>
        <w:t>V.2 Decisiones y evidencia de relevancia</w:t>
      </w:r>
    </w:p>
    <w:p>
      <w:pPr>
        <w:keepNext/>
        <w:spacing w:before="80" w:after="40" w:line="240" w:lineRule="auto"/>
      </w:pPr>
      <w:r>
        <w:rPr>
          <w:b/>
          <w:sz w:val="19"/>
        </w:rPr>
        <w:t xml:space="preserve">Tabla 3. </w:t>
      </w:r>
      <w:r>
        <w:rPr>
          <w:i/>
          <w:sz w:val="19"/>
        </w:rPr>
        <w:t>Decisiones de selección preliminar y justificación</w:t>
      </w:r>
    </w:p>
    <w:tbl>
      <w:tblPr>
        <w:tblW w:type="auto" w:w="0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1152"/>
        <w:gridCol w:w="2664"/>
        <w:gridCol w:w="5544"/>
      </w:tblGrid>
      <w:tr>
        <w:trPr>
          <w:cantSplit/>
          <w:tblHeader/>
        </w:trPr>
        <w:tc>
          <w:tcPr>
            <w:tcW w:type="dxa" w:w="1152"/>
            <w:shd w:val="clear" w:color="auto" w:fill="1F3864"/>
          </w:tcPr>
          <w:p>
            <w:pPr>
              <w:spacing w:line="240" w:lineRule="auto" w:after="0"/>
              <w:jc w:val="left"/>
            </w:pPr>
            <w:r>
              <w:rPr>
                <w:b/>
                <w:color w:val="FFFFFF"/>
                <w:sz w:val="18"/>
              </w:rPr>
              <w:t>Decisión</w:t>
            </w:r>
          </w:p>
        </w:tc>
        <w:tc>
          <w:tcPr>
            <w:tcW w:type="dxa" w:w="2664"/>
            <w:shd w:val="clear" w:color="auto" w:fill="1F3864"/>
          </w:tcPr>
          <w:p>
            <w:pPr>
              <w:spacing w:line="240" w:lineRule="auto" w:after="0"/>
              <w:jc w:val="left"/>
            </w:pPr>
            <w:r>
              <w:rPr>
                <w:b/>
                <w:color w:val="FFFFFF"/>
                <w:sz w:val="18"/>
              </w:rPr>
              <w:t>Variables</w:t>
            </w:r>
          </w:p>
        </w:tc>
        <w:tc>
          <w:tcPr>
            <w:tcW w:type="dxa" w:w="5544"/>
            <w:shd w:val="clear" w:color="auto" w:fill="1F3864"/>
          </w:tcPr>
          <w:p>
            <w:pPr>
              <w:spacing w:line="240" w:lineRule="auto" w:after="0"/>
              <w:jc w:val="left"/>
            </w:pPr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40" w:lineRule="auto" w:after="0"/>
              <w:jc w:val="left"/>
            </w:pPr>
            <w:r>
              <w:rPr>
                <w:b/>
                <w:sz w:val="18"/>
              </w:rPr>
              <w:t>Priorizar</w:t>
            </w:r>
          </w:p>
        </w:tc>
        <w:tc>
          <w:tcPr>
            <w:tcW w:type="dxa" w:w="2664"/>
          </w:tcPr>
          <w:p>
            <w:pPr>
              <w:spacing w:line="240" w:lineRule="auto" w:after="0"/>
              <w:jc w:val="left"/>
            </w:pPr>
            <w:r>
              <w:rPr>
                <w:rFonts w:ascii="Consolas" w:hAnsi="Consolas" w:eastAsia="Consolas"/>
                <w:sz w:val="15"/>
              </w:rPr>
              <w:t>Sex_Pclass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Title_agrupado</w:t>
            </w:r>
          </w:p>
        </w:tc>
        <w:tc>
          <w:tcPr>
            <w:tcW w:type="dxa" w:w="5544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 xml:space="preserve">Mayor relevancia (V = 0.627 y 0.570; </w:t>
            </w:r>
            <w:r>
              <w:rPr>
                <w:i/>
                <w:sz w:val="18"/>
              </w:rPr>
              <w:t>MI</w:t>
            </w:r>
            <w:r>
              <w:rPr>
                <w:sz w:val="18"/>
              </w:rPr>
              <w:t xml:space="preserve"> 0.218 y 0.169). </w:t>
            </w:r>
            <w:r>
              <w:rPr>
                <w:rFonts w:ascii="Consolas" w:hAnsi="Consolas" w:eastAsia="Consolas"/>
                <w:sz w:val="15"/>
              </w:rPr>
              <w:t>Title_agrupado</w:t>
            </w:r>
            <w:r>
              <w:rPr>
                <w:sz w:val="18"/>
              </w:rPr>
              <w:t xml:space="preserve"> distingue a los niños (</w:t>
            </w:r>
            <w:r>
              <w:rPr>
                <w:i/>
                <w:sz w:val="18"/>
              </w:rPr>
              <w:t>Master</w:t>
            </w:r>
            <w:r>
              <w:rPr>
                <w:sz w:val="18"/>
              </w:rPr>
              <w:t xml:space="preserve">), que </w:t>
            </w:r>
            <w:r>
              <w:rPr>
                <w:rFonts w:ascii="Consolas" w:hAnsi="Consolas" w:eastAsia="Consolas"/>
                <w:sz w:val="15"/>
              </w:rPr>
              <w:t>Sex</w:t>
            </w:r>
            <w:r>
              <w:rPr>
                <w:sz w:val="18"/>
              </w:rPr>
              <w:t xml:space="preserve"> no captura.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40" w:lineRule="auto" w:after="0"/>
              <w:jc w:val="left"/>
            </w:pPr>
            <w:r>
              <w:rPr>
                <w:b/>
                <w:sz w:val="18"/>
              </w:rPr>
              <w:t>Conservar</w:t>
            </w:r>
          </w:p>
        </w:tc>
        <w:tc>
          <w:tcPr>
            <w:tcW w:type="dxa" w:w="2664"/>
          </w:tcPr>
          <w:p>
            <w:pPr>
              <w:spacing w:line="240" w:lineRule="auto" w:after="0"/>
              <w:jc w:val="left"/>
            </w:pPr>
            <w:r>
              <w:rPr>
                <w:rFonts w:ascii="Consolas" w:hAnsi="Consolas" w:eastAsia="Consolas"/>
                <w:sz w:val="15"/>
              </w:rPr>
              <w:t>Pclass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Fare_per_person_log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FamilySize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TicketGroupSize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Embarked_clean</w:t>
            </w:r>
          </w:p>
        </w:tc>
        <w:tc>
          <w:tcPr>
            <w:tcW w:type="dxa" w:w="5544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Relevancia significativa e interpretable (</w:t>
            </w:r>
            <w:r>
              <w:rPr>
                <w:rFonts w:ascii="Consolas" w:hAnsi="Consolas" w:eastAsia="Consolas"/>
                <w:sz w:val="15"/>
              </w:rPr>
              <w:t>Pclass</w:t>
            </w:r>
            <w:r>
              <w:rPr>
                <w:sz w:val="18"/>
              </w:rPr>
              <w:t xml:space="preserve"> V = 0.340; </w:t>
            </w:r>
            <w:r>
              <w:rPr>
                <w:rFonts w:ascii="Consolas" w:hAnsi="Consolas" w:eastAsia="Consolas"/>
                <w:sz w:val="15"/>
              </w:rPr>
              <w:t>Embarked_clean</w:t>
            </w:r>
            <w:r>
              <w:rPr>
                <w:sz w:val="18"/>
              </w:rPr>
              <w:t xml:space="preserve"> V = 0.171; </w:t>
            </w:r>
            <w:r>
              <w:rPr>
                <w:rFonts w:ascii="Consolas" w:hAnsi="Consolas" w:eastAsia="Consolas"/>
                <w:sz w:val="15"/>
              </w:rPr>
              <w:t>FamilySize</w:t>
            </w:r>
            <w:r>
              <w:rPr>
                <w:sz w:val="18"/>
              </w:rPr>
              <w:t xml:space="preserve"> p = 8×10⁻⁷). </w:t>
            </w:r>
            <w:r>
              <w:rPr>
                <w:rFonts w:ascii="Consolas" w:hAnsi="Consolas" w:eastAsia="Consolas"/>
                <w:sz w:val="15"/>
              </w:rPr>
              <w:t>FamilySize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eastAsia="Consolas"/>
                <w:sz w:val="15"/>
              </w:rPr>
              <w:t>TicketGroupSize</w:t>
            </w:r>
            <w:r>
              <w:rPr>
                <w:sz w:val="18"/>
              </w:rPr>
              <w:t xml:space="preserve"> describen conceptos distintos; </w:t>
            </w:r>
            <w:r>
              <w:rPr>
                <w:rFonts w:ascii="Consolas" w:hAnsi="Consolas" w:eastAsia="Consolas"/>
                <w:sz w:val="15"/>
              </w:rPr>
              <w:t>Fare_per_person_log</w:t>
            </w:r>
            <w:r>
              <w:rPr>
                <w:sz w:val="18"/>
              </w:rPr>
              <w:t xml:space="preserve"> reemplaza a </w:t>
            </w:r>
            <w:r>
              <w:rPr>
                <w:rFonts w:ascii="Consolas" w:hAnsi="Consolas" w:eastAsia="Consolas"/>
                <w:sz w:val="15"/>
              </w:rPr>
              <w:t>Fare_log</w:t>
            </w:r>
            <w:r>
              <w:rPr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40" w:lineRule="auto" w:after="0"/>
              <w:jc w:val="left"/>
            </w:pPr>
            <w:r>
              <w:rPr>
                <w:b/>
                <w:sz w:val="18"/>
              </w:rPr>
              <w:t>Revisar</w:t>
            </w:r>
          </w:p>
        </w:tc>
        <w:tc>
          <w:tcPr>
            <w:tcW w:type="dxa" w:w="2664"/>
          </w:tcPr>
          <w:p>
            <w:pPr>
              <w:spacing w:line="240" w:lineRule="auto" w:after="0"/>
              <w:jc w:val="left"/>
            </w:pPr>
            <w:r>
              <w:rPr>
                <w:rFonts w:ascii="Consolas" w:hAnsi="Consolas" w:eastAsia="Consolas"/>
                <w:sz w:val="15"/>
              </w:rPr>
              <w:t>AgeGroup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Deck_combinado</w:t>
            </w:r>
          </w:p>
        </w:tc>
        <w:tc>
          <w:tcPr>
            <w:tcW w:type="dxa" w:w="5544"/>
          </w:tcPr>
          <w:p>
            <w:pPr>
              <w:spacing w:line="240" w:lineRule="auto" w:after="0"/>
              <w:jc w:val="left"/>
            </w:pPr>
            <w:r>
              <w:rPr>
                <w:rFonts w:ascii="Consolas" w:hAnsi="Consolas" w:eastAsia="Consolas"/>
                <w:sz w:val="15"/>
              </w:rPr>
              <w:t>AgeGroup</w:t>
            </w:r>
            <w:r>
              <w:rPr>
                <w:sz w:val="18"/>
              </w:rPr>
              <w:t xml:space="preserve">: significativa (V = 0.137; p = 0.002) pero </w:t>
            </w:r>
            <w:r>
              <w:rPr>
                <w:i/>
                <w:sz w:val="18"/>
              </w:rPr>
              <w:t>MI</w:t>
            </w:r>
            <w:r>
              <w:rPr>
                <w:sz w:val="18"/>
              </w:rPr>
              <w:t xml:space="preserve"> marginal; se mantiene por su sentido sustantivo («niños primero»). </w:t>
            </w:r>
            <w:r>
              <w:rPr>
                <w:rFonts w:ascii="Consolas" w:hAnsi="Consolas" w:eastAsia="Consolas"/>
                <w:sz w:val="15"/>
              </w:rPr>
              <w:t>Deck_combinado</w:t>
            </w:r>
            <w:r>
              <w:rPr>
                <w:sz w:val="18"/>
              </w:rPr>
              <w:t>: V = 0.334, pero ~77 % es «Desconocida».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line="240" w:lineRule="auto" w:after="0"/>
              <w:jc w:val="left"/>
            </w:pPr>
            <w:r>
              <w:rPr>
                <w:b/>
                <w:sz w:val="18"/>
              </w:rPr>
              <w:t>Descartar</w:t>
            </w:r>
          </w:p>
        </w:tc>
        <w:tc>
          <w:tcPr>
            <w:tcW w:type="dxa" w:w="2664"/>
          </w:tcPr>
          <w:p>
            <w:pPr>
              <w:spacing w:line="240" w:lineRule="auto" w:after="0"/>
              <w:jc w:val="left"/>
            </w:pPr>
            <w:r>
              <w:rPr>
                <w:rFonts w:ascii="Consolas" w:hAnsi="Consolas" w:eastAsia="Consolas"/>
                <w:sz w:val="15"/>
              </w:rPr>
              <w:t>Age_clean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Sex_bin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Fare_log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FareBand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IsAlone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who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adult_male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deck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embark_town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alone</w:t>
            </w:r>
          </w:p>
        </w:tc>
        <w:tc>
          <w:tcPr>
            <w:tcW w:type="dxa" w:w="5544"/>
          </w:tcPr>
          <w:p>
            <w:pPr>
              <w:spacing w:line="240" w:lineRule="auto" w:after="0"/>
              <w:jc w:val="left"/>
            </w:pPr>
            <w:r>
              <w:rPr>
                <w:rFonts w:ascii="Consolas" w:hAnsi="Consolas" w:eastAsia="Consolas"/>
                <w:sz w:val="15"/>
              </w:rPr>
              <w:t>Age_clean</w:t>
            </w:r>
            <w:r>
              <w:rPr>
                <w:sz w:val="18"/>
              </w:rPr>
              <w:t xml:space="preserve">: sin diferencia con </w:t>
            </w:r>
            <w:r>
              <w:rPr>
                <w:rFonts w:ascii="Consolas" w:hAnsi="Consolas" w:eastAsia="Consolas"/>
                <w:sz w:val="15"/>
              </w:rPr>
              <w:t>Survived</w:t>
            </w:r>
            <w:r>
              <w:rPr>
                <w:sz w:val="18"/>
              </w:rPr>
              <w:t xml:space="preserve"> (Mann-Whitney p = 0.25); su señal útil queda en </w:t>
            </w:r>
            <w:r>
              <w:rPr>
                <w:rFonts w:ascii="Consolas" w:hAnsi="Consolas" w:eastAsia="Consolas"/>
                <w:sz w:val="15"/>
              </w:rPr>
              <w:t>AgeGroup</w:t>
            </w:r>
            <w:r>
              <w:rPr>
                <w:sz w:val="18"/>
              </w:rPr>
              <w:t xml:space="preserve">. </w:t>
            </w:r>
            <w:r>
              <w:rPr>
                <w:rFonts w:ascii="Consolas" w:hAnsi="Consolas" w:eastAsia="Consolas"/>
                <w:sz w:val="15"/>
              </w:rPr>
              <w:t>Sex_bin</w:t>
            </w:r>
            <w:r>
              <w:rPr>
                <w:sz w:val="18"/>
              </w:rPr>
              <w:t xml:space="preserve">: V = 0.995 con </w:t>
            </w:r>
            <w:r>
              <w:rPr>
                <w:rFonts w:ascii="Consolas" w:hAnsi="Consolas" w:eastAsia="Consolas"/>
                <w:sz w:val="15"/>
              </w:rPr>
              <w:t>Title_agrupado</w:t>
            </w:r>
            <w:r>
              <w:rPr>
                <w:sz w:val="18"/>
              </w:rPr>
              <w:t xml:space="preserve">. </w:t>
            </w:r>
            <w:r>
              <w:rPr>
                <w:rFonts w:ascii="Consolas" w:hAnsi="Consolas" w:eastAsia="Consolas"/>
                <w:sz w:val="15"/>
              </w:rPr>
              <w:t>Fare_log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FareBand</w:t>
            </w:r>
            <w:r>
              <w:rPr>
                <w:sz w:val="18"/>
              </w:rPr>
              <w:t xml:space="preserve">: redundantes con </w:t>
            </w:r>
            <w:r>
              <w:rPr>
                <w:rFonts w:ascii="Consolas" w:hAnsi="Consolas" w:eastAsia="Consolas"/>
                <w:sz w:val="15"/>
              </w:rPr>
              <w:t>Fare_per_person_log</w:t>
            </w:r>
            <w:r>
              <w:rPr>
                <w:sz w:val="18"/>
              </w:rPr>
              <w:t xml:space="preserve">. </w:t>
            </w:r>
            <w:r>
              <w:rPr>
                <w:rFonts w:ascii="Consolas" w:hAnsi="Consolas" w:eastAsia="Consolas"/>
                <w:sz w:val="15"/>
              </w:rPr>
              <w:t>IsAlone</w:t>
            </w:r>
            <w:r>
              <w:rPr>
                <w:sz w:val="18"/>
              </w:rPr>
              <w:t xml:space="preserve">: función determinística de </w:t>
            </w:r>
            <w:r>
              <w:rPr>
                <w:rFonts w:ascii="Consolas" w:hAnsi="Consolas" w:eastAsia="Consolas"/>
                <w:sz w:val="15"/>
              </w:rPr>
              <w:t>FamilySize</w:t>
            </w:r>
            <w:r>
              <w:rPr>
                <w:sz w:val="18"/>
              </w:rPr>
              <w:t>. Las seis columnas de seaborn-data se reconstruyen al 100 % desde columnas propias.</w:t>
            </w:r>
          </w:p>
        </w:tc>
      </w:tr>
    </w:tbl>
    <w:p>
      <w:pPr>
        <w:keepNext/>
        <w:spacing w:before="80" w:after="40" w:line="240" w:lineRule="auto"/>
      </w:pPr>
      <w:r>
        <w:rPr>
          <w:b/>
          <w:sz w:val="19"/>
        </w:rPr>
        <w:t xml:space="preserve">Figura 2. </w:t>
      </w:r>
      <w:r>
        <w:rPr>
          <w:i/>
          <w:sz w:val="19"/>
        </w:rPr>
        <w:t xml:space="preserve">Información mutua de las variables candidatas frente a </w:t>
      </w:r>
      <w:r>
        <w:rPr>
          <w:rFonts w:ascii="Consolas" w:hAnsi="Consolas" w:eastAsia="Consolas"/>
          <w:i/>
          <w:sz w:val="16"/>
        </w:rPr>
        <w:t>Survived</w:t>
      </w:r>
      <w:r>
        <w:rPr>
          <w:i/>
          <w:sz w:val="19"/>
        </w:rPr>
        <w:t xml:space="preserve"> (semilla 42)</w:t>
      </w:r>
    </w:p>
    <w:p>
      <w:pPr>
        <w:keepNext w:val="0"/>
        <w:spacing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60320" cy="17855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_titanic_mutual_inform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8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t xml:space="preserve">El extremo superior del ranking es estable ante la semilla: </w:t>
      </w:r>
      <w:r>
        <w:rPr>
          <w:rFonts w:ascii="Consolas" w:hAnsi="Consolas" w:eastAsia="Consolas"/>
          <w:sz w:val="19"/>
        </w:rPr>
        <w:t>Sex_Pclass</w:t>
      </w:r>
      <w:r>
        <w:t xml:space="preserve">, </w:t>
      </w:r>
      <w:r>
        <w:rPr>
          <w:rFonts w:ascii="Consolas" w:hAnsi="Consolas" w:eastAsia="Consolas"/>
          <w:sz w:val="19"/>
        </w:rPr>
        <w:t>Title_agrupado</w:t>
      </w:r>
      <w:r>
        <w:t xml:space="preserve"> y </w:t>
      </w:r>
      <w:r>
        <w:rPr>
          <w:rFonts w:ascii="Consolas" w:hAnsi="Consolas" w:eastAsia="Consolas"/>
          <w:sz w:val="19"/>
        </w:rPr>
        <w:t>Fare_per_person_log</w:t>
      </w:r>
      <w:r>
        <w:t xml:space="preserve"> son siempre las tres primeras (esta última entre 0.096 y 0.117), y </w:t>
      </w:r>
      <w:r>
        <w:rPr>
          <w:rFonts w:ascii="Consolas" w:hAnsi="Consolas" w:eastAsia="Consolas"/>
          <w:sz w:val="19"/>
        </w:rPr>
        <w:t>AgeGroup</w:t>
      </w:r>
      <w:r>
        <w:t xml:space="preserve"> y </w:t>
      </w:r>
      <w:r>
        <w:rPr>
          <w:rFonts w:ascii="Consolas" w:hAnsi="Consolas" w:eastAsia="Consolas"/>
          <w:sz w:val="19"/>
        </w:rPr>
        <w:t>Embarked_clean</w:t>
      </w:r>
      <w:r>
        <w:t xml:space="preserve"> las últimas. En el tramo intermedio los valores continuos son inestables, por lo que </w:t>
      </w:r>
      <w:r>
        <w:rPr>
          <w:b/>
        </w:rPr>
        <w:t>no se usó la cifra puntual de MI para decidir</w:t>
      </w:r>
      <w:r>
        <w:t>: los descartes se fundan en redundancia estructural o en el resultado de las pruebas de fases previas.</w:t>
      </w:r>
    </w:p>
    <w:p>
      <w:pPr>
        <w:pStyle w:val="Heading1"/>
      </w:pPr>
      <w:r>
        <w:t>VI. Documentación reproducible del pipeline</w:t>
      </w:r>
    </w:p>
    <w:p>
      <w:pPr>
        <w:pStyle w:val="Heading2"/>
      </w:pPr>
      <w:r>
        <w:t>VI.1 Registro y organización del notebook</w:t>
      </w:r>
    </w:p>
    <w:p>
      <w:pPr>
        <w:spacing w:after="40"/>
        <w:jc w:val="both"/>
      </w:pPr>
      <w:r>
        <w:t>El notebook está ejecutado de punta a punta, con rutas relativas y semilla fija (</w:t>
      </w:r>
      <w:r>
        <w:rPr>
          <w:rFonts w:ascii="Consolas" w:hAnsi="Consolas" w:eastAsia="Consolas"/>
          <w:sz w:val="19"/>
        </w:rPr>
        <w:t>RANDOM_STATE = 42</w:t>
      </w:r>
      <w:r>
        <w:t xml:space="preserve">); las dependencias están en </w:t>
      </w:r>
      <w:r>
        <w:rPr>
          <w:rFonts w:ascii="Consolas" w:hAnsi="Consolas" w:eastAsia="Consolas"/>
          <w:sz w:val="19"/>
        </w:rPr>
        <w:t>requirements.txt</w:t>
      </w:r>
      <w:r>
        <w:t>. Cada acción queda en una bitácora de 8 pasos con su efecto verificable (NB §VII) y las decisiones de selección, en la tabla de NB §VI.4. Las secciones del notebook siguen el orden de las instrucciones (encabezado → carga → revisión → transformaciones → derivadas → selección → documentación → resultado → cierre), con celdas de código y narrativa alternadas.</w:t>
      </w:r>
    </w:p>
    <w:p>
      <w:pPr>
        <w:pStyle w:val="Heading2"/>
      </w:pPr>
      <w:r>
        <w:t>VI.2 Correspondencia entre los tres productos</w:t>
      </w:r>
    </w:p>
    <w:p>
      <w:pPr>
        <w:keepNext/>
        <w:spacing w:before="80" w:after="40" w:line="240" w:lineRule="auto"/>
      </w:pPr>
      <w:r>
        <w:rPr>
          <w:b/>
          <w:sz w:val="19"/>
        </w:rPr>
        <w:t xml:space="preserve">Tabla 4. </w:t>
      </w:r>
      <w:r>
        <w:rPr>
          <w:i/>
          <w:sz w:val="19"/>
        </w:rPr>
        <w:t>Correspondencia entre informe, notebook y presentación</w:t>
      </w:r>
    </w:p>
    <w:tbl>
      <w:tblPr>
        <w:tblW w:type="auto" w:w="0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3024"/>
        <w:gridCol w:w="3456"/>
        <w:gridCol w:w="2880"/>
      </w:tblGrid>
      <w:tr>
        <w:trPr>
          <w:cantSplit/>
          <w:tblHeader/>
        </w:trPr>
        <w:tc>
          <w:tcPr>
            <w:tcW w:type="dxa" w:w="3024"/>
            <w:shd w:val="clear" w:color="auto" w:fill="1F3864"/>
          </w:tcPr>
          <w:p>
            <w:pPr>
              <w:spacing w:line="240" w:lineRule="auto" w:after="0"/>
              <w:jc w:val="left"/>
            </w:pPr>
            <w:r>
              <w:rPr>
                <w:b/>
                <w:color w:val="FFFFFF"/>
                <w:sz w:val="18"/>
              </w:rPr>
              <w:t>Informe (PDF)</w:t>
            </w:r>
          </w:p>
        </w:tc>
        <w:tc>
          <w:tcPr>
            <w:tcW w:type="dxa" w:w="3456"/>
            <w:shd w:val="clear" w:color="auto" w:fill="1F3864"/>
          </w:tcPr>
          <w:p>
            <w:pPr>
              <w:spacing w:line="240" w:lineRule="auto" w:after="0"/>
              <w:jc w:val="left"/>
            </w:pPr>
            <w:r>
              <w:rPr>
                <w:b/>
                <w:color w:val="FFFFFF"/>
                <w:sz w:val="18"/>
              </w:rPr>
              <w:t>Notebook (NB)</w:t>
            </w:r>
          </w:p>
        </w:tc>
        <w:tc>
          <w:tcPr>
            <w:tcW w:type="dxa" w:w="2880"/>
            <w:shd w:val="clear" w:color="auto" w:fill="1F3864"/>
          </w:tcPr>
          <w:p>
            <w:pPr>
              <w:spacing w:line="240" w:lineRule="auto" w:after="0"/>
              <w:jc w:val="left"/>
            </w:pPr>
            <w:r>
              <w:rPr>
                <w:b/>
                <w:color w:val="FFFFFF"/>
                <w:sz w:val="18"/>
              </w:rPr>
              <w:t>Presentación (video)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II. Contexto y objetivo</w:t>
            </w:r>
          </w:p>
        </w:tc>
        <w:tc>
          <w:tcPr>
            <w:tcW w:type="dxa" w:w="3456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I. Encabezado; II. Carga; III. Revisión inicial</w:t>
            </w:r>
          </w:p>
        </w:tc>
        <w:tc>
          <w:tcPr>
            <w:tcW w:type="dxa" w:w="2880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I. Problema; II. Dataset y recorrido; III. Hallazgos previos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III. Transformaciones</w:t>
            </w:r>
          </w:p>
        </w:tc>
        <w:tc>
          <w:tcPr>
            <w:tcW w:type="dxa" w:w="3456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IV. Transformaciones y normalizaciones</w:t>
            </w:r>
          </w:p>
        </w:tc>
        <w:tc>
          <w:tcPr>
            <w:tcW w:type="dxa" w:w="2880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IV. Transformaciones y variables derivadas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IV. Variables derivadas</w:t>
            </w:r>
          </w:p>
        </w:tc>
        <w:tc>
          <w:tcPr>
            <w:tcW w:type="dxa" w:w="3456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V. Variables derivadas</w:t>
            </w:r>
          </w:p>
        </w:tc>
        <w:tc>
          <w:tcPr>
            <w:tcW w:type="dxa" w:w="2880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IV. Transformaciones y variables derivadas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V. Selección de características</w:t>
            </w:r>
          </w:p>
        </w:tc>
        <w:tc>
          <w:tcPr>
            <w:tcW w:type="dxa" w:w="3456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VI. Selección preliminar</w:t>
            </w:r>
          </w:p>
        </w:tc>
        <w:tc>
          <w:tcPr>
            <w:tcW w:type="dxa" w:w="2880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V. Selección preliminar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VI. Documentación</w:t>
            </w:r>
          </w:p>
        </w:tc>
        <w:tc>
          <w:tcPr>
            <w:tcW w:type="dxa" w:w="3456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VII. Documentación y trazabilidad</w:t>
            </w:r>
          </w:p>
        </w:tc>
        <w:tc>
          <w:tcPr>
            <w:tcW w:type="dxa" w:w="2880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Transversal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VII. Resultados</w:t>
            </w:r>
          </w:p>
        </w:tc>
        <w:tc>
          <w:tcPr>
            <w:tcW w:type="dxa" w:w="3456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VIII. Resultado final del dataset</w:t>
            </w:r>
          </w:p>
        </w:tc>
        <w:tc>
          <w:tcPr>
            <w:tcW w:type="dxa" w:w="2880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VI. Valor analítico del cierre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VIII. Decisiones y limitaciones</w:t>
            </w:r>
          </w:p>
        </w:tc>
        <w:tc>
          <w:tcPr>
            <w:tcW w:type="dxa" w:w="3456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IX. Supuestos, limitaciones y cierre</w:t>
            </w:r>
          </w:p>
        </w:tc>
        <w:tc>
          <w:tcPr>
            <w:tcW w:type="dxa" w:w="2880"/>
          </w:tcPr>
          <w:p>
            <w:pPr>
              <w:spacing w:line="240" w:lineRule="auto" w:after="0"/>
              <w:jc w:val="left"/>
            </w:pPr>
            <w:r>
              <w:rPr>
                <w:sz w:val="18"/>
              </w:rPr>
              <w:t>VII. Limitaciones y cierre final</w:t>
            </w:r>
          </w:p>
        </w:tc>
      </w:tr>
    </w:tbl>
    <w:p>
      <w:pPr>
        <w:pStyle w:val="Heading1"/>
      </w:pPr>
      <w:r>
        <w:t>VII. Resultados del pipeline y valor analítico del cierre</w:t>
      </w:r>
    </w:p>
    <w:p>
      <w:pPr>
        <w:spacing w:after="40"/>
        <w:jc w:val="both"/>
      </w:pPr>
      <w:r>
        <w:rPr>
          <w:b/>
        </w:rPr>
        <w:t>Decisiones técnicas.</w:t>
      </w:r>
      <w:r>
        <w:t xml:space="preserve"> Escalado robusto por atípicos legítimos, dos variables derivadas con evidencia cuantitativa, eliminación de redundancias y codificación </w:t>
      </w:r>
      <w:r>
        <w:rPr>
          <w:i/>
        </w:rPr>
        <w:t>one-hot</w:t>
      </w:r>
      <w:r>
        <w:t xml:space="preserve"> de las nominales (NB §VIII).</w:t>
      </w:r>
    </w:p>
    <w:p>
      <w:pPr>
        <w:pStyle w:val="ListBullet"/>
        <w:jc w:val="both"/>
      </w:pPr>
      <w:r>
        <w:rPr>
          <w:b/>
        </w:rPr>
        <w:t>Mejoras en el dataset.</w:t>
      </w:r>
      <w:r>
        <w:t xml:space="preserve"> De 891 × 32 a 891 × 30 columnas (28 características más </w:t>
      </w:r>
      <w:r>
        <w:rPr>
          <w:rFonts w:ascii="Consolas" w:hAnsi="Consolas" w:eastAsia="Consolas"/>
          <w:sz w:val="19"/>
        </w:rPr>
        <w:t>PassengerId</w:t>
      </w:r>
      <w:r>
        <w:t xml:space="preserve"> y </w:t>
      </w:r>
      <w:r>
        <w:rPr>
          <w:rFonts w:ascii="Consolas" w:hAnsi="Consolas" w:eastAsia="Consolas"/>
          <w:sz w:val="19"/>
        </w:rPr>
        <w:t>Survived</w:t>
      </w:r>
      <w:r>
        <w:t>): se eliminó la duplicación de señal (6 columnas heredadas de seaborn-data y 5 propias descartadas), se añadieron 2 variables derivadas y no quedan valores faltantes.</w:t>
      </w:r>
    </w:p>
    <w:p>
      <w:pPr>
        <w:pStyle w:val="ListBullet"/>
        <w:jc w:val="both"/>
      </w:pPr>
      <w:r>
        <w:rPr>
          <w:b/>
        </w:rPr>
        <w:t>Valor para el modelamiento.</w:t>
      </w:r>
      <w:r>
        <w:t xml:space="preserve"> El conjunto está codificado y escalado, con pocas variables justificadas una a una y sin fuga hacia el objetivo. La señal dominante (sexo × clase, título y tarifa por persona) sugiere modelos de referencia como regresión logística regularizada o árboles, y </w:t>
      </w:r>
      <w:r>
        <w:rPr>
          <w:rFonts w:ascii="Consolas" w:hAnsi="Consolas" w:eastAsia="Consolas"/>
          <w:sz w:val="19"/>
        </w:rPr>
        <w:t>Sex_Pclass</w:t>
      </w:r>
      <w:r>
        <w:t xml:space="preserve"> permite que un modelo lineal capture el efecto no aditivo sin depender de interacciones automáticas.</w:t>
      </w:r>
    </w:p>
    <w:p>
      <w:pPr>
        <w:pStyle w:val="ListBullet"/>
        <w:jc w:val="both"/>
      </w:pPr>
      <w:r>
        <w:rPr>
          <w:b/>
        </w:rPr>
        <w:t>Valor para la comprensión del problema.</w:t>
      </w:r>
      <w:r>
        <w:t xml:space="preserve"> Se documenta que la tarifa observada mezcla precio y tamaño de grupo, y que el efecto de la clase no es uniforme por sexo: en mujeres solo cae con fuerza en 3.ª clase (92.1 % → 50.0 %), mientras que en hombres ya es bajo desde la 2.ª (36.9 % → 15.7 %).</w:t>
      </w:r>
    </w:p>
    <w:p>
      <w:pPr>
        <w:pStyle w:val="Heading1"/>
      </w:pPr>
      <w:r>
        <w:t>VIII. Decisiones metodológicas, supuestos y limitaciones</w:t>
      </w:r>
    </w:p>
    <w:p>
      <w:pPr>
        <w:pStyle w:val="ListBullet"/>
        <w:jc w:val="both"/>
      </w:pPr>
      <w:r>
        <w:rPr>
          <w:b/>
        </w:rPr>
        <w:t>Decisiones.</w:t>
      </w:r>
      <w:r>
        <w:t xml:space="preserve"> Se reutilizó el dataset de las Fases 2-3 y no se entrenó ningún modelo. La interacción </w:t>
      </w:r>
      <w:r>
        <w:rPr>
          <w:rFonts w:ascii="Consolas" w:hAnsi="Consolas" w:eastAsia="Consolas"/>
          <w:sz w:val="19"/>
        </w:rPr>
        <w:t>Sex_Pclass</w:t>
      </w:r>
      <w:r>
        <w:t xml:space="preserve"> se validó con un test formal y la </w:t>
      </w:r>
      <w:r>
        <w:rPr>
          <w:i/>
        </w:rPr>
        <w:t>MI</w:t>
      </w:r>
      <w:r>
        <w:t xml:space="preserve"> se acompañó de una prueba de estabilidad. Se distinguió significancia estadística de relevancia práctica (p. ej. </w:t>
      </w:r>
      <w:r>
        <w:rPr>
          <w:rFonts w:ascii="Consolas" w:hAnsi="Consolas" w:eastAsia="Consolas"/>
          <w:sz w:val="19"/>
        </w:rPr>
        <w:t>AgeGroup</w:t>
      </w:r>
      <w:r>
        <w:t>).</w:t>
      </w:r>
    </w:p>
    <w:p>
      <w:pPr>
        <w:pStyle w:val="ListBullet"/>
        <w:jc w:val="both"/>
      </w:pPr>
      <w:r>
        <w:rPr>
          <w:b/>
        </w:rPr>
        <w:t>Supuestos.</w:t>
      </w:r>
      <w:r>
        <w:t xml:space="preserve"> Los 15 registros con </w:t>
      </w:r>
      <w:r>
        <w:rPr>
          <w:rFonts w:ascii="Consolas" w:hAnsi="Consolas" w:eastAsia="Consolas"/>
          <w:sz w:val="19"/>
        </w:rPr>
        <w:t>Fare</w:t>
      </w:r>
      <w:r>
        <w:t xml:space="preserve"> = 0 (todos varones) se asumen tarifa legítima del dominio, no dato faltante, y se conservan; esto no se puede confirmar con los datos. Se asume que los criterios usados bastan para una selección </w:t>
      </w:r>
      <w:r>
        <w:rPr>
          <w:i/>
        </w:rPr>
        <w:t>preliminar</w:t>
      </w:r>
      <w:r>
        <w:t>, que debe revalidarse con el desempeño de un modelo.</w:t>
      </w:r>
    </w:p>
    <w:p>
      <w:pPr>
        <w:pStyle w:val="ListBullet"/>
        <w:jc w:val="both"/>
      </w:pPr>
      <w:r>
        <w:rPr>
          <w:b/>
        </w:rPr>
        <w:t>Limitaciones.</w:t>
      </w:r>
      <w:r>
        <w:t xml:space="preserve"> </w:t>
      </w:r>
      <w:r>
        <w:rPr>
          <w:rFonts w:ascii="Consolas" w:hAnsi="Consolas" w:eastAsia="Consolas"/>
          <w:sz w:val="19"/>
        </w:rPr>
        <w:t>Deck_combinado</w:t>
      </w:r>
      <w:r>
        <w:t xml:space="preserve"> es ~77 % «Desconocida»; la evidencia es univariada y no descarta otras interacciones; con 891 casos, los subgrupos pequeños son frágiles. El </w:t>
      </w:r>
      <w:r>
        <w:rPr>
          <w:rFonts w:ascii="Consolas" w:hAnsi="Consolas" w:eastAsia="Consolas"/>
          <w:sz w:val="19"/>
        </w:rPr>
        <w:t>RobustScaler</w:t>
      </w:r>
      <w:r>
        <w:t xml:space="preserve"> se ajustó sobre todos los registros: al modelar deberá ajustarse solo con los datos de entrenamiento (dentro de la validación cruzada) para evitar fuga de información.</w:t>
      </w:r>
    </w:p>
    <w:p>
      <w:pPr>
        <w:pStyle w:val="Heading1"/>
      </w:pPr>
      <w:r>
        <w:t>IX. Bibliografía</w:t>
      </w:r>
    </w:p>
    <w:p>
      <w:pPr>
        <w:spacing w:after="30" w:line="240" w:lineRule="auto"/>
        <w:ind w:left="576" w:hanging="576"/>
        <w:jc w:val="left"/>
      </w:pPr>
      <w:r>
        <w:rPr>
          <w:sz w:val="19"/>
        </w:rPr>
        <w:t xml:space="preserve">Cramér, H. (1946). </w:t>
      </w:r>
      <w:r>
        <w:rPr>
          <w:i/>
          <w:sz w:val="19"/>
        </w:rPr>
        <w:t>Mathematical methods of statistics</w:t>
      </w:r>
      <w:r>
        <w:rPr>
          <w:sz w:val="19"/>
        </w:rPr>
        <w:t>. Princeton University Press.</w:t>
      </w:r>
    </w:p>
    <w:p>
      <w:pPr>
        <w:spacing w:after="30" w:line="240" w:lineRule="auto"/>
        <w:ind w:left="576" w:hanging="576"/>
        <w:jc w:val="left"/>
      </w:pPr>
      <w:r>
        <w:rPr>
          <w:sz w:val="19"/>
        </w:rPr>
        <w:t xml:space="preserve">Kaggle. (s. f.). </w:t>
      </w:r>
      <w:r>
        <w:rPr>
          <w:i/>
          <w:sz w:val="19"/>
        </w:rPr>
        <w:t>Titanic - Machine learning from disaster</w:t>
      </w:r>
      <w:r>
        <w:rPr>
          <w:sz w:val="19"/>
        </w:rPr>
        <w:t xml:space="preserve"> [Conjunto de datos]. https://www.kaggle.com/c/titanic</w:t>
      </w:r>
    </w:p>
    <w:p>
      <w:pPr>
        <w:spacing w:after="30" w:line="240" w:lineRule="auto"/>
        <w:ind w:left="576" w:hanging="576"/>
        <w:jc w:val="left"/>
      </w:pPr>
      <w:r>
        <w:rPr>
          <w:sz w:val="19"/>
        </w:rPr>
        <w:t xml:space="preserve">Kraskov, A., Stögbauer, H., &amp; Grassberger, P. (2004). Estimating mutual information. </w:t>
      </w:r>
      <w:r>
        <w:rPr>
          <w:i/>
          <w:sz w:val="19"/>
        </w:rPr>
        <w:t>Physical Review E, 69</w:t>
      </w:r>
      <w:r>
        <w:rPr>
          <w:sz w:val="19"/>
        </w:rPr>
        <w:t>(6), Artículo 066138. https://doi.org/10.1103/PhysRevE.69.066138</w:t>
      </w:r>
    </w:p>
    <w:p>
      <w:pPr>
        <w:spacing w:after="30" w:line="240" w:lineRule="auto"/>
        <w:ind w:left="576" w:hanging="576"/>
        <w:jc w:val="left"/>
      </w:pPr>
      <w:r>
        <w:rPr>
          <w:sz w:val="19"/>
        </w:rPr>
        <w:t xml:space="preserve">Kuhn, M., &amp; Johnson, K. (2019). </w:t>
      </w:r>
      <w:r>
        <w:rPr>
          <w:i/>
          <w:sz w:val="19"/>
        </w:rPr>
        <w:t>Feature engineering and selection: A practical approach for predictive models</w:t>
      </w:r>
      <w:r>
        <w:rPr>
          <w:sz w:val="19"/>
        </w:rPr>
        <w:t>. CRC Press.</w:t>
      </w:r>
    </w:p>
    <w:p>
      <w:pPr>
        <w:spacing w:after="30" w:line="240" w:lineRule="auto"/>
        <w:ind w:left="576" w:hanging="576"/>
        <w:jc w:val="left"/>
      </w:pPr>
      <w:r>
        <w:rPr>
          <w:sz w:val="19"/>
        </w:rPr>
        <w:t xml:space="preserve">Mann, H. B., &amp; Whitney, D. R. (1947). On a test of whether one of two random variables is stochastically larger than the other. </w:t>
      </w:r>
      <w:r>
        <w:rPr>
          <w:i/>
          <w:sz w:val="19"/>
        </w:rPr>
        <w:t>The Annals of Mathematical Statistics, 18</w:t>
      </w:r>
      <w:r>
        <w:rPr>
          <w:sz w:val="19"/>
        </w:rPr>
        <w:t>(1), 50-60. https://doi.org/10.1214/aoms/1177730491</w:t>
      </w:r>
    </w:p>
    <w:p>
      <w:pPr>
        <w:spacing w:after="30" w:line="240" w:lineRule="auto"/>
        <w:ind w:left="576" w:hanging="576"/>
        <w:jc w:val="left"/>
      </w:pPr>
      <w:r>
        <w:rPr>
          <w:sz w:val="19"/>
        </w:rPr>
        <w:t xml:space="preserve">McKinney, W. (2010). Data structures for statistical computing in Python. </w:t>
      </w:r>
      <w:r>
        <w:rPr>
          <w:i/>
          <w:sz w:val="19"/>
        </w:rPr>
        <w:t>Proceedings of the 9th Python in Science Conference</w:t>
      </w:r>
      <w:r>
        <w:rPr>
          <w:sz w:val="19"/>
        </w:rPr>
        <w:t>, 56-61. https://doi.org/10.25080/Majora-92bf1922-00a</w:t>
      </w:r>
    </w:p>
    <w:p>
      <w:pPr>
        <w:spacing w:after="30" w:line="240" w:lineRule="auto"/>
        <w:ind w:left="576" w:hanging="576"/>
        <w:jc w:val="left"/>
      </w:pPr>
      <w:r>
        <w:rPr>
          <w:sz w:val="19"/>
        </w:rPr>
        <w:t xml:space="preserve">Pedregosa, F., Varoquaux, G., Gramfort, A., Michel, V., Thirion, B., Grisel, O., Blondel, M., Prettenhofer, P., Weiss, R., Dubourg, V., Vanderplas, J., Passos, A., Cournapeau, D., Brucher, M., Perrot, M., &amp; Duchesnay, É. (2011). Scikit-learn: Machine learning in Python. </w:t>
      </w:r>
      <w:r>
        <w:rPr>
          <w:i/>
          <w:sz w:val="19"/>
        </w:rPr>
        <w:t>Journal of Machine Learning Research, 12</w:t>
      </w:r>
      <w:r>
        <w:rPr>
          <w:sz w:val="19"/>
        </w:rPr>
        <w:t>, 2825-2830.</w:t>
      </w:r>
    </w:p>
    <w:p>
      <w:pPr>
        <w:spacing w:after="30" w:line="240" w:lineRule="auto"/>
        <w:ind w:left="576" w:hanging="576"/>
        <w:jc w:val="left"/>
      </w:pPr>
      <w:r>
        <w:rPr>
          <w:sz w:val="19"/>
        </w:rPr>
        <w:t xml:space="preserve">Virtanen, P., Gommers, R., Oliphant, T. E., Haberland, M., Reddy, T., Cournapeau, D., Burovski, E., Peterson, P., Weckesser, W., Bright, J., van der Walt, S. J., Brett, M., Wilson, J., Millman, K. J., Mayorov, N., Nelson, A. R. J., Jones, E., Kern, R., Larson, E., … SciPy 1.0 Contributors. (2020). SciPy 1.0: Fundamental algorithms for scientific computing in Python. </w:t>
      </w:r>
      <w:r>
        <w:rPr>
          <w:i/>
          <w:sz w:val="19"/>
        </w:rPr>
        <w:t>Nature Methods, 17</w:t>
      </w:r>
      <w:r>
        <w:rPr>
          <w:sz w:val="19"/>
        </w:rPr>
        <w:t>, 261-272. https://doi.org/10.1038/s41592-019-0686-2</w:t>
      </w:r>
    </w:p>
    <w:p>
      <w:pPr>
        <w:spacing w:after="30" w:line="240" w:lineRule="auto"/>
        <w:ind w:left="576" w:hanging="576"/>
        <w:jc w:val="left"/>
      </w:pPr>
      <w:r>
        <w:rPr>
          <w:sz w:val="19"/>
        </w:rPr>
        <w:t xml:space="preserve">Waskom, M. L. (2021). seaborn: Statistical data visualization. </w:t>
      </w:r>
      <w:r>
        <w:rPr>
          <w:i/>
          <w:sz w:val="19"/>
        </w:rPr>
        <w:t>Journal of Open Source Software, 6</w:t>
      </w:r>
      <w:r>
        <w:rPr>
          <w:sz w:val="19"/>
        </w:rPr>
        <w:t>(60), Artículo 3021. https://doi.org/10.21105/joss.03021</w:t>
      </w:r>
    </w:p>
    <w:p>
      <w:pPr>
        <w:spacing w:after="30" w:line="240" w:lineRule="auto"/>
        <w:ind w:left="576" w:hanging="576"/>
        <w:jc w:val="left"/>
      </w:pPr>
      <w:r>
        <w:rPr>
          <w:sz w:val="19"/>
        </w:rPr>
        <w:t xml:space="preserve">Wilks, S. S. (1938). The large-sample distribution of the likelihood ratio for testing composite hypotheses. </w:t>
      </w:r>
      <w:r>
        <w:rPr>
          <w:i/>
          <w:sz w:val="19"/>
        </w:rPr>
        <w:t>The Annals of Mathematical Statistics, 9</w:t>
      </w:r>
      <w:r>
        <w:rPr>
          <w:sz w:val="19"/>
        </w:rPr>
        <w:t>(1), 60-62. https://doi.org/10.1214/aoms/1177732360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4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864"/>
      </w:pBdr>
      <w:spacing w:after="0" w:line="240" w:lineRule="auto"/>
      <w:jc w:val="center"/>
    </w:pPr>
    <w:r>
      <w:drawing>
        <wp:inline xmlns:a="http://schemas.openxmlformats.org/drawingml/2006/main" xmlns:pic="http://schemas.openxmlformats.org/drawingml/2006/picture">
          <wp:extent cx="1051560" cy="35202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51560" cy="352024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864"/>
      </w:pBdr>
      <w:spacing w:after="0"/>
      <w:jc w:val="right"/>
    </w:pP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 w:before="0"/>
    </w:pPr>
    <w:rPr>
      <w:rFonts w:ascii="Calibri" w:hAnsi="Calibri" w:cs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="Calibri" w:hAnsi="Calibri" w:cs="Calibri" w:eastAsia="Calibri"/>
      <w:b/>
      <w:bCs/>
      <w:color w:val="1F3864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 w:line="240" w:lineRule="auto"/>
      <w:outlineLvl w:val="1"/>
    </w:pPr>
    <w:rPr>
      <w:rFonts w:ascii="Calibri" w:hAnsi="Calibri" w:cs="Calibri" w:eastAsia="Calibri"/>
      <w:b/>
      <w:bCs/>
      <w:color w:val="1F3864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6" w:lineRule="auto"/>
      <w:contextualSpacing/>
    </w:pPr>
    <w:rPr>
      <w:rFonts w:ascii="Calibri" w:hAnsi="Calibri" w:cs="Calibri" w:eastAsia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Pipeline exploratorio reproducible — Titanic — MCDI503 Fase 4 (Grupo 5)</dc:title>
  <dc:subject/>
  <dc:creator>Grupo 5 — MCDI503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