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37360" cy="581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8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sz w:val="22"/>
        </w:rPr>
        <w:t>MCDI503</w:t>
      </w:r>
    </w:p>
    <w:p>
      <w:pPr>
        <w:spacing w:after="120"/>
        <w:jc w:val="center"/>
      </w:pPr>
      <w:r>
        <w:rPr>
          <w:sz w:val="21"/>
        </w:rPr>
        <w:t>EXPLORACIÓN INTELIGENTE PARA LA CIENCIA DE DATOS</w:t>
      </w:r>
    </w:p>
    <w:p>
      <w:pPr>
        <w:spacing w:after="120" w:line="252" w:lineRule="auto"/>
        <w:jc w:val="center"/>
      </w:pPr>
      <w:r>
        <w:rPr>
          <w:b/>
          <w:color w:val="1F3864"/>
          <w:sz w:val="30"/>
        </w:rPr>
        <w:t>Pipeline exploratorio reproducible de ingeniería de variables y selección preliminar de características del dataset Titanic — Cierre del proyecto, Fase 4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584"/>
        <w:gridCol w:w="7776"/>
      </w:tblGrid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Curso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sz w:val="19"/>
              </w:rPr>
              <w:t>MCDI503 — Exploración inteligente para la ciencia de datos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Integrantes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sz w:val="19"/>
              </w:rPr>
              <w:t>Arturo Knopke Vera, Nicolás Soletic Cobos, Sebastián Navarrete Soto, Roberto Moncada González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Docente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sz w:val="19"/>
              </w:rPr>
              <w:t>Sergio Paraíso Medina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6"/>
              </w:rPr>
              <w:t>titanic_prepared.csv</w:t>
            </w:r>
            <w:r>
              <w:rPr>
                <w:sz w:val="19"/>
              </w:rPr>
              <w:t xml:space="preserve"> (Fases 2-3): 891 pasajeros, 32 variables; fuente original Titanic-Dataset.csv (Kaggle) integrada con seaborn-data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Notebook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6"/>
              </w:rPr>
              <w:t>mcdi503_f4_sumativo_grupo5.ipynb</w:t>
            </w:r>
            <w:r>
              <w:rPr>
                <w:sz w:val="19"/>
              </w:rPr>
              <w:t xml:space="preserve"> (ejecutado de principio a fin); salida: </w:t>
            </w:r>
            <w:r>
              <w:rPr>
                <w:rFonts w:ascii="Consolas" w:hAnsi="Consolas" w:eastAsia="Consolas"/>
                <w:sz w:val="16"/>
              </w:rPr>
              <w:t>titanic_features.csv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AEFF7"/>
          </w:tcPr>
          <w:p>
            <w:pPr>
              <w:spacing w:line="240" w:lineRule="auto" w:after="0"/>
              <w:jc w:val="lef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7776"/>
          </w:tcPr>
          <w:p>
            <w:pPr>
              <w:spacing w:line="240" w:lineRule="auto" w:after="0"/>
              <w:jc w:val="left"/>
            </w:pPr>
            <w:r>
              <w:rPr>
                <w:sz w:val="19"/>
              </w:rPr>
              <w:t>20 de septiembre de 2026</w:t>
            </w:r>
          </w:p>
        </w:tc>
      </w:tr>
    </w:tbl>
    <w:p>
      <w:pPr>
        <w:pStyle w:val="Heading1"/>
      </w:pPr>
      <w:r>
        <w:t>I. Título del avance y foco del pipeline final</w:t>
      </w:r>
    </w:p>
    <w:p>
      <w:pPr>
        <w:jc w:val="both"/>
      </w:pPr>
      <w:r>
        <w:rPr>
          <w:b/>
        </w:rPr>
        <w:t xml:space="preserve">Foco:</w:t>
      </w:r>
      <w:r>
        <w:t xml:space="preserve"> este informe sintetiza el cierre técnico del proyecto, cuya evidencia principal es el notebook de la Fase 4 (referenciado como «NB §» seguido del número de sección). A partir del dataset ya depurado en las Fases 2-3, el pipeline entrega un conjunto de características codificado, escalado y justificado para predecir la supervivencia de los pasajeros del RMS Titanic (</w:t>
      </w:r>
      <w:r>
        <w:rPr>
          <w:rFonts w:ascii="Consolas" w:hAnsi="Consolas" w:eastAsia="Consolas"/>
          <w:sz w:val="19"/>
        </w:rPr>
        <w:t xml:space="preserve">Survived</w:t>
      </w:r>
      <w:r>
        <w:t xml:space="preserve">) en una etapa posterior de modelamiento.</w:t>
      </w:r>
    </w:p>
    <w:p>
      <w:pPr>
        <w:pStyle w:val="Heading1"/>
      </w:pPr>
      <w:r>
        <w:t>II. Contexto del proyecto y objetivo del cierre</w:t>
      </w:r>
    </w:p>
    <w:p>
      <w:pPr>
        <w:jc w:val="both"/>
      </w:pPr>
      <w:r>
        <w:rPr>
          <w:b/>
        </w:rPr>
        <w:t>Contexto.</w:t>
      </w:r>
      <w:r>
        <w:t xml:space="preserve"> El hundimiento del RMS Titanic (1912) es un caso clásico de clasificación binaria: la supervivencia se asocia a atributos del pasajero como sexo, clase, edad y tamaño del grupo de viaje. Se mantuvo el dataset de las fases anteriores por ser la opción más completa para evidenciar transformaciones, variables derivadas, codificación de categóricas y selección de características (Kaggle, s. f.).</w:t>
      </w:r>
    </w:p>
    <w:p>
      <w:pPr>
        <w:jc w:val="both"/>
      </w:pPr>
      <w:r>
        <w:rPr>
          <w:b/>
        </w:rPr>
        <w:t>Objetivo del cierre.</w:t>
      </w:r>
      <w:r>
        <w:t xml:space="preserve"> Construir un pipeline reproducible que aplique transformaciones justificadas, derive un número acotado de variables con valor analítico explícito y seleccione características con criterios declarados, dejando el dataset listo para modelar sin entrenar ningún modelo en esta fase (RA4).</w:t>
      </w:r>
    </w:p>
    <w:p>
      <w:pPr>
        <w:jc w:val="both"/>
      </w:pPr>
      <w:r>
        <w:rPr>
          <w:b/>
        </w:rPr>
        <w:t>Relación con el análisis previo.</w:t>
      </w:r>
      <w:r>
        <w:t xml:space="preserve"> Las Fases 2-3 dejaron imputados </w:t>
      </w:r>
      <w:r>
        <w:rPr>
          <w:rFonts w:ascii="Consolas" w:hAnsi="Consolas" w:eastAsia="Consolas"/>
          <w:sz w:val="19"/>
        </w:rPr>
        <w:t>Age</w:t>
      </w:r>
      <w:r>
        <w:t xml:space="preserve"> y </w:t>
      </w:r>
      <w:r>
        <w:rPr>
          <w:rFonts w:ascii="Consolas" w:hAnsi="Consolas" w:eastAsia="Consolas"/>
          <w:sz w:val="19"/>
        </w:rPr>
        <w:t>Embarked</w:t>
      </w:r>
      <w:r>
        <w:t xml:space="preserve">, integrada la fuente seaborn-data y creadas </w:t>
      </w:r>
      <w:r>
        <w:rPr>
          <w:rFonts w:ascii="Consolas" w:hAnsi="Consolas" w:eastAsia="Consolas"/>
          <w:sz w:val="19"/>
        </w:rPr>
        <w:t>Title_agrupado</w:t>
      </w:r>
      <w:r>
        <w:t xml:space="preserve">, </w:t>
      </w:r>
      <w:r>
        <w:rPr>
          <w:rFonts w:ascii="Consolas" w:hAnsi="Consolas" w:eastAsia="Consolas"/>
          <w:sz w:val="19"/>
        </w:rPr>
        <w:t>FamilySize</w:t>
      </w:r>
      <w:r>
        <w:t xml:space="preserve">, </w:t>
      </w:r>
      <w:r>
        <w:rPr>
          <w:rFonts w:ascii="Consolas" w:hAnsi="Consolas" w:eastAsia="Consolas"/>
          <w:sz w:val="19"/>
        </w:rPr>
        <w:t>AgeGroup</w:t>
      </w:r>
      <w:r>
        <w:t xml:space="preserve">, </w:t>
      </w:r>
      <w:r>
        <w:rPr>
          <w:rFonts w:ascii="Consolas" w:hAnsi="Consolas" w:eastAsia="Consolas"/>
          <w:sz w:val="19"/>
        </w:rPr>
        <w:t>Fare_log</w:t>
      </w:r>
      <w:r>
        <w:t xml:space="preserve"> y </w:t>
      </w:r>
      <w:r>
        <w:rPr>
          <w:rFonts w:ascii="Consolas" w:hAnsi="Consolas" w:eastAsia="Consolas"/>
          <w:sz w:val="19"/>
        </w:rPr>
        <w:t>Deck_combinado</w:t>
      </w:r>
      <w:r>
        <w:t xml:space="preserve">. Dos hallazgos de ese EDA motivan la Fase 4: (i) el 13.02 % de </w:t>
      </w:r>
      <w:r>
        <w:rPr>
          <w:rFonts w:ascii="Consolas" w:hAnsi="Consolas" w:eastAsia="Consolas"/>
          <w:sz w:val="19"/>
        </w:rPr>
        <w:t>Fare</w:t>
      </w:r>
      <w:r>
        <w:t xml:space="preserve"> son atípicos por IQR y el 92.2 % de ellos comparte </w:t>
      </w:r>
      <w:r>
        <w:rPr>
          <w:rFonts w:ascii="Consolas" w:hAnsi="Consolas" w:eastAsia="Consolas"/>
          <w:sz w:val="19"/>
        </w:rPr>
        <w:t>Ticket</w:t>
      </w:r>
      <w:r>
        <w:t xml:space="preserve">; (ii) el efecto de </w:t>
      </w:r>
      <w:r>
        <w:rPr>
          <w:rFonts w:ascii="Consolas" w:hAnsi="Consolas" w:eastAsia="Consolas"/>
          <w:sz w:val="19"/>
        </w:rPr>
        <w:t>Pclass</w:t>
      </w:r>
      <w:r>
        <w:t xml:space="preserve"> sobre la supervivencia difiere por sexo. Este pipeline parte de ese dataset (NB §III), sin volver al crudo.</w:t>
      </w:r>
    </w:p>
    <w:p>
      <w:pPr>
        <w:pStyle w:val="Heading1"/>
      </w:pPr>
      <w:r>
        <w:t>III. Transformaciones y normalizaciones aplicadas</w:t>
      </w:r>
    </w:p>
    <w:p>
      <w:pPr>
        <w:pStyle w:val="Heading2"/>
      </w:pPr>
      <w:r>
        <w:t>III.1 Diagnóstico de escala y asimetría (NB §IV.1)</w:t>
      </w:r>
    </w:p>
    <w:p>
      <w:pPr>
        <w:jc w:val="both"/>
      </w:pPr>
      <w:r>
        <w:t xml:space="preserve">Las Fases 2-3 ya corrigieron la asimetría de </w:t>
      </w:r>
      <w:r>
        <w:rPr>
          <w:rFonts w:ascii="Consolas" w:hAnsi="Consolas" w:eastAsia="Consolas"/>
          <w:sz w:val="19"/>
        </w:rPr>
        <w:t xml:space="preserve">Fare</w:t>
      </w:r>
      <w:r>
        <w:t xml:space="preserve"> (4.78 → 0.39 con </w:t>
      </w:r>
      <w:r>
        <w:rPr>
          <w:rFonts w:ascii="Consolas" w:hAnsi="Consolas" w:eastAsia="Consolas"/>
          <w:sz w:val="19"/>
        </w:rPr>
        <w:t xml:space="preserve">log1p</w:t>
      </w:r>
      <w:r>
        <w:t xml:space="preserve">). Faltaba dejar las variables numéricas en una escala comparable para modelos sensibles a ella (regresión regularizada, KNN, SVM). La asimetría residual es alta en </w:t>
      </w:r>
      <w:r>
        <w:rPr>
          <w:rFonts w:ascii="Consolas" w:hAnsi="Consolas" w:eastAsia="Consolas"/>
          <w:sz w:val="19"/>
        </w:rPr>
        <w:t xml:space="preserve">SibSp</w:t>
      </w:r>
      <w:r>
        <w:t xml:space="preserve"> (3.69), </w:t>
      </w:r>
      <w:r>
        <w:rPr>
          <w:rFonts w:ascii="Consolas" w:hAnsi="Consolas" w:eastAsia="Consolas"/>
          <w:sz w:val="19"/>
        </w:rPr>
        <w:t xml:space="preserve">Parch</w:t>
      </w:r>
      <w:r>
        <w:t xml:space="preserve"> (2.74), </w:t>
      </w:r>
      <w:r>
        <w:rPr>
          <w:rFonts w:ascii="Consolas" w:hAnsi="Consolas" w:eastAsia="Consolas"/>
          <w:sz w:val="19"/>
        </w:rPr>
        <w:t xml:space="preserve">FamilySize</w:t>
      </w:r>
      <w:r>
        <w:t xml:space="preserve"> (2.72) y </w:t>
      </w:r>
      <w:r>
        <w:rPr>
          <w:rFonts w:ascii="Consolas" w:hAnsi="Consolas" w:eastAsia="Consolas"/>
          <w:sz w:val="19"/>
        </w:rPr>
        <w:t xml:space="preserve">TicketGroupSize</w:t>
      </w:r>
      <w:r>
        <w:t xml:space="preserve"> (2.22; NB §V.1), y moderada en </w:t>
      </w:r>
      <w:r>
        <w:rPr>
          <w:rFonts w:ascii="Consolas" w:hAnsi="Consolas" w:eastAsia="Consolas"/>
          <w:sz w:val="19"/>
        </w:rPr>
        <w:t xml:space="preserve">Age_clean</w:t>
      </w:r>
      <w:r>
        <w:t xml:space="preserve"> (0.53).</w:t>
      </w:r>
    </w:p>
    <w:p>
      <w:pPr>
        <w:pStyle w:val="Heading2"/>
      </w:pPr>
      <w:r>
        <w:t>III.2 Transformaciones aplicadas (NB §IV.2 y §VIII)</w:t>
      </w:r>
    </w:p>
    <w:p>
      <w:pPr>
        <w:keepNext/>
        <w:spacing w:before="80" w:after="40" w:line="240" w:lineRule="auto"/>
      </w:pPr>
      <w:r>
        <w:rPr>
          <w:b/>
          <w:sz w:val="19"/>
        </w:rPr>
        <w:t xml:space="preserve">Tabla 1. </w:t>
      </w:r>
      <w:r>
        <w:rPr>
          <w:i/>
          <w:sz w:val="19"/>
        </w:rPr>
        <w:t>Transformaciones y normalizaciones aplicadas en la Fase 4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232"/>
        <w:gridCol w:w="1512"/>
        <w:gridCol w:w="3671"/>
        <w:gridCol w:w="1944"/>
      </w:tblGrid>
      <w:tr>
        <w:trPr>
          <w:cantSplit/>
          <w:tblHeader/>
        </w:trPr>
        <w:tc>
          <w:tcPr>
            <w:tcW w:type="dxa" w:w="2232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1512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3672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Propósito y coherencia con el EDA</w:t>
            </w:r>
          </w:p>
        </w:tc>
        <w:tc>
          <w:tcPr>
            <w:tcW w:type="dxa" w:w="1944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Efecto en los datos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Fare_per_person_log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FamilySize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TicketGroupSize</w:t>
            </w:r>
          </w:p>
        </w:tc>
        <w:tc>
          <w:tcPr>
            <w:tcW w:type="dxa" w:w="1512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RobustScaler</w:t>
            </w:r>
            <w:r>
              <w:rPr>
                <w:sz w:val="18"/>
              </w:rPr>
              <w:t xml:space="preserve"> (mediana e IQR; sufijo </w:t>
            </w:r>
            <w:r>
              <w:rPr>
                <w:rFonts w:ascii="Consolas" w:hAnsi="Consolas" w:eastAsia="Consolas"/>
                <w:sz w:val="15"/>
              </w:rPr>
              <w:t xml:space="preserve">_rs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3672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Colas de valores legítimos (grupos y familias numerosas). Mediana e IQR no se desplazan con la cola (</w:t>
            </w:r>
            <w:r>
              <w:rPr>
                <w:rFonts w:ascii="Consolas" w:hAnsi="Consolas" w:eastAsia="Consolas"/>
                <w:sz w:val="15"/>
              </w:rPr>
              <w:t xml:space="preserve">FamilySize</w:t>
            </w:r>
            <w:r>
              <w:rPr>
                <w:sz w:val="18"/>
              </w:rPr>
              <w:t xml:space="preserve">: media 1.90, mediana 1). </w:t>
            </w:r>
            <w:r>
              <w:rPr>
                <w:rFonts w:ascii="Consolas" w:hAnsi="Consolas" w:eastAsia="Consolas"/>
                <w:sz w:val="15"/>
              </w:rPr>
              <w:t xml:space="preserve">Fare_per_person_log</w:t>
            </w:r>
            <w:r>
              <w:rPr>
                <w:sz w:val="18"/>
              </w:rPr>
              <w:t xml:space="preserve"> conserva 24 atípicos (2.7 %) vs. 116 de </w:t>
            </w:r>
            <w:r>
              <w:rPr>
                <w:rFonts w:ascii="Consolas" w:hAnsi="Consolas" w:eastAsia="Consolas"/>
                <w:sz w:val="15"/>
              </w:rPr>
              <w:t xml:space="preserve">Fare</w:t>
            </w:r>
            <w:r>
              <w:rPr>
                <w:sz w:val="18"/>
              </w:rPr>
              <w:t xml:space="preserve"> (NB §IV.2, §VIII).</w:t>
            </w:r>
          </w:p>
        </w:tc>
        <w:tc>
          <w:tcPr>
            <w:tcW w:type="dxa" w:w="194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Mediana = 0 e IQR = 1; extremos conservados (</w:t>
            </w:r>
            <w:r>
              <w:rPr>
                <w:rFonts w:ascii="Consolas" w:hAnsi="Consolas" w:eastAsia="Consolas"/>
                <w:sz w:val="15"/>
              </w:rPr>
              <w:t xml:space="preserve">FamilySize_rs</w:t>
            </w:r>
            <w:r>
              <w:rPr>
                <w:sz w:val="18"/>
              </w:rPr>
              <w:t xml:space="preserve"> máx. = 10.0).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Fare_per_person</w:t>
            </w:r>
          </w:p>
        </w:tc>
        <w:tc>
          <w:tcPr>
            <w:tcW w:type="dxa" w:w="1512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log1p</w:t>
            </w:r>
          </w:p>
        </w:tc>
        <w:tc>
          <w:tcPr>
            <w:tcW w:type="dxa" w:w="3672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Corrige la cola derecha de la tarifa por persona.</w:t>
            </w:r>
          </w:p>
        </w:tc>
        <w:tc>
          <w:tcPr>
            <w:tcW w:type="dxa" w:w="194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Asimetría 4.37 → 0.33.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Title_agrupado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Sex_Pclass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AgeGroup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Embarked_clean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Deck_combinado</w:t>
            </w:r>
          </w:p>
        </w:tc>
        <w:tc>
          <w:tcPr>
            <w:tcW w:type="dxa" w:w="1512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Codificación </w:t>
            </w:r>
            <w:r>
              <w:rPr>
                <w:i/>
                <w:sz w:val="18"/>
              </w:rPr>
              <w:t xml:space="preserve">one-hot</w:t>
            </w:r>
            <w:r>
              <w:rPr>
                <w:sz w:val="18"/>
              </w:rPr>
              <w:t xml:space="preserve"> con categoría de referencia (la más frecuente)</w:t>
            </w:r>
          </w:p>
        </w:tc>
        <w:tc>
          <w:tcPr>
            <w:tcW w:type="dxa" w:w="3672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Los modelos requieren entradas numéricas; la categoría de referencia evita la colinealidad perfecta y hace interpretable cada coeficiente.</w:t>
            </w:r>
          </w:p>
        </w:tc>
        <w:tc>
          <w:tcPr>
            <w:tcW w:type="dxa" w:w="194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24 columnas indicadoras.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Pclass</w:t>
            </w:r>
          </w:p>
        </w:tc>
        <w:tc>
          <w:tcPr>
            <w:tcW w:type="dxa" w:w="1512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Se retira del set final</w:t>
            </w:r>
          </w:p>
        </w:tc>
        <w:tc>
          <w:tcPr>
            <w:tcW w:type="dxa" w:w="3672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Combinación lineal exacta de las dummies de </w:t>
            </w:r>
            <w:r>
              <w:rPr>
                <w:rFonts w:ascii="Consolas" w:hAnsi="Consolas" w:eastAsia="Consolas"/>
                <w:sz w:val="15"/>
              </w:rPr>
              <w:t xml:space="preserve">Sex_Pclass</w:t>
            </w:r>
            <w:r>
              <w:rPr>
                <w:sz w:val="18"/>
              </w:rPr>
              <w:t xml:space="preserve"> (NB §VI.2).</w:t>
            </w:r>
          </w:p>
        </w:tc>
        <w:tc>
          <w:tcPr>
            <w:tcW w:type="dxa" w:w="194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Matriz de rango completo (28 de 28 columnas).</w:t>
            </w:r>
          </w:p>
        </w:tc>
      </w:tr>
    </w:tbl>
    <w:p>
      <w:pPr>
        <w:keepNext/>
        <w:spacing w:before="80" w:after="40" w:line="240" w:lineRule="auto"/>
      </w:pPr>
      <w:r>
        <w:rPr>
          <w:b/>
          <w:sz w:val="19"/>
        </w:rPr>
        <w:t xml:space="preserve">Figura 1. </w:t>
      </w:r>
      <w:r>
        <w:rPr>
          <w:i/>
          <w:sz w:val="19"/>
        </w:rPr>
        <w:t xml:space="preserve">Variables numéricas antes y después de </w:t>
      </w:r>
      <w:r>
        <w:rPr>
          <w:rFonts w:ascii="Consolas" w:hAnsi="Consolas" w:eastAsia="Consolas"/>
          <w:i/>
          <w:sz w:val="16"/>
        </w:rPr>
        <w:t>RobustScaler</w:t>
      </w:r>
    </w:p>
    <w:p>
      <w:pPr>
        <w:keepNext w:val="0"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1920" cy="1586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titanic_escalado_robu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58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IV. Variables derivadas o creadas</w:t>
      </w:r>
    </w:p>
    <w:p>
      <w:pPr>
        <w:spacing w:after="40"/>
        <w:jc w:val="both"/>
      </w:pPr>
      <w:r>
        <w:t xml:space="preserve">Se crearon dos variables conceptuales, motivadas por hallazgos del EDA, que suman cuatro columnas nuevas (</w:t>
      </w:r>
      <w:r>
        <w:rPr>
          <w:rFonts w:ascii="Consolas" w:hAnsi="Consolas" w:eastAsia="Consolas"/>
          <w:sz w:val="19"/>
        </w:rPr>
        <w:t xml:space="preserve">TicketGroupSize</w:t>
      </w:r>
      <w:r>
        <w:t xml:space="preserve">, </w:t>
      </w:r>
      <w:r>
        <w:rPr>
          <w:rFonts w:ascii="Consolas" w:hAnsi="Consolas" w:eastAsia="Consolas"/>
          <w:sz w:val="19"/>
        </w:rPr>
        <w:t xml:space="preserve">Fare_per_person</w:t>
      </w:r>
      <w:r>
        <w:t xml:space="preserve">, </w:t>
      </w:r>
      <w:r>
        <w:rPr>
          <w:rFonts w:ascii="Consolas" w:hAnsi="Consolas" w:eastAsia="Consolas"/>
          <w:sz w:val="19"/>
        </w:rPr>
        <w:t xml:space="preserve">Fare_per_person_log</w:t>
      </w:r>
      <w:r>
        <w:t xml:space="preserve">, </w:t>
      </w:r>
      <w:r>
        <w:rPr>
          <w:rFonts w:ascii="Consolas" w:hAnsi="Consolas" w:eastAsia="Consolas"/>
          <w:sz w:val="19"/>
        </w:rPr>
        <w:t xml:space="preserve">Sex_Pclass</w:t>
      </w:r>
      <w:r>
        <w:t xml:space="preserve">), tres en el set final. Ninguna usa </w:t>
      </w:r>
      <w:r>
        <w:rPr>
          <w:rFonts w:ascii="Consolas" w:hAnsi="Consolas" w:eastAsia="Consolas"/>
          <w:sz w:val="19"/>
        </w:rPr>
        <w:t xml:space="preserve">Survived</w:t>
      </w:r>
      <w:r>
        <w:t xml:space="preserve"> ni variables posteriores al hundimiento (</w:t>
      </w:r>
      <w:r>
        <w:rPr>
          <w:rFonts w:ascii="Consolas" w:hAnsi="Consolas" w:eastAsia="Consolas"/>
          <w:sz w:val="19"/>
        </w:rPr>
        <w:t xml:space="preserve">alive</w:t>
      </w:r>
      <w:r>
        <w:t xml:space="preserve"> se excluye): sin fuga de información (NB §V.3).</w:t>
      </w:r>
    </w:p>
    <w:p>
      <w:pPr>
        <w:keepNext/>
        <w:spacing w:before="80" w:after="40" w:line="240" w:lineRule="auto"/>
      </w:pPr>
      <w:r>
        <w:rPr>
          <w:b/>
          <w:sz w:val="19"/>
        </w:rPr>
        <w:t xml:space="preserve">Tabla 2. </w:t>
      </w:r>
      <w:r>
        <w:rPr>
          <w:i/>
          <w:sz w:val="19"/>
        </w:rPr>
        <w:t>Variables derivadas, lógica de construcción y valor analítico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800"/>
        <w:gridCol w:w="3024"/>
        <w:gridCol w:w="4536"/>
      </w:tblGrid>
      <w:tr>
        <w:trPr>
          <w:cantSplit/>
          <w:tblHeader/>
        </w:trPr>
        <w:tc>
          <w:tcPr>
            <w:tcW w:type="dxa" w:w="1800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24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Origen y regla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Hallazgo que la motiva y valor analítico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Fare_per_person_log</w:t>
            </w:r>
            <w:r>
              <w:rPr>
                <w:sz w:val="18"/>
              </w:rPr>
              <w:br/>
              <w:t xml:space="preserve">(con </w:t>
            </w:r>
            <w:r>
              <w:rPr>
                <w:rFonts w:ascii="Consolas" w:hAnsi="Consolas" w:eastAsia="Consolas"/>
                <w:sz w:val="15"/>
              </w:rPr>
              <w:t>TicketGroupSize</w:t>
            </w:r>
            <w:r>
              <w:rPr>
                <w:sz w:val="18"/>
              </w:rPr>
              <w:t>)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Ticket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Fare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 w:eastAsia="Consolas"/>
                <w:sz w:val="15"/>
              </w:rPr>
              <w:t>TicketGroupSize</w:t>
            </w:r>
            <w:r>
              <w:rPr>
                <w:sz w:val="18"/>
              </w:rPr>
              <w:t xml:space="preserve"> = pasajeros con el mismo </w:t>
            </w:r>
            <w:r>
              <w:rPr>
                <w:rFonts w:ascii="Consolas" w:hAnsi="Consolas" w:eastAsia="Consolas"/>
                <w:sz w:val="15"/>
              </w:rPr>
              <w:t>Ticket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eastAsia="Consolas"/>
                <w:sz w:val="15"/>
              </w:rPr>
              <w:t>Fare_per_person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 w:eastAsia="Consolas"/>
                <w:sz w:val="15"/>
              </w:rPr>
              <w:t>Fare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5"/>
              </w:rPr>
              <w:t>TicketGroupSize</w:t>
            </w:r>
            <w:r>
              <w:rPr>
                <w:sz w:val="18"/>
              </w:rPr>
              <w:t xml:space="preserve">; luego </w:t>
            </w:r>
            <w:r>
              <w:rPr>
                <w:rFonts w:ascii="Consolas" w:hAnsi="Consolas" w:eastAsia="Consolas"/>
                <w:sz w:val="15"/>
              </w:rPr>
              <w:t>log1p</w:t>
            </w:r>
            <w:r>
              <w:rPr>
                <w:sz w:val="18"/>
              </w:rPr>
              <w:t xml:space="preserve"> (NB §V.1).</w:t>
            </w:r>
          </w:p>
        </w:tc>
        <w:tc>
          <w:tcPr>
            <w:tcW w:type="dxa" w:w="453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134 tickets repetidos agrupan 344 pasajeros: </w:t>
            </w:r>
            <w:r>
              <w:rPr>
                <w:rFonts w:ascii="Consolas" w:hAnsi="Consolas" w:eastAsia="Consolas"/>
                <w:sz w:val="15"/>
              </w:rPr>
              <w:t xml:space="preserve">Fare</w:t>
            </w:r>
            <w:r>
              <w:rPr>
                <w:sz w:val="18"/>
              </w:rPr>
              <w:t xml:space="preserve"> suele ser tarifa de grupo (separa «pagó más» de «viajó en grupo»). </w:t>
            </w:r>
            <w:r>
              <w:rPr>
                <w:rFonts w:ascii="Consolas" w:hAnsi="Consolas" w:eastAsia="Consolas"/>
                <w:sz w:val="15"/>
              </w:rPr>
              <w:t xml:space="preserve">TicketGroupSize</w:t>
            </w:r>
            <w:r>
              <w:rPr>
                <w:sz w:val="18"/>
              </w:rPr>
              <w:t xml:space="preserve"> difiere de </w:t>
            </w:r>
            <w:r>
              <w:rPr>
                <w:rFonts w:ascii="Consolas" w:hAnsi="Consolas" w:eastAsia="Consolas"/>
                <w:sz w:val="15"/>
              </w:rPr>
              <w:t xml:space="preserve">FamilySize</w:t>
            </w:r>
            <w:r>
              <w:rPr>
                <w:sz w:val="18"/>
              </w:rPr>
              <w:t xml:space="preserve"> en 32.3 %. Con </w:t>
            </w:r>
            <w:r>
              <w:rPr>
                <w:rFonts w:ascii="Consolas" w:hAnsi="Consolas" w:eastAsia="Consolas"/>
                <w:sz w:val="15"/>
              </w:rPr>
              <w:t xml:space="preserve">Survived</w:t>
            </w:r>
            <w:r>
              <w:rPr>
                <w:sz w:val="18"/>
              </w:rPr>
              <w:t xml:space="preserve">: Mann-Whitney U = 58 829.5 (Mann &amp; Whitney, 1947), p = 6.3×10⁻²¹, r rango-biserial = 0.373 (medianas 8.05 vs. 13.00).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Sex_Pclass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Concatenación de </w:t>
            </w:r>
            <w:r>
              <w:rPr>
                <w:rFonts w:ascii="Consolas" w:hAnsi="Consolas" w:eastAsia="Consolas"/>
                <w:sz w:val="15"/>
              </w:rPr>
              <w:t>Sex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>Pclass</w:t>
            </w:r>
            <w:r>
              <w:rPr>
                <w:sz w:val="18"/>
              </w:rPr>
              <w:t xml:space="preserve"> en una categórica de 6 niveles (NB §V.2).</w:t>
            </w:r>
          </w:p>
        </w:tc>
        <w:tc>
          <w:tcPr>
            <w:tcW w:type="dxa" w:w="453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Supervivencia femenina 96.8 % / 92.1 % / 50.0 % (1.ª/2.ª/3.ª clase) vs. masculina 36.9 % / 15.7 % / 13.5 %. V de Cramér (Cramér, 1946) = 0.627 (</w:t>
            </w:r>
            <w:r>
              <w:rPr>
                <w:rFonts w:ascii="Consolas" w:hAnsi="Consolas" w:eastAsia="Consolas"/>
                <w:sz w:val="15"/>
              </w:rPr>
              <w:t xml:space="preserve">Sex</w:t>
            </w:r>
            <w:r>
              <w:rPr>
                <w:sz w:val="18"/>
              </w:rPr>
              <w:t xml:space="preserve"> 0.541; </w:t>
            </w:r>
            <w:r>
              <w:rPr>
                <w:rFonts w:ascii="Consolas" w:hAnsi="Consolas" w:eastAsia="Consolas"/>
                <w:sz w:val="15"/>
              </w:rPr>
              <w:t xml:space="preserve">Pclass</w:t>
            </w:r>
            <w:r>
              <w:rPr>
                <w:sz w:val="18"/>
              </w:rPr>
              <w:t xml:space="preserve"> 0.340). Como cruzar variables siempre suma información, se probó la interacción con un test de razón de verosimilitudes contra el modelo aditivo (Wilks, 1938): LR = 28.79, gl = 2, p = 5.6×10⁻⁷.</w:t>
            </w:r>
          </w:p>
        </w:tc>
      </w:tr>
    </w:tbl>
    <w:p>
      <w:pPr>
        <w:spacing w:before="80"/>
        <w:jc w:val="both"/>
      </w:pPr>
      <w:r>
        <w:rPr>
          <w:b/>
        </w:rPr>
        <w:t xml:space="preserve">Matiz:</w:t>
      </w:r>
      <w:r>
        <w:t xml:space="preserve"> el Spearman parcial de </w:t>
      </w:r>
      <w:r>
        <w:rPr>
          <w:rFonts w:ascii="Consolas" w:hAnsi="Consolas" w:eastAsia="Consolas"/>
          <w:sz w:val="19"/>
        </w:rPr>
        <w:t xml:space="preserve">Fare_log</w:t>
      </w:r>
      <w:r>
        <w:t xml:space="preserve"> con </w:t>
      </w:r>
      <w:r>
        <w:rPr>
          <w:rFonts w:ascii="Consolas" w:hAnsi="Consolas" w:eastAsia="Consolas"/>
          <w:sz w:val="19"/>
        </w:rPr>
        <w:t xml:space="preserve">Survived</w:t>
      </w:r>
      <w:r>
        <w:t xml:space="preserve">, controlando por el tamaño del grupo, cae 17.3 % (0.324 → 0.268), y el de </w:t>
      </w:r>
      <w:r>
        <w:rPr>
          <w:rFonts w:ascii="Consolas" w:hAnsi="Consolas" w:eastAsia="Consolas"/>
          <w:sz w:val="19"/>
        </w:rPr>
        <w:t xml:space="preserve">Fare_per_person_log</w:t>
      </w:r>
      <w:r>
        <w:t xml:space="preserve"> solo 2.3 % (0.315 → 0.307); con residuos lineales ambas caen ≈ 11 %. Su asociación marginal no supera a la de </w:t>
      </w:r>
      <w:r>
        <w:rPr>
          <w:rFonts w:ascii="Consolas" w:hAnsi="Consolas" w:eastAsia="Consolas"/>
          <w:sz w:val="19"/>
        </w:rPr>
        <w:t xml:space="preserve">Fare_log</w:t>
      </w:r>
      <w:r>
        <w:t xml:space="preserve"> (rango-biserial 0.373 frente a 0.384), así que se prefiere por interpretabilidad y menor confusión con el grupo, no por mayor relevancia (NB §VI.2).</w:t>
      </w:r>
    </w:p>
    <w:p>
      <w:pPr>
        <w:pStyle w:val="Heading1"/>
      </w:pPr>
      <w:r>
        <w:t>V. Selección preliminar de características</w:t>
      </w:r>
    </w:p>
    <w:p>
      <w:pPr>
        <w:pStyle w:val="Heading2"/>
      </w:pPr>
      <w:r>
        <w:t>V.1 Criterios de selección (NB §VI)</w:t>
      </w:r>
    </w:p>
    <w:p>
      <w:pPr>
        <w:spacing w:after="40"/>
        <w:jc w:val="both"/>
      </w:pPr>
      <w:r>
        <w:t xml:space="preserve">(1) Relevancia frente a </w:t>
      </w:r>
      <w:r>
        <w:rPr>
          <w:rFonts w:ascii="Consolas" w:hAnsi="Consolas" w:eastAsia="Consolas"/>
          <w:sz w:val="19"/>
        </w:rPr>
        <w:t xml:space="preserve">Survived</w:t>
      </w:r>
      <w:r>
        <w:t xml:space="preserve"> (V de Cramér, rango-biserial e información mutua, </w:t>
      </w:r>
      <w:r>
        <w:rPr>
          <w:i/>
        </w:rPr>
        <w:t xml:space="preserve">MI</w:t>
      </w:r>
      <w:r>
        <w:t xml:space="preserve">, en nats; Kraskov et al., 2004), con V leída según Cohen (1988): 0.10 débil, 0.30 moderada, 0.50 fuerte; (2) redundancia, exacta (se elimina) o parcial (se conserva y documenta); (3) interpretabilidad; (4) consistencia: estabilidad del ranking de </w:t>
      </w:r>
      <w:r>
        <w:rPr>
          <w:i/>
        </w:rPr>
        <w:t xml:space="preserve">MI</w:t>
      </w:r>
      <w:r>
        <w:t xml:space="preserve"> en 21 semillas (criterios según Kuhn &amp; Johnson, 2019).</w:t>
      </w:r>
    </w:p>
    <w:p>
      <w:pPr>
        <w:pStyle w:val="Heading2"/>
      </w:pPr>
      <w:r>
        <w:t>V.2 Decisiones y evidencia de relevancia</w:t>
      </w:r>
    </w:p>
    <w:p>
      <w:pPr>
        <w:keepNext/>
        <w:spacing w:before="80" w:after="40" w:line="240" w:lineRule="auto"/>
      </w:pPr>
      <w:r>
        <w:rPr>
          <w:b/>
          <w:sz w:val="19"/>
        </w:rPr>
        <w:t xml:space="preserve">Tabla 3. </w:t>
      </w:r>
      <w:r>
        <w:rPr>
          <w:i/>
          <w:sz w:val="19"/>
        </w:rPr>
        <w:t>Decisiones de selección preliminar y justificación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152"/>
        <w:gridCol w:w="2664"/>
        <w:gridCol w:w="5544"/>
      </w:tblGrid>
      <w:tr>
        <w:trPr>
          <w:cantSplit/>
          <w:tblHeader/>
        </w:trPr>
        <w:tc>
          <w:tcPr>
            <w:tcW w:type="dxa" w:w="1152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664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5544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40" w:lineRule="auto" w:after="0"/>
              <w:jc w:val="left"/>
            </w:pPr>
            <w:r>
              <w:rPr>
                <w:b/>
                <w:sz w:val="18"/>
              </w:rPr>
              <w:t>Priorizar</w:t>
            </w:r>
          </w:p>
        </w:tc>
        <w:tc>
          <w:tcPr>
            <w:tcW w:type="dxa" w:w="266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>Sex_Pclass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Title_agrupado</w:t>
            </w:r>
          </w:p>
        </w:tc>
        <w:tc>
          <w:tcPr>
            <w:tcW w:type="dxa" w:w="554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Mayor relevancia (V = 0.627 y 0.570, fuertes; </w:t>
            </w:r>
            <w:r>
              <w:rPr>
                <w:i/>
                <w:sz w:val="18"/>
              </w:rPr>
              <w:t xml:space="preserve">MI</w:t>
            </w:r>
            <w:r>
              <w:rPr>
                <w:sz w:val="18"/>
              </w:rPr>
              <w:t xml:space="preserve"> 0.218 y 0.169). </w:t>
            </w:r>
            <w:r>
              <w:rPr>
                <w:rFonts w:ascii="Consolas" w:hAnsi="Consolas" w:eastAsia="Consolas"/>
                <w:sz w:val="15"/>
              </w:rPr>
              <w:t xml:space="preserve">Title_agrupado</w:t>
            </w:r>
            <w:r>
              <w:rPr>
                <w:sz w:val="18"/>
              </w:rPr>
              <w:t xml:space="preserve"> distingue a los niños (</w:t>
            </w:r>
            <w:r>
              <w:rPr>
                <w:rFonts w:ascii="Consolas" w:hAnsi="Consolas" w:eastAsia="Consolas"/>
                <w:sz w:val="15"/>
              </w:rPr>
              <w:t xml:space="preserve">Master</w:t>
            </w:r>
            <w:r>
              <w:rPr>
                <w:sz w:val="18"/>
              </w:rPr>
              <w:t xml:space="preserve">); su redundancia con </w:t>
            </w:r>
            <w:r>
              <w:rPr>
                <w:rFonts w:ascii="Consolas" w:hAnsi="Consolas" w:eastAsia="Consolas"/>
                <w:sz w:val="15"/>
              </w:rPr>
              <w:t xml:space="preserve">Sex_Pclass</w:t>
            </w:r>
            <w:r>
              <w:rPr>
                <w:sz w:val="18"/>
              </w:rPr>
              <w:t xml:space="preserve"> es solo parcial (R² = 0.989).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40" w:lineRule="auto" w:after="0"/>
              <w:jc w:val="left"/>
            </w:pPr>
            <w:r>
              <w:rPr>
                <w:b/>
                <w:sz w:val="18"/>
              </w:rPr>
              <w:t>Conservar</w:t>
            </w:r>
          </w:p>
        </w:tc>
        <w:tc>
          <w:tcPr>
            <w:tcW w:type="dxa" w:w="266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Fare_per_person_log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FamilySize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TicketGroupSize</w:t>
            </w:r>
          </w:p>
        </w:tc>
        <w:tc>
          <w:tcPr>
            <w:tcW w:type="dxa" w:w="554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Fare_per_person_log</w:t>
            </w:r>
            <w:r>
              <w:rPr>
                <w:sz w:val="18"/>
              </w:rPr>
              <w:t xml:space="preserve">: asociación moderada (0.373), menos dependiente del grupo; reemplaza a </w:t>
            </w:r>
            <w:r>
              <w:rPr>
                <w:rFonts w:ascii="Consolas" w:hAnsi="Consolas" w:eastAsia="Consolas"/>
                <w:sz w:val="15"/>
              </w:rPr>
              <w:t xml:space="preserve">Fare_log</w:t>
            </w:r>
            <w:r>
              <w:rPr>
                <w:sz w:val="18"/>
              </w:rPr>
              <w:t xml:space="preserve"> por interpretabilidad. </w:t>
            </w:r>
            <w:r>
              <w:rPr>
                <w:rFonts w:ascii="Consolas" w:hAnsi="Consolas" w:eastAsia="Consolas"/>
                <w:sz w:val="15"/>
              </w:rPr>
              <w:t xml:space="preserve">FamilySize</w:t>
            </w:r>
            <w:r>
              <w:rPr>
                <w:sz w:val="18"/>
              </w:rPr>
              <w:t xml:space="preserve"> (0.173; p = 8×10⁻⁷) y </w:t>
            </w:r>
            <w:r>
              <w:rPr>
                <w:rFonts w:ascii="Consolas" w:hAnsi="Consolas" w:eastAsia="Consolas"/>
                <w:sz w:val="15"/>
              </w:rPr>
              <w:t xml:space="preserve">TicketGroupSize</w:t>
            </w:r>
            <w:r>
              <w:rPr>
                <w:sz w:val="18"/>
              </w:rPr>
              <w:t xml:space="preserve"> (0.188; p = 6×10⁻⁸): débiles pero significativas y conceptos distintos (32.3 %).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40" w:lineRule="auto" w:after="0"/>
              <w:jc w:val="left"/>
            </w:pPr>
            <w:r>
              <w:rPr>
                <w:b/>
                <w:sz w:val="18"/>
              </w:rPr>
              <w:t>Revisar</w:t>
            </w:r>
          </w:p>
        </w:tc>
        <w:tc>
          <w:tcPr>
            <w:tcW w:type="dxa" w:w="266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AgeGroup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Embarked_clean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Deck_combinado</w:t>
            </w:r>
          </w:p>
        </w:tc>
        <w:tc>
          <w:tcPr>
            <w:tcW w:type="dxa" w:w="554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AgeGroup</w:t>
            </w:r>
            <w:r>
              <w:rPr>
                <w:sz w:val="18"/>
              </w:rPr>
              <w:t xml:space="preserve"> (V = 0.137) y </w:t>
            </w:r>
            <w:r>
              <w:rPr>
                <w:rFonts w:ascii="Consolas" w:hAnsi="Consolas" w:eastAsia="Consolas"/>
                <w:sz w:val="15"/>
              </w:rPr>
              <w:t xml:space="preserve">Embarked_clean</w:t>
            </w:r>
            <w:r>
              <w:rPr>
                <w:sz w:val="18"/>
              </w:rPr>
              <w:t xml:space="preserve"> (V = 0.171): asociación débil e </w:t>
            </w:r>
            <w:r>
              <w:rPr>
                <w:i/>
                <w:sz w:val="18"/>
              </w:rPr>
              <w:t xml:space="preserve">MI</w:t>
            </w:r>
            <w:r>
              <w:rPr>
                <w:sz w:val="18"/>
              </w:rPr>
              <w:t xml:space="preserve"> marginal (0.009 y 0.014); se mantienen por sentido sustantivo; el puerto refleja en parte la clase (V con </w:t>
            </w:r>
            <w:r>
              <w:rPr>
                <w:rFonts w:ascii="Consolas" w:hAnsi="Consolas" w:eastAsia="Consolas"/>
                <w:sz w:val="15"/>
              </w:rPr>
              <w:t xml:space="preserve">Pclass</w:t>
            </w:r>
            <w:r>
              <w:rPr>
                <w:sz w:val="18"/>
              </w:rPr>
              <w:t xml:space="preserve"> = 0.262). </w:t>
            </w:r>
            <w:r>
              <w:rPr>
                <w:rFonts w:ascii="Consolas" w:hAnsi="Consolas" w:eastAsia="Consolas"/>
                <w:sz w:val="15"/>
              </w:rPr>
              <w:t xml:space="preserve">Deck_combinado</w:t>
            </w:r>
            <w:r>
              <w:rPr>
                <w:sz w:val="18"/>
              </w:rPr>
              <w:t xml:space="preserve">: V = 0.334 (moderada), pero 27.8 % de celdas esperadas &lt; 5 y 77.1 % «Desconocida» (no imputada).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40" w:lineRule="auto" w:after="0"/>
              <w:jc w:val="left"/>
            </w:pPr>
            <w:r>
              <w:rPr>
                <w:b/>
                <w:sz w:val="18"/>
              </w:rPr>
              <w:t>Descartar</w:t>
            </w:r>
          </w:p>
        </w:tc>
        <w:tc>
          <w:tcPr>
            <w:tcW w:type="dxa" w:w="266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Pclass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Age_clean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Sex_bin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Fare_log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FareBand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IsAlone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Age_registrada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Cabin_registrada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who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adult_male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deck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embark_town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alone</w:t>
            </w:r>
          </w:p>
        </w:tc>
        <w:tc>
          <w:tcPr>
            <w:tcW w:type="dxa" w:w="5544"/>
          </w:tcPr>
          <w:p>
            <w:pPr>
              <w:spacing w:line="240" w:lineRule="auto" w:after="0"/>
              <w:jc w:val="left"/>
            </w:pPr>
            <w:r>
              <w:rPr>
                <w:rFonts w:ascii="Consolas" w:hAnsi="Consolas" w:eastAsia="Consolas"/>
                <w:sz w:val="15"/>
              </w:rPr>
              <w:t xml:space="preserve">Pclass</w:t>
            </w:r>
            <w:r>
              <w:rPr>
                <w:sz w:val="18"/>
              </w:rPr>
              <w:t xml:space="preserve">: combinación lineal exacta de </w:t>
            </w:r>
            <w:r>
              <w:rPr>
                <w:rFonts w:ascii="Consolas" w:hAnsi="Consolas" w:eastAsia="Consolas"/>
                <w:sz w:val="15"/>
              </w:rPr>
              <w:t xml:space="preserve">Sex_Pclass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 w:eastAsia="Consolas"/>
                <w:sz w:val="15"/>
              </w:rPr>
              <w:t xml:space="preserve">IsAlone</w:t>
            </w:r>
            <w:r>
              <w:rPr>
                <w:sz w:val="18"/>
              </w:rPr>
              <w:t xml:space="preserve">: función de </w:t>
            </w:r>
            <w:r>
              <w:rPr>
                <w:rFonts w:ascii="Consolas" w:hAnsi="Consolas" w:eastAsia="Consolas"/>
                <w:sz w:val="15"/>
              </w:rPr>
              <w:t xml:space="preserve">FamilySize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 w:eastAsia="Consolas"/>
                <w:sz w:val="15"/>
              </w:rPr>
              <w:t xml:space="preserve">Sex_bin</w:t>
            </w:r>
            <w:r>
              <w:rPr>
                <w:sz w:val="18"/>
              </w:rPr>
              <w:t xml:space="preserve">: V = 0.995 con </w:t>
            </w:r>
            <w:r>
              <w:rPr>
                <w:rFonts w:ascii="Consolas" w:hAnsi="Consolas" w:eastAsia="Consolas"/>
                <w:sz w:val="15"/>
              </w:rPr>
              <w:t xml:space="preserve">Title_agrupado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 w:eastAsia="Consolas"/>
                <w:sz w:val="15"/>
              </w:rPr>
              <w:t xml:space="preserve">Fare_log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 xml:space="preserve">FareBand</w:t>
            </w:r>
            <w:r>
              <w:rPr>
                <w:sz w:val="18"/>
              </w:rPr>
              <w:t xml:space="preserve">: redundantes con </w:t>
            </w:r>
            <w:r>
              <w:rPr>
                <w:rFonts w:ascii="Consolas" w:hAnsi="Consolas" w:eastAsia="Consolas"/>
                <w:sz w:val="15"/>
              </w:rPr>
              <w:t xml:space="preserve">Fare_per_person_log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 w:eastAsia="Consolas"/>
                <w:sz w:val="15"/>
              </w:rPr>
              <w:t xml:space="preserve">Age_clean</w:t>
            </w:r>
            <w:r>
              <w:rPr>
                <w:sz w:val="18"/>
              </w:rPr>
              <w:t xml:space="preserve">: Mann-Whitney p = 0.25, pero su </w:t>
            </w:r>
            <w:r>
              <w:rPr>
                <w:i/>
                <w:sz w:val="18"/>
              </w:rPr>
              <w:t xml:space="preserve">MI</w:t>
            </w:r>
            <w:r>
              <w:rPr>
                <w:sz w:val="18"/>
              </w:rPr>
              <w:t xml:space="preserve"> supera a la de </w:t>
            </w:r>
            <w:r>
              <w:rPr>
                <w:rFonts w:ascii="Consolas" w:hAnsi="Consolas" w:eastAsia="Consolas"/>
                <w:sz w:val="15"/>
              </w:rPr>
              <w:t xml:space="preserve">AgeGroup</w:t>
            </w:r>
            <w:r>
              <w:rPr>
                <w:sz w:val="18"/>
              </w:rPr>
              <w:t xml:space="preserve">; se descarta por imputación (19.9 %) e interpretabilidad (a revalidar). </w:t>
            </w:r>
            <w:r>
              <w:rPr>
                <w:rFonts w:ascii="Consolas" w:hAnsi="Consolas" w:eastAsia="Consolas"/>
                <w:sz w:val="15"/>
              </w:rPr>
              <w:t xml:space="preserve">Age_registrada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sz w:val="15"/>
              </w:rPr>
              <w:t xml:space="preserve">Cabin_registrada</w:t>
            </w:r>
            <w:r>
              <w:rPr>
                <w:sz w:val="18"/>
              </w:rPr>
              <w:t xml:space="preserve">: sin señal nueva. Las de seaborn-data se reconstruyen al 100 %.</w:t>
            </w:r>
          </w:p>
        </w:tc>
      </w:tr>
    </w:tbl>
    <w:p>
      <w:pPr>
        <w:keepNext/>
        <w:spacing w:before="80" w:after="40" w:line="240" w:lineRule="auto"/>
      </w:pPr>
      <w:r>
        <w:rPr>
          <w:b/>
          <w:sz w:val="19"/>
        </w:rPr>
        <w:t xml:space="preserve">Figura 2. </w:t>
      </w:r>
      <w:r>
        <w:rPr>
          <w:i/>
          <w:sz w:val="19"/>
        </w:rPr>
        <w:t xml:space="preserve">Información mutua (nats) de las variables candidatas frente a </w:t>
      </w:r>
      <w:r>
        <w:rPr>
          <w:rFonts w:ascii="Consolas" w:hAnsi="Consolas" w:eastAsia="Consolas"/>
          <w:i/>
          <w:sz w:val="16"/>
        </w:rPr>
        <w:t>Survived</w:t>
      </w:r>
      <w:r>
        <w:rPr>
          <w:i/>
          <w:sz w:val="19"/>
        </w:rPr>
        <w:t xml:space="preserve"> (semilla 42)</w:t>
      </w:r>
    </w:p>
    <w:p>
      <w:pPr>
        <w:keepNext w:val="0"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94560" cy="153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titanic_mutual_info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 xml:space="preserve">El ranking es estable en 21 semillas: </w:t>
      </w:r>
      <w:r>
        <w:rPr>
          <w:rFonts w:ascii="Consolas" w:hAnsi="Consolas" w:eastAsia="Consolas"/>
          <w:sz w:val="19"/>
        </w:rPr>
        <w:t xml:space="preserve">Sex_Pclass</w:t>
      </w:r>
      <w:r>
        <w:t xml:space="preserve">, </w:t>
      </w:r>
      <w:r>
        <w:rPr>
          <w:rFonts w:ascii="Consolas" w:hAnsi="Consolas" w:eastAsia="Consolas"/>
          <w:sz w:val="19"/>
        </w:rPr>
        <w:t xml:space="preserve">Title_agrupado</w:t>
      </w:r>
      <w:r>
        <w:t xml:space="preserve"> y </w:t>
      </w:r>
      <w:r>
        <w:rPr>
          <w:rFonts w:ascii="Consolas" w:hAnsi="Consolas" w:eastAsia="Consolas"/>
          <w:sz w:val="19"/>
        </w:rPr>
        <w:t xml:space="preserve">Fare_per_person_log</w:t>
      </w:r>
      <w:r>
        <w:t xml:space="preserve"> son siempre las tres primeras, y </w:t>
      </w:r>
      <w:r>
        <w:rPr>
          <w:rFonts w:ascii="Consolas" w:hAnsi="Consolas" w:eastAsia="Consolas"/>
          <w:sz w:val="19"/>
        </w:rPr>
        <w:t xml:space="preserve">AgeGroup</w:t>
      </w:r>
      <w:r>
        <w:t xml:space="preserve"> y </w:t>
      </w:r>
      <w:r>
        <w:rPr>
          <w:rFonts w:ascii="Consolas" w:hAnsi="Consolas" w:eastAsia="Consolas"/>
          <w:sz w:val="19"/>
        </w:rPr>
        <w:t xml:space="preserve">Embarked_clean</w:t>
      </w:r>
      <w:r>
        <w:t xml:space="preserve"> las últimas. Solo las continuas (</w:t>
      </w:r>
      <w:r>
        <w:rPr>
          <w:rFonts w:ascii="Consolas" w:hAnsi="Consolas" w:eastAsia="Consolas"/>
          <w:sz w:val="19"/>
        </w:rPr>
        <w:t xml:space="preserve">Fare_per_person_log</w:t>
      </w:r>
      <w:r>
        <w:t xml:space="preserve">: 0.092–0.122; </w:t>
      </w:r>
      <w:r>
        <w:rPr>
          <w:rFonts w:ascii="Consolas" w:hAnsi="Consolas" w:eastAsia="Consolas"/>
          <w:sz w:val="19"/>
        </w:rPr>
        <w:t xml:space="preserve">Age_clean</w:t>
      </w:r>
      <w:r>
        <w:t xml:space="preserve">: 0.016–0.070) varían con la semilla; los conteos se tratan como discretos. Como la </w:t>
      </w:r>
      <w:r>
        <w:rPr>
          <w:i/>
        </w:rPr>
        <w:t xml:space="preserve">MI</w:t>
      </w:r>
      <w:r>
        <w:t xml:space="preserve"> mezcla dos estimadores no comparables, se lee como orden aproximado y no decide sola los descartes.</w:t>
      </w:r>
    </w:p>
    <w:p>
      <w:pPr>
        <w:pStyle w:val="Heading1"/>
      </w:pPr>
      <w:r>
        <w:t>VI. Documentación reproducible del pipeline</w:t>
      </w:r>
    </w:p>
    <w:p>
      <w:pPr>
        <w:pStyle w:val="Heading2"/>
      </w:pPr>
      <w:r>
        <w:t>VI.1 Registro y organización del notebook</w:t>
      </w:r>
    </w:p>
    <w:p>
      <w:pPr>
        <w:spacing w:after="40"/>
        <w:jc w:val="both"/>
      </w:pPr>
      <w:r>
        <w:t xml:space="preserve">El notebook está ejecutado de punta a punta, con rutas relativas, semilla fija (</w:t>
      </w:r>
      <w:r>
        <w:rPr>
          <w:rFonts w:ascii="Consolas" w:hAnsi="Consolas" w:eastAsia="Consolas"/>
          <w:sz w:val="19"/>
        </w:rPr>
        <w:t xml:space="preserve">RANDOM_STATE = 42</w:t>
      </w:r>
      <w:r>
        <w:t xml:space="preserve">) y </w:t>
      </w:r>
      <w:r>
        <w:rPr>
          <w:rFonts w:ascii="Consolas" w:hAnsi="Consolas" w:eastAsia="Consolas"/>
          <w:sz w:val="19"/>
        </w:rPr>
        <w:t xml:space="preserve">requirements.txt</w:t>
      </w:r>
      <w:r>
        <w:t xml:space="preserve">. Cada acción queda en una bitácora de 10 pasos (NB §VII), las decisiones en NB §VI.4 (cifras calculadas en el notebook) y el destino de las 36 columnas en NB §VI.5. Se usaron pandas (McKinney, 2010), SciPy (Virtanen et al., 2020), scikit-learn (Pedregosa et al., 2011), seaborn (Waskom, 2021) y la lógica de EDA mínimo viable del curso (Paraíso, 2026).</w:t>
      </w:r>
    </w:p>
    <w:p>
      <w:pPr>
        <w:pStyle w:val="Heading2"/>
      </w:pPr>
      <w:r>
        <w:t>VI.2 Correspondencia entre los tres productos</w:t>
      </w:r>
    </w:p>
    <w:p>
      <w:pPr>
        <w:keepNext/>
        <w:spacing w:before="80" w:after="40" w:line="240" w:lineRule="auto"/>
      </w:pPr>
      <w:r>
        <w:rPr>
          <w:b/>
          <w:sz w:val="19"/>
        </w:rPr>
        <w:t xml:space="preserve">Tabla 4. </w:t>
      </w:r>
      <w:r>
        <w:rPr>
          <w:i/>
          <w:sz w:val="19"/>
        </w:rPr>
        <w:t>Correspondencia entre informe, notebook y presentación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3024"/>
        <w:gridCol w:w="3456"/>
        <w:gridCol w:w="2880"/>
      </w:tblGrid>
      <w:tr>
        <w:trPr>
          <w:cantSplit/>
          <w:tblHeader/>
        </w:trPr>
        <w:tc>
          <w:tcPr>
            <w:tcW w:type="dxa" w:w="3024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Informe (PDF)</w:t>
            </w:r>
          </w:p>
        </w:tc>
        <w:tc>
          <w:tcPr>
            <w:tcW w:type="dxa" w:w="3456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Notebook (NB)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line="240" w:lineRule="auto" w:after="0"/>
              <w:jc w:val="left"/>
            </w:pPr>
            <w:r>
              <w:rPr>
                <w:b/>
                <w:color w:val="FFFFFF"/>
                <w:sz w:val="18"/>
              </w:rPr>
              <w:t>Presentación (video)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II. Contexto y objetivo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I. Encabezado; II. Carga; III. Revisión inicial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I. Problema; II. Dataset y recorrido; III. Hallazgos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III. Transformaciones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IV. Transformaciones y normalizaciones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IV. Transformaciones y derivadas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IV. Variables derivadas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V. Variables derivadas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 xml:space="preserve">IV. Transformaciones y derivadas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V. Selección de características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VI. Selección preliminar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V. Selección preliminar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VI. Documentación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VII. Documentación y trazabilidad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Transversal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VII. Resultados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VIII. Resultado final del 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VI. Valor analítico del cierre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VIII. Decisiones y limitaciones</w:t>
            </w:r>
          </w:p>
        </w:tc>
        <w:tc>
          <w:tcPr>
            <w:tcW w:type="dxa" w:w="3456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IX. Supuestos, limitaciones y cierre</w:t>
            </w:r>
          </w:p>
        </w:tc>
        <w:tc>
          <w:tcPr>
            <w:tcW w:type="dxa" w:w="2880"/>
          </w:tcPr>
          <w:p>
            <w:pPr>
              <w:spacing w:line="240" w:lineRule="auto" w:after="0"/>
              <w:jc w:val="left"/>
            </w:pPr>
            <w:r>
              <w:rPr>
                <w:sz w:val="18"/>
              </w:rPr>
              <w:t>VII. Limitaciones y cierre final</w:t>
            </w:r>
          </w:p>
        </w:tc>
      </w:tr>
    </w:tbl>
    <w:p>
      <w:pPr>
        <w:pStyle w:val="Heading1"/>
      </w:pPr>
      <w:r>
        <w:t>VII. Resultados del pipeline y valor analítico del cierre</w:t>
      </w:r>
    </w:p>
    <w:p>
      <w:pPr>
        <w:spacing w:after="40"/>
        <w:jc w:val="both"/>
      </w:pPr>
      <w:r>
        <w:rPr>
          <w:b/>
        </w:rPr>
        <w:t xml:space="preserve">Decisiones técnicas.</w:t>
      </w:r>
      <w:r>
        <w:t xml:space="preserve"> Escalado robusto de variables con colas legítimas, dos variables derivadas con evidencia cuantitativa, eliminación de redundancias exactas y codificación </w:t>
      </w:r>
      <w:r>
        <w:rPr>
          <w:i/>
        </w:rPr>
        <w:t xml:space="preserve">one-hot</w:t>
      </w:r>
      <w:r>
        <w:t xml:space="preserve"> con categoría de referencia (NB §VIII).</w:t>
      </w:r>
    </w:p>
    <w:p>
      <w:pPr>
        <w:pStyle w:val="ListBullet"/>
        <w:jc w:val="both"/>
      </w:pPr>
      <w:r>
        <w:rPr>
          <w:b/>
        </w:rPr>
        <w:t xml:space="preserve">Mejoras en el dataset.</w:t>
      </w:r>
      <w:r>
        <w:t xml:space="preserve"> De 891 × 32 a 891 × 29 columnas (27 características más </w:t>
      </w:r>
      <w:r>
        <w:rPr>
          <w:rFonts w:ascii="Consolas" w:hAnsi="Consolas" w:eastAsia="Consolas"/>
          <w:sz w:val="19"/>
        </w:rPr>
        <w:t xml:space="preserve">PassengerId</w:t>
      </w:r>
      <w:r>
        <w:t xml:space="preserve"> y </w:t>
      </w:r>
      <w:r>
        <w:rPr>
          <w:rFonts w:ascii="Consolas" w:hAnsi="Consolas" w:eastAsia="Consolas"/>
          <w:sz w:val="19"/>
        </w:rPr>
        <w:t xml:space="preserve">Survived</w:t>
      </w:r>
      <w:r>
        <w:t xml:space="preserve">): las 36 columnas disponibles (32 más 4 nuevas) tienen destino documentado, sin valores faltantes ni colinealidad exacta.</w:t>
      </w:r>
    </w:p>
    <w:p>
      <w:pPr>
        <w:pStyle w:val="ListBullet"/>
        <w:jc w:val="both"/>
      </w:pPr>
      <w:r>
        <w:rPr>
          <w:b/>
        </w:rPr>
        <w:t xml:space="preserve">Valor para el modelamiento.</w:t>
      </w:r>
      <w:r>
        <w:t xml:space="preserve"> El conjunto está codificado y escalado, con pocas variables justificadas, sin fuga ni colinealidad exacta. La señal dominante (sexo × clase, título, tarifa por persona) sugiere como referencia regresión logística regularizada o árboles; </w:t>
      </w:r>
      <w:r>
        <w:rPr>
          <w:rFonts w:ascii="Consolas" w:hAnsi="Consolas" w:eastAsia="Consolas"/>
          <w:sz w:val="19"/>
        </w:rPr>
        <w:t xml:space="preserve">Sex_Pclass</w:t>
      </w:r>
      <w:r>
        <w:t xml:space="preserve"> permite a un modelo lineal capturar el efecto no aditivo. </w:t>
      </w:r>
      <w:r>
        <w:rPr>
          <w:rFonts w:ascii="Consolas" w:hAnsi="Consolas" w:eastAsia="Consolas"/>
          <w:sz w:val="19"/>
        </w:rPr>
        <w:t xml:space="preserve">PassengerId</w:t>
      </w:r>
      <w:r>
        <w:t xml:space="preserve"> debe excluirse.</w:t>
      </w:r>
    </w:p>
    <w:p>
      <w:pPr>
        <w:pStyle w:val="ListBullet"/>
        <w:jc w:val="both"/>
      </w:pPr>
      <w:r>
        <w:rPr>
          <w:b/>
        </w:rPr>
        <w:t>Valor para la comprensión del problema.</w:t>
      </w:r>
      <w:r>
        <w:t xml:space="preserve"> Se documenta que la tarifa observada mezcla precio y tamaño de grupo, y que el efecto de la clase no es uniforme por sexo: en mujeres solo cae con fuerza en 3.ª clase (92.1 % → 50.0 %), mientras que en hombres ya es bajo desde la 2.ª (36.9 % → 15.7 %).</w:t>
      </w:r>
    </w:p>
    <w:p>
      <w:pPr>
        <w:pStyle w:val="Heading1"/>
      </w:pPr>
      <w:r>
        <w:t>VIII. Decisiones metodológicas, supuestos y limitaciones</w:t>
      </w:r>
    </w:p>
    <w:p>
      <w:pPr>
        <w:pStyle w:val="ListBullet"/>
        <w:jc w:val="both"/>
      </w:pPr>
      <w:r>
        <w:rPr>
          <w:b/>
        </w:rPr>
        <w:t xml:space="preserve">Decisiones.</w:t>
      </w:r>
      <w:r>
        <w:t xml:space="preserve"> Se reutilizó el dataset de las Fases 2-3 sin entrenar modelos; la interacción </w:t>
      </w:r>
      <w:r>
        <w:rPr>
          <w:rFonts w:ascii="Consolas" w:hAnsi="Consolas" w:eastAsia="Consolas"/>
          <w:sz w:val="19"/>
        </w:rPr>
        <w:t xml:space="preserve">Sex_Pclass</w:t>
      </w:r>
      <w:r>
        <w:t xml:space="preserve"> se validó con un test formal, la </w:t>
      </w:r>
      <w:r>
        <w:rPr>
          <w:i/>
        </w:rPr>
        <w:t xml:space="preserve">MI</w:t>
      </w:r>
      <w:r>
        <w:t xml:space="preserve"> con una prueba de estabilidad y la redundancia con un criterio único (exacta: se elimina; parcial: se documenta).</w:t>
      </w:r>
    </w:p>
    <w:p>
      <w:pPr>
        <w:pStyle w:val="ListBullet"/>
        <w:jc w:val="both"/>
      </w:pPr>
      <w:r>
        <w:rPr>
          <w:b/>
        </w:rPr>
        <w:t xml:space="preserve">Supuestos.</w:t>
      </w:r>
      <w:r>
        <w:t xml:space="preserve"> Los 15 registros con </w:t>
      </w:r>
      <w:r>
        <w:rPr>
          <w:rFonts w:ascii="Consolas" w:hAnsi="Consolas" w:eastAsia="Consolas"/>
          <w:sz w:val="19"/>
        </w:rPr>
        <w:t xml:space="preserve">Fare</w:t>
      </w:r>
      <w:r>
        <w:t xml:space="preserve"> = 0 (todos varones) se asumen tarifa legítima y se conservan (no verificable con los datos). Los criterios bastan para una selección </w:t>
      </w:r>
      <w:r>
        <w:rPr>
          <w:i/>
        </w:rPr>
        <w:t xml:space="preserve">preliminar</w:t>
      </w:r>
      <w:r>
        <w:t xml:space="preserve">, a revalidar con un modelo (en particular el descarte de </w:t>
      </w:r>
      <w:r>
        <w:rPr>
          <w:rFonts w:ascii="Consolas" w:hAnsi="Consolas" w:eastAsia="Consolas"/>
          <w:sz w:val="19"/>
        </w:rPr>
        <w:t xml:space="preserve">Age_clean</w:t>
      </w:r>
      <w:r>
        <w:t xml:space="preserve">).</w:t>
      </w:r>
    </w:p>
    <w:p>
      <w:pPr>
        <w:pStyle w:val="ListBullet"/>
        <w:jc w:val="both"/>
      </w:pPr>
      <w:r>
        <w:rPr>
          <w:b/>
        </w:rPr>
        <w:t xml:space="preserve">Limitaciones.</w:t>
      </w:r>
      <w:r>
        <w:t xml:space="preserve"> </w:t>
      </w:r>
      <w:r>
        <w:rPr>
          <w:rFonts w:ascii="Consolas" w:hAnsi="Consolas" w:eastAsia="Consolas"/>
          <w:sz w:val="19"/>
        </w:rPr>
        <w:t xml:space="preserve">Deck_combinado</w:t>
      </w:r>
      <w:r>
        <w:t xml:space="preserve"> es 77.1 % «Desconocida» (categoría explícita, no imputada), con 27.8 % de celdas esperadas &lt; 5 y categorías casi vacías (</w:t>
      </w:r>
      <w:r>
        <w:rPr>
          <w:rFonts w:ascii="Consolas" w:hAnsi="Consolas" w:eastAsia="Consolas"/>
          <w:sz w:val="19"/>
        </w:rPr>
        <w:t xml:space="preserve">T</w:t>
      </w:r>
      <w:r>
        <w:t xml:space="preserve">, 1 caso; </w:t>
      </w:r>
      <w:r>
        <w:rPr>
          <w:rFonts w:ascii="Consolas" w:hAnsi="Consolas" w:eastAsia="Consolas"/>
          <w:sz w:val="19"/>
        </w:rPr>
        <w:t xml:space="preserve">G</w:t>
      </w:r>
      <w:r>
        <w:t xml:space="preserve">, 4); persiste redundancia parcial entre </w:t>
      </w:r>
      <w:r>
        <w:rPr>
          <w:rFonts w:ascii="Consolas" w:hAnsi="Consolas" w:eastAsia="Consolas"/>
          <w:sz w:val="19"/>
        </w:rPr>
        <w:t xml:space="preserve">Title_agrupado</w:t>
      </w:r>
      <w:r>
        <w:t xml:space="preserve"> y </w:t>
      </w:r>
      <w:r>
        <w:rPr>
          <w:rFonts w:ascii="Consolas" w:hAnsi="Consolas" w:eastAsia="Consolas"/>
          <w:sz w:val="19"/>
        </w:rPr>
        <w:t xml:space="preserve">Sex_Pclass</w:t>
      </w:r>
      <w:r>
        <w:t xml:space="preserve">; la evidencia es univariada y con 891 casos los subgrupos son frágiles. El </w:t>
      </w:r>
      <w:r>
        <w:rPr>
          <w:rFonts w:ascii="Consolas" w:hAnsi="Consolas" w:eastAsia="Consolas"/>
          <w:sz w:val="19"/>
        </w:rPr>
        <w:t xml:space="preserve">RobustScaler</w:t>
      </w:r>
      <w:r>
        <w:t xml:space="preserve"> se ajustó con todos los registros: al modelar deberá ajustarse solo con el entrenamiento.</w:t>
      </w:r>
    </w:p>
    <w:p>
      <w:pPr>
        <w:pStyle w:val="Heading1"/>
      </w:pPr>
      <w:r>
        <w:t>IX. Bibliografía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Cohen, J. (1988). </w:t>
      </w:r>
      <w:r>
        <w:rPr>
          <w:i/>
          <w:sz w:val="19"/>
        </w:rPr>
        <w:t xml:space="preserve">Statistical power analysis for the behavioral sciences</w:t>
      </w:r>
      <w:r>
        <w:rPr>
          <w:sz w:val="19"/>
        </w:rPr>
        <w:t xml:space="preserve"> (2.ª ed.). Lawrence Erlbaum Associates.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Cramér, H. (1946). </w:t>
      </w:r>
      <w:r>
        <w:rPr>
          <w:i/>
          <w:sz w:val="19"/>
        </w:rPr>
        <w:t>Mathematical methods of statistics</w:t>
      </w:r>
      <w:r>
        <w:rPr>
          <w:sz w:val="19"/>
        </w:rPr>
        <w:t>. Princeton University Press.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Kaggle. (s. f.). </w:t>
      </w:r>
      <w:r>
        <w:rPr>
          <w:i/>
          <w:sz w:val="19"/>
        </w:rPr>
        <w:t>Titanic - Machine learning from disaster</w:t>
      </w:r>
      <w:r>
        <w:rPr>
          <w:sz w:val="19"/>
        </w:rPr>
        <w:t xml:space="preserve"> [Conjunto de datos]. https://www.kaggle.com/c/titanic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Kraskov, A., Stögbauer, H., &amp; Grassberger, P. (2004). Estimating mutual information. </w:t>
      </w:r>
      <w:r>
        <w:rPr>
          <w:i/>
          <w:sz w:val="19"/>
        </w:rPr>
        <w:t>Physical Review E, 69</w:t>
      </w:r>
      <w:r>
        <w:rPr>
          <w:sz w:val="19"/>
        </w:rPr>
        <w:t>(6), Artículo 066138. https://doi.org/10.1103/PhysRevE.69.066138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Kuhn, M., &amp; Johnson, K. (2019). </w:t>
      </w:r>
      <w:r>
        <w:rPr>
          <w:i/>
          <w:sz w:val="19"/>
        </w:rPr>
        <w:t>Feature engineering and selection: A practical approach for predictive models</w:t>
      </w:r>
      <w:r>
        <w:rPr>
          <w:sz w:val="19"/>
        </w:rPr>
        <w:t>. CRC Press.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Mann, H. B., &amp; Whitney, D. R. (1947). On a test of whether one of two random variables is stochastically larger than the other. </w:t>
      </w:r>
      <w:r>
        <w:rPr>
          <w:i/>
          <w:sz w:val="19"/>
        </w:rPr>
        <w:t>The Annals of Mathematical Statistics, 18</w:t>
      </w:r>
      <w:r>
        <w:rPr>
          <w:sz w:val="19"/>
        </w:rPr>
        <w:t>(1), 50–60. https://doi.org/10.1214/aoms/1177730491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McKinney, W. (2010). Data structures for statistical computing in Python. </w:t>
      </w:r>
      <w:r>
        <w:rPr>
          <w:i/>
          <w:sz w:val="19"/>
        </w:rPr>
        <w:t>Proceedings of the 9th Python in Science Conference</w:t>
      </w:r>
      <w:r>
        <w:rPr>
          <w:sz w:val="19"/>
        </w:rPr>
        <w:t>, 56–61. https://doi.org/10.25080/Majora-92bf1922-00a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Paraíso, S. (2026). </w:t>
      </w:r>
      <w:r>
        <w:rPr>
          <w:i/>
          <w:sz w:val="19"/>
        </w:rPr>
        <w:t xml:space="preserve">Resumen aplicado del libro: EDA mínimo viable</w:t>
      </w:r>
      <w:r>
        <w:rPr>
          <w:sz w:val="19"/>
        </w:rPr>
        <w:t xml:space="preserve"> [Apunte]. Universidad Andrés Bello, Santiago, Chile.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i/>
          <w:sz w:val="19"/>
        </w:rPr>
        <w:t>Journal of Machine Learning Research, 12</w:t>
      </w:r>
      <w:r>
        <w:rPr>
          <w:sz w:val="19"/>
        </w:rPr>
        <w:t>, 2825–2830.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Virtanen, P., Gommers, R., Oliphant, T. E., Haberland, M., Reddy, T., Cournapeau, D., Burovski, E., Peterson, P., Weckesser, W., Bright, J., van der Walt, S. J., Brett, M., Wilson, J., Millman, K. J., Mayorov, N., Nelson, A. R. J., Jones, E., Kern, R., Larson, E., … SciPy 1.0 Contributors. (2020). SciPy 1.0: Fundamental algorithms for scientific computing in Python. </w:t>
      </w:r>
      <w:r>
        <w:rPr>
          <w:i/>
          <w:sz w:val="19"/>
        </w:rPr>
        <w:t>Nature Methods, 17</w:t>
      </w:r>
      <w:r>
        <w:rPr>
          <w:sz w:val="19"/>
        </w:rPr>
        <w:t>, 261–272. https://doi.org/10.1038/s41592-019-0686-2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Waskom, M. L. (2021). seaborn: Statistical data visualization. </w:t>
      </w:r>
      <w:r>
        <w:rPr>
          <w:i/>
          <w:sz w:val="19"/>
        </w:rPr>
        <w:t>Journal of Open Source Software, 6</w:t>
      </w:r>
      <w:r>
        <w:rPr>
          <w:sz w:val="19"/>
        </w:rPr>
        <w:t>(60), Artículo 3021. https://doi.org/10.21105/joss.03021</w:t>
      </w:r>
    </w:p>
    <w:p>
      <w:pPr>
        <w:spacing w:after="30" w:line="240" w:lineRule="auto"/>
        <w:ind w:left="576" w:hanging="576"/>
        <w:jc w:val="left"/>
      </w:pPr>
      <w:r>
        <w:rPr>
          <w:sz w:val="19"/>
        </w:rPr>
        <w:t xml:space="preserve">Wilks, S. S. (1938). The large-sample distribution of the likelihood ratio for testing composite hypotheses. </w:t>
      </w:r>
      <w:r>
        <w:rPr>
          <w:i/>
          <w:sz w:val="19"/>
        </w:rPr>
        <w:t>The Annals of Mathematical Statistics, 9</w:t>
      </w:r>
      <w:r>
        <w:rPr>
          <w:sz w:val="19"/>
        </w:rPr>
        <w:t>(1), 60–62. https://doi.org/10.1214/aoms/1177732360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864"/>
      </w:pBdr>
      <w:spacing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1051560" cy="3520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35202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864"/>
      </w:pBdr>
      <w:spacing w:after="0"/>
      <w:jc w:val="right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="Calibri" w:hAnsi="Calibri" w:cs="Calibri" w:eastAsia="Calibri"/>
      <w:b/>
      <w:bCs/>
      <w:color w:val="1F386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="Calibri" w:hAnsi="Calibri" w:cs="Calibri" w:eastAsia="Calibri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 w:cs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exploratorio reproducible — Titanic — MCDI503 Fase 4 (Grupo 5)</dc:title>
  <dc:subject/>
  <dc:creator>Grupo 5 — MCDI503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