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FD49" w14:textId="77777777" w:rsidR="008D7A5F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5BF322FF" wp14:editId="199276FE">
            <wp:extent cx="1737360" cy="5816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5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C052" w14:textId="77777777" w:rsidR="008D7A5F" w:rsidRPr="0043602F" w:rsidRDefault="00000000">
      <w:pPr>
        <w:spacing w:after="0"/>
        <w:jc w:val="center"/>
        <w:rPr>
          <w:lang w:val="es-CL"/>
        </w:rPr>
      </w:pPr>
      <w:r w:rsidRPr="0043602F">
        <w:rPr>
          <w:b/>
          <w:lang w:val="es-CL"/>
        </w:rPr>
        <w:t>MCDI503</w:t>
      </w:r>
    </w:p>
    <w:p w14:paraId="6E82EBB8" w14:textId="77777777" w:rsidR="008D7A5F" w:rsidRPr="0043602F" w:rsidRDefault="00000000">
      <w:pPr>
        <w:spacing w:after="120"/>
        <w:jc w:val="center"/>
        <w:rPr>
          <w:lang w:val="es-CL"/>
        </w:rPr>
      </w:pPr>
      <w:r w:rsidRPr="0043602F">
        <w:rPr>
          <w:sz w:val="21"/>
          <w:lang w:val="es-CL"/>
        </w:rPr>
        <w:t>EXPLORACIÓN INTELIGENTE PARA LA CIENCIA DE DATOS</w:t>
      </w:r>
    </w:p>
    <w:p w14:paraId="2F99DB32" w14:textId="77777777" w:rsidR="008D7A5F" w:rsidRPr="0043602F" w:rsidRDefault="00000000">
      <w:pPr>
        <w:spacing w:after="120" w:line="252" w:lineRule="auto"/>
        <w:jc w:val="center"/>
        <w:rPr>
          <w:lang w:val="es-CL"/>
        </w:rPr>
      </w:pPr>
      <w:r w:rsidRPr="0043602F">
        <w:rPr>
          <w:b/>
          <w:color w:val="1F3864"/>
          <w:sz w:val="30"/>
          <w:lang w:val="es-CL"/>
        </w:rPr>
        <w:t xml:space="preserve">Pipeline exploratorio reproducible de ingeniería de variables y selección preliminar de características del </w:t>
      </w:r>
      <w:proofErr w:type="spellStart"/>
      <w:r w:rsidRPr="0043602F">
        <w:rPr>
          <w:b/>
          <w:color w:val="1F3864"/>
          <w:sz w:val="30"/>
          <w:lang w:val="es-CL"/>
        </w:rPr>
        <w:t>dataset</w:t>
      </w:r>
      <w:proofErr w:type="spellEnd"/>
      <w:r w:rsidRPr="0043602F">
        <w:rPr>
          <w:b/>
          <w:color w:val="1F3864"/>
          <w:sz w:val="30"/>
          <w:lang w:val="es-CL"/>
        </w:rPr>
        <w:t xml:space="preserve"> </w:t>
      </w:r>
      <w:proofErr w:type="spellStart"/>
      <w:r w:rsidRPr="0043602F">
        <w:rPr>
          <w:b/>
          <w:color w:val="1F3864"/>
          <w:sz w:val="30"/>
          <w:lang w:val="es-CL"/>
        </w:rPr>
        <w:t>Titanic</w:t>
      </w:r>
      <w:proofErr w:type="spellEnd"/>
      <w:r w:rsidRPr="0043602F">
        <w:rPr>
          <w:b/>
          <w:color w:val="1F3864"/>
          <w:sz w:val="30"/>
          <w:lang w:val="es-CL"/>
        </w:rPr>
        <w:t xml:space="preserve"> — Cierre del proyecto, Fase 4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1584"/>
        <w:gridCol w:w="7776"/>
      </w:tblGrid>
      <w:tr w:rsidR="008D7A5F" w:rsidRPr="0043602F" w14:paraId="07CD9BC7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3C7ACFA0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9"/>
              </w:rPr>
              <w:t>Curso</w:t>
            </w:r>
            <w:proofErr w:type="spellEnd"/>
          </w:p>
        </w:tc>
        <w:tc>
          <w:tcPr>
            <w:tcW w:w="7776" w:type="dxa"/>
          </w:tcPr>
          <w:p w14:paraId="4E7C0B62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9"/>
                <w:lang w:val="es-CL"/>
              </w:rPr>
              <w:t>MCDI503 — Exploración inteligente para la ciencia de datos</w:t>
            </w:r>
          </w:p>
        </w:tc>
      </w:tr>
      <w:tr w:rsidR="008D7A5F" w14:paraId="23D50233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75DDC75B" w14:textId="77777777" w:rsidR="008D7A5F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Grupo</w:t>
            </w:r>
          </w:p>
        </w:tc>
        <w:tc>
          <w:tcPr>
            <w:tcW w:w="7776" w:type="dxa"/>
          </w:tcPr>
          <w:p w14:paraId="5835D263" w14:textId="77777777" w:rsidR="008D7A5F" w:rsidRDefault="00000000">
            <w:pPr>
              <w:spacing w:after="0" w:line="240" w:lineRule="auto"/>
            </w:pPr>
            <w:r>
              <w:rPr>
                <w:sz w:val="19"/>
              </w:rPr>
              <w:t>5</w:t>
            </w:r>
          </w:p>
        </w:tc>
      </w:tr>
      <w:tr w:rsidR="008D7A5F" w:rsidRPr="0043602F" w14:paraId="6AAC2355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3DC21706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9"/>
              </w:rPr>
              <w:t>Integrantes</w:t>
            </w:r>
            <w:proofErr w:type="spellEnd"/>
          </w:p>
        </w:tc>
        <w:tc>
          <w:tcPr>
            <w:tcW w:w="7776" w:type="dxa"/>
          </w:tcPr>
          <w:p w14:paraId="59FA195E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9"/>
                <w:lang w:val="es-CL"/>
              </w:rPr>
              <w:t>Arturo Knopke Vera, Nicolás Soletic Cobos, Sebastián Navarrete Soto, Roberto Moncada González</w:t>
            </w:r>
          </w:p>
        </w:tc>
      </w:tr>
      <w:tr w:rsidR="008D7A5F" w14:paraId="7FB0DEA9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68D45B34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9"/>
              </w:rPr>
              <w:t>Docente</w:t>
            </w:r>
            <w:proofErr w:type="spellEnd"/>
          </w:p>
        </w:tc>
        <w:tc>
          <w:tcPr>
            <w:tcW w:w="7776" w:type="dxa"/>
          </w:tcPr>
          <w:p w14:paraId="35BBC63D" w14:textId="77777777" w:rsidR="008D7A5F" w:rsidRDefault="00000000">
            <w:pPr>
              <w:spacing w:after="0" w:line="240" w:lineRule="auto"/>
            </w:pPr>
            <w:r>
              <w:rPr>
                <w:sz w:val="19"/>
              </w:rPr>
              <w:t>Sergio Paraíso Medina</w:t>
            </w:r>
          </w:p>
        </w:tc>
      </w:tr>
      <w:tr w:rsidR="008D7A5F" w:rsidRPr="0043602F" w14:paraId="45F21382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3F5AE4B1" w14:textId="77777777" w:rsidR="008D7A5F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Dataset</w:t>
            </w:r>
          </w:p>
        </w:tc>
        <w:tc>
          <w:tcPr>
            <w:tcW w:w="7776" w:type="dxa"/>
          </w:tcPr>
          <w:p w14:paraId="1D043857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rFonts w:ascii="Consolas" w:eastAsia="Consolas" w:hAnsi="Consolas"/>
                <w:sz w:val="16"/>
                <w:lang w:val="es-CL"/>
              </w:rPr>
              <w:t>Titanic-Dataset.csv</w:t>
            </w:r>
            <w:r w:rsidRPr="0043602F">
              <w:rPr>
                <w:sz w:val="19"/>
                <w:lang w:val="es-CL"/>
              </w:rPr>
              <w:t xml:space="preserve"> (</w:t>
            </w:r>
            <w:proofErr w:type="spellStart"/>
            <w:r w:rsidRPr="0043602F">
              <w:rPr>
                <w:sz w:val="19"/>
                <w:lang w:val="es-CL"/>
              </w:rPr>
              <w:t>Kaggle</w:t>
            </w:r>
            <w:proofErr w:type="spellEnd"/>
            <w:r w:rsidRPr="0043602F">
              <w:rPr>
                <w:sz w:val="19"/>
                <w:lang w:val="es-CL"/>
              </w:rPr>
              <w:t xml:space="preserve">) integrado con </w:t>
            </w:r>
            <w:proofErr w:type="spellStart"/>
            <w:r w:rsidRPr="0043602F">
              <w:rPr>
                <w:sz w:val="19"/>
                <w:lang w:val="es-CL"/>
              </w:rPr>
              <w:t>seaborn</w:t>
            </w:r>
            <w:proofErr w:type="spellEnd"/>
            <w:r w:rsidRPr="0043602F">
              <w:rPr>
                <w:sz w:val="19"/>
                <w:lang w:val="es-CL"/>
              </w:rPr>
              <w:t>-data, leídos desde sus repositorios públicos en GitHub; preparación de las Fases 2-3 reproducida en el notebook (891 × 32)</w:t>
            </w:r>
          </w:p>
        </w:tc>
      </w:tr>
      <w:tr w:rsidR="008D7A5F" w:rsidRPr="0043602F" w14:paraId="6B6C78C0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72E33B04" w14:textId="77777777" w:rsidR="008D7A5F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Notebook</w:t>
            </w:r>
          </w:p>
        </w:tc>
        <w:tc>
          <w:tcPr>
            <w:tcW w:w="7776" w:type="dxa"/>
          </w:tcPr>
          <w:p w14:paraId="125BEBA9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rFonts w:ascii="Consolas" w:eastAsia="Consolas" w:hAnsi="Consolas"/>
                <w:sz w:val="16"/>
                <w:lang w:val="es-CL"/>
              </w:rPr>
              <w:t>mcdi503_f4_sumativo_grupo5.ipynb</w:t>
            </w:r>
            <w:r w:rsidRPr="0043602F">
              <w:rPr>
                <w:sz w:val="19"/>
                <w:lang w:val="es-CL"/>
              </w:rPr>
              <w:t xml:space="preserve"> (ejecutado de principio a fin); salida: </w:t>
            </w:r>
            <w:r w:rsidRPr="0043602F">
              <w:rPr>
                <w:rFonts w:ascii="Consolas" w:eastAsia="Consolas" w:hAnsi="Consolas"/>
                <w:sz w:val="16"/>
                <w:lang w:val="es-CL"/>
              </w:rPr>
              <w:t>titanic_features.csv</w:t>
            </w:r>
          </w:p>
        </w:tc>
      </w:tr>
      <w:tr w:rsidR="008D7A5F" w14:paraId="48D323CB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3B614D18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9"/>
              </w:rPr>
              <w:t>Fecha</w:t>
            </w:r>
            <w:proofErr w:type="spellEnd"/>
          </w:p>
        </w:tc>
        <w:tc>
          <w:tcPr>
            <w:tcW w:w="7776" w:type="dxa"/>
          </w:tcPr>
          <w:p w14:paraId="1ED76890" w14:textId="77777777" w:rsidR="008D7A5F" w:rsidRDefault="00000000">
            <w:pPr>
              <w:spacing w:after="0" w:line="240" w:lineRule="auto"/>
            </w:pPr>
            <w:r>
              <w:rPr>
                <w:sz w:val="19"/>
              </w:rPr>
              <w:t xml:space="preserve">20 de </w:t>
            </w:r>
            <w:proofErr w:type="spellStart"/>
            <w:r>
              <w:rPr>
                <w:sz w:val="19"/>
              </w:rPr>
              <w:t>septiembre</w:t>
            </w:r>
            <w:proofErr w:type="spellEnd"/>
            <w:r>
              <w:rPr>
                <w:sz w:val="19"/>
              </w:rPr>
              <w:t xml:space="preserve"> de 2026</w:t>
            </w:r>
          </w:p>
        </w:tc>
      </w:tr>
    </w:tbl>
    <w:p w14:paraId="67110786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I. Título del avance y foco del pipeline final</w:t>
      </w:r>
    </w:p>
    <w:p w14:paraId="135A8549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Foco:</w:t>
      </w:r>
      <w:r w:rsidRPr="0043602F">
        <w:rPr>
          <w:lang w:val="es-CL"/>
        </w:rPr>
        <w:t xml:space="preserve"> cierre técnico del proyecto, cuya evidencia principal es el notebook de la Fase 4 (citado como «NB §»). Sobre la preparación de las Fases 2-3, el pipeline entrega un conjunto de características codificado, escalado y justificado para predecir la supervivencia de los pasajeros del RMS </w:t>
      </w:r>
      <w:proofErr w:type="spellStart"/>
      <w:r w:rsidRPr="0043602F">
        <w:rPr>
          <w:lang w:val="es-CL"/>
        </w:rPr>
        <w:t>Titanic</w:t>
      </w:r>
      <w:proofErr w:type="spellEnd"/>
      <w:r w:rsidRPr="0043602F">
        <w:rPr>
          <w:lang w:val="es-CL"/>
        </w:rPr>
        <w:t xml:space="preserve"> (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>) en una etapa posterior de modelamiento.</w:t>
      </w:r>
    </w:p>
    <w:p w14:paraId="12B800B0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II. Contexto del proyecto y objetivo del cierre</w:t>
      </w:r>
    </w:p>
    <w:p w14:paraId="37FF1822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Contexto.</w:t>
      </w:r>
      <w:r w:rsidRPr="0043602F">
        <w:rPr>
          <w:lang w:val="es-CL"/>
        </w:rPr>
        <w:t xml:space="preserve"> El hundimiento del RMS </w:t>
      </w:r>
      <w:proofErr w:type="spellStart"/>
      <w:r w:rsidRPr="0043602F">
        <w:rPr>
          <w:lang w:val="es-CL"/>
        </w:rPr>
        <w:t>Titanic</w:t>
      </w:r>
      <w:proofErr w:type="spellEnd"/>
      <w:r w:rsidRPr="0043602F">
        <w:rPr>
          <w:lang w:val="es-CL"/>
        </w:rPr>
        <w:t xml:space="preserve"> (1912) es un caso clásico de clasificación binaria: la supervivencia se asocia a sexo, clase, edad y tamaño del grupo de viaje. Se mantuvo el </w:t>
      </w:r>
      <w:proofErr w:type="spellStart"/>
      <w:r w:rsidRPr="0043602F">
        <w:rPr>
          <w:lang w:val="es-CL"/>
        </w:rPr>
        <w:t>dataset</w:t>
      </w:r>
      <w:proofErr w:type="spellEnd"/>
      <w:r w:rsidRPr="0043602F">
        <w:rPr>
          <w:lang w:val="es-CL"/>
        </w:rPr>
        <w:t xml:space="preserve"> de las fases anteriores, la opción más completa para evidenciar transformaciones, variables derivadas, codificación y selección de características (</w:t>
      </w:r>
      <w:proofErr w:type="spellStart"/>
      <w:r w:rsidRPr="0043602F">
        <w:rPr>
          <w:lang w:val="es-CL"/>
        </w:rPr>
        <w:t>Kaggle</w:t>
      </w:r>
      <w:proofErr w:type="spellEnd"/>
      <w:r w:rsidRPr="0043602F">
        <w:rPr>
          <w:lang w:val="es-CL"/>
        </w:rPr>
        <w:t>, s. f.).</w:t>
      </w:r>
    </w:p>
    <w:p w14:paraId="504DB308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Objetivo del cierre.</w:t>
      </w:r>
      <w:r w:rsidRPr="0043602F">
        <w:rPr>
          <w:lang w:val="es-CL"/>
        </w:rPr>
        <w:t xml:space="preserve"> Construir un pipeline reproducible que aplique transformaciones justificadas, derive un número acotado de variables con valor analítico explícito y seleccione características con criterios declarados, dejando el </w:t>
      </w:r>
      <w:proofErr w:type="spellStart"/>
      <w:r w:rsidRPr="0043602F">
        <w:rPr>
          <w:lang w:val="es-CL"/>
        </w:rPr>
        <w:t>dataset</w:t>
      </w:r>
      <w:proofErr w:type="spellEnd"/>
      <w:r w:rsidRPr="0043602F">
        <w:rPr>
          <w:lang w:val="es-CL"/>
        </w:rPr>
        <w:t xml:space="preserve"> listo para modelar sin entrenar ni evaluar un modelo predictivo en esta fase (RA4).</w:t>
      </w:r>
    </w:p>
    <w:p w14:paraId="4FDA1C36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Relación con el análisis previo.</w:t>
      </w:r>
      <w:r w:rsidRPr="0043602F">
        <w:rPr>
          <w:lang w:val="es-CL"/>
        </w:rPr>
        <w:t xml:space="preserve"> Las Fases 2-3 dejaron imputados </w:t>
      </w:r>
      <w:r w:rsidRPr="0043602F">
        <w:rPr>
          <w:rFonts w:ascii="Consolas" w:eastAsia="Consolas" w:hAnsi="Consolas"/>
          <w:sz w:val="19"/>
          <w:lang w:val="es-CL"/>
        </w:rPr>
        <w:t>Age</w:t>
      </w:r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Embarked</w:t>
      </w:r>
      <w:proofErr w:type="spellEnd"/>
      <w:r w:rsidRPr="0043602F">
        <w:rPr>
          <w:lang w:val="es-CL"/>
        </w:rPr>
        <w:t xml:space="preserve">, integrada la fuente </w:t>
      </w:r>
      <w:proofErr w:type="spellStart"/>
      <w:r w:rsidRPr="0043602F">
        <w:rPr>
          <w:lang w:val="es-CL"/>
        </w:rPr>
        <w:t>seaborn</w:t>
      </w:r>
      <w:proofErr w:type="spellEnd"/>
      <w:r w:rsidRPr="0043602F">
        <w:rPr>
          <w:lang w:val="es-CL"/>
        </w:rPr>
        <w:t xml:space="preserve">-data y creadas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Title_agrupado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FamilySize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AgeGroup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Fare_log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Deck_combinado</w:t>
      </w:r>
      <w:proofErr w:type="spellEnd"/>
      <w:r w:rsidRPr="0043602F">
        <w:rPr>
          <w:lang w:val="es-CL"/>
        </w:rPr>
        <w:t xml:space="preserve">. Dos hallazgos de ese EDA motivan la Fase 4: (i) el 13.02 % de </w:t>
      </w:r>
      <w:r w:rsidRPr="0043602F">
        <w:rPr>
          <w:rFonts w:ascii="Consolas" w:eastAsia="Consolas" w:hAnsi="Consolas"/>
          <w:sz w:val="19"/>
          <w:lang w:val="es-CL"/>
        </w:rPr>
        <w:t>Fare</w:t>
      </w:r>
      <w:r w:rsidRPr="0043602F">
        <w:rPr>
          <w:lang w:val="es-CL"/>
        </w:rPr>
        <w:t xml:space="preserve"> son atípicos por IQR y el 92.2 % de ellos comparte </w:t>
      </w:r>
      <w:proofErr w:type="gramStart"/>
      <w:r w:rsidRPr="0043602F">
        <w:rPr>
          <w:rFonts w:ascii="Consolas" w:eastAsia="Consolas" w:hAnsi="Consolas"/>
          <w:sz w:val="19"/>
          <w:lang w:val="es-CL"/>
        </w:rPr>
        <w:t>Ticket</w:t>
      </w:r>
      <w:proofErr w:type="gramEnd"/>
      <w:r w:rsidRPr="0043602F">
        <w:rPr>
          <w:lang w:val="es-CL"/>
        </w:rPr>
        <w:t>; (</w:t>
      </w:r>
      <w:proofErr w:type="spellStart"/>
      <w:r w:rsidRPr="0043602F">
        <w:rPr>
          <w:lang w:val="es-CL"/>
        </w:rPr>
        <w:t>ii</w:t>
      </w:r>
      <w:proofErr w:type="spellEnd"/>
      <w:r w:rsidRPr="0043602F">
        <w:rPr>
          <w:lang w:val="es-CL"/>
        </w:rPr>
        <w:t xml:space="preserve">) el efecto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Pclass</w:t>
      </w:r>
      <w:proofErr w:type="spellEnd"/>
      <w:r w:rsidRPr="0043602F">
        <w:rPr>
          <w:lang w:val="es-CL"/>
        </w:rPr>
        <w:t xml:space="preserve"> sobre la supervivencia difiere por sexo. El notebook lee ambas fuentes desde sus repositorios públicos, reproduce en memoria la preparación de las Fases 2-3 (NB §II.2) y construye el pipeline sobre ese resultado (NB §III).</w:t>
      </w:r>
    </w:p>
    <w:p w14:paraId="7D792971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lastRenderedPageBreak/>
        <w:t>III. Transformaciones y normalizaciones aplicadas</w:t>
      </w:r>
    </w:p>
    <w:p w14:paraId="2C37CE7C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III.1 Diagnóstico de escala y asimetría (NB §IV.1)</w:t>
      </w:r>
    </w:p>
    <w:p w14:paraId="73F93D64" w14:textId="77777777" w:rsidR="008D7A5F" w:rsidRPr="0043602F" w:rsidRDefault="00000000">
      <w:pPr>
        <w:jc w:val="both"/>
        <w:rPr>
          <w:lang w:val="es-CL"/>
        </w:rPr>
      </w:pPr>
      <w:r w:rsidRPr="0043602F">
        <w:rPr>
          <w:lang w:val="es-CL"/>
        </w:rPr>
        <w:t xml:space="preserve">Las Fases 2-3 ya corrigieron la asimetría de </w:t>
      </w:r>
      <w:r w:rsidRPr="0043602F">
        <w:rPr>
          <w:rFonts w:ascii="Consolas" w:eastAsia="Consolas" w:hAnsi="Consolas"/>
          <w:sz w:val="19"/>
          <w:lang w:val="es-CL"/>
        </w:rPr>
        <w:t>Fare</w:t>
      </w:r>
      <w:r w:rsidRPr="0043602F">
        <w:rPr>
          <w:lang w:val="es-CL"/>
        </w:rPr>
        <w:t xml:space="preserve"> (4.78 → 0.39 con </w:t>
      </w:r>
      <w:r w:rsidRPr="0043602F">
        <w:rPr>
          <w:rFonts w:ascii="Consolas" w:eastAsia="Consolas" w:hAnsi="Consolas"/>
          <w:sz w:val="19"/>
          <w:lang w:val="es-CL"/>
        </w:rPr>
        <w:t>log1p</w:t>
      </w:r>
      <w:r w:rsidRPr="0043602F">
        <w:rPr>
          <w:lang w:val="es-CL"/>
        </w:rPr>
        <w:t xml:space="preserve">). Faltaba dejar las variables numéricas en una escala comparable para modelos sensibles a ella (regresión regularizada, KNN, SVM). La asimetría residual es alta en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SibSp</w:t>
      </w:r>
      <w:proofErr w:type="spellEnd"/>
      <w:r w:rsidRPr="0043602F">
        <w:rPr>
          <w:lang w:val="es-CL"/>
        </w:rPr>
        <w:t xml:space="preserve"> (3.69),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Parch</w:t>
      </w:r>
      <w:proofErr w:type="spellEnd"/>
      <w:r w:rsidRPr="0043602F">
        <w:rPr>
          <w:lang w:val="es-CL"/>
        </w:rPr>
        <w:t xml:space="preserve"> (2.74),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FamilySize</w:t>
      </w:r>
      <w:proofErr w:type="spellEnd"/>
      <w:r w:rsidRPr="0043602F">
        <w:rPr>
          <w:lang w:val="es-CL"/>
        </w:rPr>
        <w:t xml:space="preserve"> (2.72)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TicketGroupSize</w:t>
      </w:r>
      <w:proofErr w:type="spellEnd"/>
      <w:r w:rsidRPr="0043602F">
        <w:rPr>
          <w:lang w:val="es-CL"/>
        </w:rPr>
        <w:t xml:space="preserve"> (2.22; NB §V.1), y moderada en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Age_clean</w:t>
      </w:r>
      <w:proofErr w:type="spellEnd"/>
      <w:r w:rsidRPr="0043602F">
        <w:rPr>
          <w:lang w:val="es-CL"/>
        </w:rPr>
        <w:t xml:space="preserve"> (0.53).</w:t>
      </w:r>
    </w:p>
    <w:p w14:paraId="3BB51712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III.2 Transformaciones aplicadas (NB §IV.2 y §VIII)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2232"/>
        <w:gridCol w:w="1512"/>
        <w:gridCol w:w="3672"/>
        <w:gridCol w:w="1944"/>
      </w:tblGrid>
      <w:tr w:rsidR="008D7A5F" w14:paraId="2E3BB194" w14:textId="77777777">
        <w:trPr>
          <w:tblHeader/>
          <w:jc w:val="center"/>
        </w:trPr>
        <w:tc>
          <w:tcPr>
            <w:tcW w:w="2232" w:type="dxa"/>
            <w:shd w:val="clear" w:color="auto" w:fill="1F3864"/>
          </w:tcPr>
          <w:p w14:paraId="2D42DD30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Variables</w:t>
            </w:r>
          </w:p>
        </w:tc>
        <w:tc>
          <w:tcPr>
            <w:tcW w:w="1512" w:type="dxa"/>
            <w:shd w:val="clear" w:color="auto" w:fill="1F3864"/>
          </w:tcPr>
          <w:p w14:paraId="792C577F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8"/>
              </w:rPr>
              <w:t>Operación</w:t>
            </w:r>
            <w:proofErr w:type="spellEnd"/>
          </w:p>
        </w:tc>
        <w:tc>
          <w:tcPr>
            <w:tcW w:w="3672" w:type="dxa"/>
            <w:shd w:val="clear" w:color="auto" w:fill="1F3864"/>
          </w:tcPr>
          <w:p w14:paraId="352593E8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b/>
                <w:color w:val="FFFFFF"/>
                <w:sz w:val="18"/>
                <w:lang w:val="es-CL"/>
              </w:rPr>
              <w:t>Propósito y coherencia con el EDA</w:t>
            </w:r>
          </w:p>
        </w:tc>
        <w:tc>
          <w:tcPr>
            <w:tcW w:w="1944" w:type="dxa"/>
            <w:shd w:val="clear" w:color="auto" w:fill="1F3864"/>
          </w:tcPr>
          <w:p w14:paraId="7DA7ECFD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8"/>
              </w:rPr>
              <w:t>Efecto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en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los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datos</w:t>
            </w:r>
            <w:proofErr w:type="spellEnd"/>
          </w:p>
        </w:tc>
      </w:tr>
      <w:tr w:rsidR="008D7A5F" w14:paraId="0266068B" w14:textId="77777777">
        <w:trPr>
          <w:jc w:val="center"/>
        </w:trPr>
        <w:tc>
          <w:tcPr>
            <w:tcW w:w="2232" w:type="dxa"/>
          </w:tcPr>
          <w:p w14:paraId="4318446C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Fare_per_person_log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FamilySize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TicketGroupSize</w:t>
            </w:r>
            <w:proofErr w:type="spellEnd"/>
          </w:p>
        </w:tc>
        <w:tc>
          <w:tcPr>
            <w:tcW w:w="1512" w:type="dxa"/>
          </w:tcPr>
          <w:p w14:paraId="1505ABEB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RobustScaler</w:t>
            </w:r>
            <w:proofErr w:type="spellEnd"/>
            <w:r w:rsidRPr="0043602F">
              <w:rPr>
                <w:sz w:val="18"/>
                <w:lang w:val="es-CL"/>
              </w:rPr>
              <w:t xml:space="preserve"> (mediana e IQR; sufijo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_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rs</w:t>
            </w:r>
            <w:proofErr w:type="spellEnd"/>
            <w:r w:rsidRPr="0043602F">
              <w:rPr>
                <w:sz w:val="18"/>
                <w:lang w:val="es-CL"/>
              </w:rPr>
              <w:t>)</w:t>
            </w:r>
          </w:p>
        </w:tc>
        <w:tc>
          <w:tcPr>
            <w:tcW w:w="3672" w:type="dxa"/>
          </w:tcPr>
          <w:p w14:paraId="15A11131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Colas de valores legítimos (grupos y familias numerosas). Mediana e IQR no se desplazan con la cola (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</w:t>
            </w:r>
            <w:proofErr w:type="spellEnd"/>
            <w:r w:rsidRPr="0043602F">
              <w:rPr>
                <w:sz w:val="18"/>
                <w:lang w:val="es-CL"/>
              </w:rPr>
              <w:t xml:space="preserve">: media 1.90, mediana 1).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Fare_per_person_log</w:t>
            </w:r>
            <w:proofErr w:type="spellEnd"/>
            <w:r w:rsidRPr="0043602F">
              <w:rPr>
                <w:sz w:val="18"/>
                <w:lang w:val="es-CL"/>
              </w:rPr>
              <w:t xml:space="preserve"> conserva 24 atípicos (2.7 %) vs. 116 de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Fare</w:t>
            </w:r>
            <w:r w:rsidRPr="0043602F">
              <w:rPr>
                <w:sz w:val="18"/>
                <w:lang w:val="es-CL"/>
              </w:rPr>
              <w:t xml:space="preserve"> (NB §IV.2, §VIII).</w:t>
            </w:r>
          </w:p>
        </w:tc>
        <w:tc>
          <w:tcPr>
            <w:tcW w:w="1944" w:type="dxa"/>
          </w:tcPr>
          <w:p w14:paraId="5F1D4ED4" w14:textId="77777777" w:rsidR="008D7A5F" w:rsidRDefault="00000000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t>Mediana = 0 e IQR = 1; extremos conservados (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FamilySize_rs</w:t>
            </w:r>
            <w:proofErr w:type="spellEnd"/>
            <w:r w:rsidRPr="0043602F">
              <w:rPr>
                <w:sz w:val="18"/>
                <w:lang w:val="es-CL"/>
              </w:rPr>
              <w:t xml:space="preserve"> máx. </w:t>
            </w:r>
            <w:r>
              <w:rPr>
                <w:sz w:val="18"/>
              </w:rPr>
              <w:t>= 10.0).</w:t>
            </w:r>
          </w:p>
        </w:tc>
      </w:tr>
      <w:tr w:rsidR="008D7A5F" w14:paraId="7A21221A" w14:textId="77777777">
        <w:trPr>
          <w:jc w:val="center"/>
        </w:trPr>
        <w:tc>
          <w:tcPr>
            <w:tcW w:w="2232" w:type="dxa"/>
          </w:tcPr>
          <w:p w14:paraId="1F15A8B6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Fare_per_person</w:t>
            </w:r>
            <w:proofErr w:type="spellEnd"/>
          </w:p>
        </w:tc>
        <w:tc>
          <w:tcPr>
            <w:tcW w:w="1512" w:type="dxa"/>
          </w:tcPr>
          <w:p w14:paraId="1CF61A06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log1p</w:t>
            </w:r>
          </w:p>
        </w:tc>
        <w:tc>
          <w:tcPr>
            <w:tcW w:w="3672" w:type="dxa"/>
          </w:tcPr>
          <w:p w14:paraId="285122BC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Corrige la cola derecha de la tarifa por persona.</w:t>
            </w:r>
          </w:p>
        </w:tc>
        <w:tc>
          <w:tcPr>
            <w:tcW w:w="1944" w:type="dxa"/>
          </w:tcPr>
          <w:p w14:paraId="4BAE55DF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Asimetría</w:t>
            </w:r>
            <w:proofErr w:type="spellEnd"/>
            <w:r>
              <w:rPr>
                <w:sz w:val="18"/>
              </w:rPr>
              <w:t xml:space="preserve"> 4.37 → 0.33.</w:t>
            </w:r>
          </w:p>
        </w:tc>
      </w:tr>
      <w:tr w:rsidR="008D7A5F" w14:paraId="360B0681" w14:textId="77777777">
        <w:trPr>
          <w:jc w:val="center"/>
        </w:trPr>
        <w:tc>
          <w:tcPr>
            <w:tcW w:w="2232" w:type="dxa"/>
          </w:tcPr>
          <w:p w14:paraId="64263455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Title_agrupado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Sex_Pclass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AgeGroup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Embarked_clean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Deck_combinado</w:t>
            </w:r>
            <w:proofErr w:type="spellEnd"/>
          </w:p>
        </w:tc>
        <w:tc>
          <w:tcPr>
            <w:tcW w:w="1512" w:type="dxa"/>
          </w:tcPr>
          <w:p w14:paraId="28B28882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Codificación </w:t>
            </w:r>
            <w:r w:rsidRPr="0043602F">
              <w:rPr>
                <w:i/>
                <w:sz w:val="18"/>
                <w:lang w:val="es-CL"/>
              </w:rPr>
              <w:t>one-</w:t>
            </w:r>
            <w:proofErr w:type="spellStart"/>
            <w:r w:rsidRPr="0043602F">
              <w:rPr>
                <w:i/>
                <w:sz w:val="18"/>
                <w:lang w:val="es-CL"/>
              </w:rPr>
              <w:t>hot</w:t>
            </w:r>
            <w:proofErr w:type="spellEnd"/>
            <w:r w:rsidRPr="0043602F">
              <w:rPr>
                <w:sz w:val="18"/>
                <w:lang w:val="es-CL"/>
              </w:rPr>
              <w:t xml:space="preserve"> con categoría de referencia (la más frecuente)</w:t>
            </w:r>
          </w:p>
        </w:tc>
        <w:tc>
          <w:tcPr>
            <w:tcW w:w="3672" w:type="dxa"/>
          </w:tcPr>
          <w:p w14:paraId="642B9EB8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Los modelos requieren entradas numéricas; la categoría de referencia evita la colinealidad perfecta y hace interpretable cada coeficiente.</w:t>
            </w:r>
          </w:p>
        </w:tc>
        <w:tc>
          <w:tcPr>
            <w:tcW w:w="1944" w:type="dxa"/>
          </w:tcPr>
          <w:p w14:paraId="7874DB39" w14:textId="77777777" w:rsidR="008D7A5F" w:rsidRDefault="00000000">
            <w:pPr>
              <w:spacing w:after="0" w:line="240" w:lineRule="auto"/>
            </w:pPr>
            <w:r>
              <w:rPr>
                <w:sz w:val="18"/>
              </w:rPr>
              <w:t xml:space="preserve">24 columnas </w:t>
            </w:r>
            <w:proofErr w:type="spellStart"/>
            <w:r>
              <w:rPr>
                <w:sz w:val="18"/>
              </w:rPr>
              <w:t>indicadoras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00552CF" w14:textId="77777777" w:rsidR="008D7A5F" w:rsidRPr="0043602F" w:rsidRDefault="0043602F" w:rsidP="0043602F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t xml:space="preserve">Tabla 1. </w:t>
      </w:r>
      <w:r w:rsidRPr="0043602F">
        <w:rPr>
          <w:i/>
          <w:sz w:val="19"/>
          <w:lang w:val="es-CL"/>
        </w:rPr>
        <w:t>Transformaciones y normalizaciones aplicadas en la Fase 4</w:t>
      </w:r>
    </w:p>
    <w:p w14:paraId="4746C822" w14:textId="77777777" w:rsidR="008D7A5F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BA666" wp14:editId="505B201E">
            <wp:extent cx="6010718" cy="24257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_titanic_escalado_robus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2409" cy="2434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8A0A3" w14:textId="77777777" w:rsidR="0043602F" w:rsidRPr="0043602F" w:rsidRDefault="0043602F" w:rsidP="0043602F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t xml:space="preserve">Figura 1. </w:t>
      </w:r>
      <w:r w:rsidRPr="0043602F">
        <w:rPr>
          <w:i/>
          <w:sz w:val="19"/>
          <w:lang w:val="es-CL"/>
        </w:rPr>
        <w:t xml:space="preserve">Variables numéricas antes y después de </w:t>
      </w:r>
      <w:proofErr w:type="spellStart"/>
      <w:r w:rsidRPr="0043602F">
        <w:rPr>
          <w:rFonts w:ascii="Consolas" w:eastAsia="Consolas" w:hAnsi="Consolas"/>
          <w:i/>
          <w:sz w:val="16"/>
          <w:lang w:val="es-CL"/>
        </w:rPr>
        <w:t>RobustScaler</w:t>
      </w:r>
      <w:proofErr w:type="spellEnd"/>
    </w:p>
    <w:p w14:paraId="0BB7505B" w14:textId="77777777" w:rsidR="0043602F" w:rsidRPr="0043602F" w:rsidRDefault="0043602F">
      <w:pPr>
        <w:spacing w:after="0" w:line="240" w:lineRule="auto"/>
        <w:jc w:val="center"/>
        <w:rPr>
          <w:lang w:val="es-CL"/>
        </w:rPr>
      </w:pPr>
    </w:p>
    <w:p w14:paraId="12925CF3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IV. Variables derivadas o creadas</w:t>
      </w:r>
    </w:p>
    <w:p w14:paraId="14048380" w14:textId="77777777" w:rsidR="008D7A5F" w:rsidRDefault="00000000">
      <w:pPr>
        <w:spacing w:after="40"/>
        <w:jc w:val="both"/>
        <w:rPr>
          <w:lang w:val="es-CL"/>
        </w:rPr>
      </w:pPr>
      <w:r w:rsidRPr="0043602F">
        <w:rPr>
          <w:lang w:val="es-CL"/>
        </w:rPr>
        <w:t>Se crearon dos variables conceptuales, motivadas por hallazgos del EDA, que suman cuatro columnas nuevas (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TicketGroupSize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Fare_per_person_log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), tres en el set final. Ninguna usa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 xml:space="preserve"> ni variables posteriores al hundimiento (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alive</w:t>
      </w:r>
      <w:proofErr w:type="spellEnd"/>
      <w:r w:rsidRPr="0043602F">
        <w:rPr>
          <w:lang w:val="es-CL"/>
        </w:rPr>
        <w:t xml:space="preserve"> se excluye): sin fuga de información (NB §V.3).</w:t>
      </w:r>
    </w:p>
    <w:p w14:paraId="0C357D96" w14:textId="77777777" w:rsidR="00C628CB" w:rsidRDefault="00C628CB">
      <w:pPr>
        <w:spacing w:after="40"/>
        <w:jc w:val="both"/>
        <w:rPr>
          <w:lang w:val="es-CL"/>
        </w:rPr>
      </w:pP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3024"/>
        <w:gridCol w:w="4536"/>
      </w:tblGrid>
      <w:tr w:rsidR="008D7A5F" w:rsidRPr="0043602F" w14:paraId="3F90B5CD" w14:textId="77777777">
        <w:trPr>
          <w:tblHeader/>
          <w:jc w:val="center"/>
        </w:trPr>
        <w:tc>
          <w:tcPr>
            <w:tcW w:w="1800" w:type="dxa"/>
            <w:shd w:val="clear" w:color="auto" w:fill="1F3864"/>
          </w:tcPr>
          <w:p w14:paraId="7B1FA889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3024" w:type="dxa"/>
            <w:shd w:val="clear" w:color="auto" w:fill="1F3864"/>
          </w:tcPr>
          <w:p w14:paraId="08918B71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 xml:space="preserve">Origen y </w:t>
            </w:r>
            <w:proofErr w:type="spellStart"/>
            <w:r>
              <w:rPr>
                <w:b/>
                <w:color w:val="FFFFFF"/>
                <w:sz w:val="18"/>
              </w:rPr>
              <w:t>regla</w:t>
            </w:r>
            <w:proofErr w:type="spellEnd"/>
          </w:p>
        </w:tc>
        <w:tc>
          <w:tcPr>
            <w:tcW w:w="4536" w:type="dxa"/>
            <w:shd w:val="clear" w:color="auto" w:fill="1F3864"/>
          </w:tcPr>
          <w:p w14:paraId="529F2D11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b/>
                <w:color w:val="FFFFFF"/>
                <w:sz w:val="18"/>
                <w:lang w:val="es-CL"/>
              </w:rPr>
              <w:t>Hallazgo que la motiva y valor analítico</w:t>
            </w:r>
          </w:p>
        </w:tc>
      </w:tr>
      <w:tr w:rsidR="008D7A5F" w14:paraId="55936293" w14:textId="77777777">
        <w:trPr>
          <w:jc w:val="center"/>
        </w:trPr>
        <w:tc>
          <w:tcPr>
            <w:tcW w:w="1800" w:type="dxa"/>
          </w:tcPr>
          <w:p w14:paraId="2D9B3E09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Fare_per_person_log</w:t>
            </w:r>
            <w:proofErr w:type="spellEnd"/>
            <w:r>
              <w:rPr>
                <w:sz w:val="18"/>
              </w:rPr>
              <w:br/>
              <w:t xml:space="preserve">(con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TicketGroupSize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024" w:type="dxa"/>
          </w:tcPr>
          <w:p w14:paraId="37A79A77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Ticket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eastAsia="Consolas" w:hAnsi="Consolas"/>
                <w:sz w:val="15"/>
              </w:rPr>
              <w:t>Fare</w:t>
            </w:r>
            <w:r>
              <w:rPr>
                <w:sz w:val="18"/>
              </w:rPr>
              <w:t xml:space="preserve">.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TicketGroupSize</w:t>
            </w:r>
            <w:proofErr w:type="spellEnd"/>
            <w:r>
              <w:rPr>
                <w:sz w:val="18"/>
              </w:rPr>
              <w:t xml:space="preserve"> = </w:t>
            </w:r>
            <w:proofErr w:type="spellStart"/>
            <w:r>
              <w:rPr>
                <w:sz w:val="18"/>
              </w:rPr>
              <w:t>pasajeros</w:t>
            </w:r>
            <w:proofErr w:type="spellEnd"/>
            <w:r>
              <w:rPr>
                <w:sz w:val="18"/>
              </w:rPr>
              <w:t xml:space="preserve"> con el </w:t>
            </w:r>
            <w:proofErr w:type="spellStart"/>
            <w:r>
              <w:rPr>
                <w:sz w:val="18"/>
              </w:rPr>
              <w:t>mismo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Ticket</w:t>
            </w:r>
            <w:r>
              <w:rPr>
                <w:sz w:val="18"/>
              </w:rPr>
              <w:t xml:space="preserve">; </w:t>
            </w:r>
            <w:proofErr w:type="spellStart"/>
            <w:r>
              <w:rPr>
                <w:rFonts w:ascii="Consolas" w:eastAsia="Consolas" w:hAnsi="Consolas"/>
                <w:sz w:val="15"/>
              </w:rPr>
              <w:lastRenderedPageBreak/>
              <w:t>Fare_per_person</w:t>
            </w:r>
            <w:proofErr w:type="spellEnd"/>
            <w:r>
              <w:rPr>
                <w:sz w:val="18"/>
              </w:rPr>
              <w:t xml:space="preserve"> = </w:t>
            </w:r>
            <w:r>
              <w:rPr>
                <w:rFonts w:ascii="Consolas" w:eastAsia="Consolas" w:hAnsi="Consolas"/>
                <w:sz w:val="15"/>
              </w:rPr>
              <w:t>Fare</w:t>
            </w:r>
            <w:r>
              <w:rPr>
                <w:sz w:val="18"/>
              </w:rPr>
              <w:t xml:space="preserve"> /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TicketGroupSize</w:t>
            </w:r>
            <w:proofErr w:type="spellEnd"/>
            <w:r>
              <w:rPr>
                <w:sz w:val="18"/>
              </w:rPr>
              <w:t xml:space="preserve">; luego </w:t>
            </w:r>
            <w:r>
              <w:rPr>
                <w:rFonts w:ascii="Consolas" w:eastAsia="Consolas" w:hAnsi="Consolas"/>
                <w:sz w:val="15"/>
              </w:rPr>
              <w:t>log1p</w:t>
            </w:r>
            <w:r>
              <w:rPr>
                <w:sz w:val="18"/>
              </w:rPr>
              <w:t xml:space="preserve"> (NB §V.1).</w:t>
            </w:r>
          </w:p>
        </w:tc>
        <w:tc>
          <w:tcPr>
            <w:tcW w:w="4536" w:type="dxa"/>
          </w:tcPr>
          <w:p w14:paraId="33DD8DBD" w14:textId="77777777" w:rsidR="008D7A5F" w:rsidRDefault="00000000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lastRenderedPageBreak/>
              <w:t xml:space="preserve">134 </w:t>
            </w:r>
            <w:proofErr w:type="gramStart"/>
            <w:r w:rsidRPr="0043602F">
              <w:rPr>
                <w:sz w:val="18"/>
                <w:lang w:val="es-CL"/>
              </w:rPr>
              <w:t>tickets</w:t>
            </w:r>
            <w:proofErr w:type="gramEnd"/>
            <w:r w:rsidRPr="0043602F">
              <w:rPr>
                <w:sz w:val="18"/>
                <w:lang w:val="es-CL"/>
              </w:rPr>
              <w:t xml:space="preserve"> repetidos agrupan 344 pasajeros: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Fare</w:t>
            </w:r>
            <w:r w:rsidRPr="0043602F">
              <w:rPr>
                <w:sz w:val="18"/>
                <w:lang w:val="es-CL"/>
              </w:rPr>
              <w:t xml:space="preserve"> suele ser tarifa de grupo (separa «pagó más» de «viajó en grupo»). </w:t>
            </w:r>
            <w:proofErr w:type="spellStart"/>
            <w:r>
              <w:rPr>
                <w:rFonts w:ascii="Consolas" w:eastAsia="Consolas" w:hAnsi="Consolas"/>
                <w:sz w:val="15"/>
              </w:rPr>
              <w:lastRenderedPageBreak/>
              <w:t>TicketGroupSize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difiere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rFonts w:ascii="Consolas" w:eastAsia="Consolas" w:hAnsi="Consolas"/>
                <w:sz w:val="15"/>
              </w:rPr>
              <w:t>FamilySize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32.3 %. Con </w:t>
            </w:r>
            <w:r>
              <w:rPr>
                <w:rFonts w:ascii="Consolas" w:eastAsia="Consolas" w:hAnsi="Consolas"/>
                <w:sz w:val="15"/>
              </w:rPr>
              <w:t>Survived</w:t>
            </w:r>
            <w:r>
              <w:rPr>
                <w:sz w:val="18"/>
              </w:rPr>
              <w:t xml:space="preserve">: Mann-Whitney (Mann &amp; Whitney, 1947), p = 6.3×10⁻²¹, r </w:t>
            </w:r>
            <w:proofErr w:type="spellStart"/>
            <w:r>
              <w:rPr>
                <w:sz w:val="18"/>
              </w:rPr>
              <w:t>rango</w:t>
            </w:r>
            <w:proofErr w:type="spellEnd"/>
            <w:r>
              <w:rPr>
                <w:sz w:val="18"/>
              </w:rPr>
              <w:t>-biserial = 0.373 (</w:t>
            </w:r>
            <w:proofErr w:type="spellStart"/>
            <w:r>
              <w:rPr>
                <w:sz w:val="18"/>
              </w:rPr>
              <w:t>medianas</w:t>
            </w:r>
            <w:proofErr w:type="spellEnd"/>
            <w:r>
              <w:rPr>
                <w:sz w:val="18"/>
              </w:rPr>
              <w:t xml:space="preserve"> 8.05 vs. 13.00).</w:t>
            </w:r>
          </w:p>
        </w:tc>
      </w:tr>
      <w:tr w:rsidR="008D7A5F" w:rsidRPr="0043602F" w14:paraId="38FFDCCF" w14:textId="77777777">
        <w:trPr>
          <w:jc w:val="center"/>
        </w:trPr>
        <w:tc>
          <w:tcPr>
            <w:tcW w:w="1800" w:type="dxa"/>
          </w:tcPr>
          <w:p w14:paraId="12399638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lastRenderedPageBreak/>
              <w:t>Sex_Pclass</w:t>
            </w:r>
            <w:proofErr w:type="spellEnd"/>
          </w:p>
        </w:tc>
        <w:tc>
          <w:tcPr>
            <w:tcW w:w="3024" w:type="dxa"/>
          </w:tcPr>
          <w:p w14:paraId="46449CA3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Concatenación de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Sex</w:t>
            </w:r>
            <w:r w:rsidRPr="0043602F">
              <w:rPr>
                <w:sz w:val="18"/>
                <w:lang w:val="es-CL"/>
              </w:rPr>
              <w:t xml:space="preserve">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 en una categórica de 6 niveles (NB §V.2).</w:t>
            </w:r>
          </w:p>
        </w:tc>
        <w:tc>
          <w:tcPr>
            <w:tcW w:w="4536" w:type="dxa"/>
          </w:tcPr>
          <w:p w14:paraId="5139FF31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Supervivencia femenina 96.8 % / 92.1 % / 50.0 % (1.ª/2.ª/3.ª clase) vs. masculina 36.9 % / 15.7 % / 13.5 %. V de </w:t>
            </w:r>
            <w:proofErr w:type="spellStart"/>
            <w:r w:rsidRPr="0043602F">
              <w:rPr>
                <w:sz w:val="18"/>
                <w:lang w:val="es-CL"/>
              </w:rPr>
              <w:t>Cramér</w:t>
            </w:r>
            <w:proofErr w:type="spellEnd"/>
            <w:r w:rsidRPr="0043602F">
              <w:rPr>
                <w:sz w:val="18"/>
                <w:lang w:val="es-CL"/>
              </w:rPr>
              <w:t xml:space="preserve"> (</w:t>
            </w:r>
            <w:proofErr w:type="spellStart"/>
            <w:r w:rsidRPr="0043602F">
              <w:rPr>
                <w:sz w:val="18"/>
                <w:lang w:val="es-CL"/>
              </w:rPr>
              <w:t>Cramér</w:t>
            </w:r>
            <w:proofErr w:type="spellEnd"/>
            <w:r w:rsidRPr="0043602F">
              <w:rPr>
                <w:sz w:val="18"/>
                <w:lang w:val="es-CL"/>
              </w:rPr>
              <w:t>, 1946) = 0.627 (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Sex</w:t>
            </w:r>
            <w:r w:rsidRPr="0043602F">
              <w:rPr>
                <w:sz w:val="18"/>
                <w:lang w:val="es-CL"/>
              </w:rPr>
              <w:t xml:space="preserve"> 0.541;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 0.340). Como cruzar variables siempre suma información, se probó la interacción con </w:t>
            </w:r>
            <w:proofErr w:type="gramStart"/>
            <w:r w:rsidRPr="0043602F">
              <w:rPr>
                <w:sz w:val="18"/>
                <w:lang w:val="es-CL"/>
              </w:rPr>
              <w:t>un test</w:t>
            </w:r>
            <w:proofErr w:type="gramEnd"/>
            <w:r w:rsidRPr="0043602F">
              <w:rPr>
                <w:sz w:val="18"/>
                <w:lang w:val="es-CL"/>
              </w:rPr>
              <w:t xml:space="preserve"> de razón de verosimilitudes contra el modelo aditivo (Wilks, 1938): LR = 28.79, </w:t>
            </w:r>
            <w:proofErr w:type="spellStart"/>
            <w:r w:rsidRPr="0043602F">
              <w:rPr>
                <w:sz w:val="18"/>
                <w:lang w:val="es-CL"/>
              </w:rPr>
              <w:t>gl</w:t>
            </w:r>
            <w:proofErr w:type="spellEnd"/>
            <w:r w:rsidRPr="0043602F">
              <w:rPr>
                <w:sz w:val="18"/>
                <w:lang w:val="es-CL"/>
              </w:rPr>
              <w:t xml:space="preserve"> = 2, p = 5.6×10⁻⁷.</w:t>
            </w:r>
          </w:p>
        </w:tc>
      </w:tr>
    </w:tbl>
    <w:p w14:paraId="4AC6BB27" w14:textId="77777777" w:rsidR="00C628CB" w:rsidRDefault="00C628CB" w:rsidP="00C628CB">
      <w:pPr>
        <w:spacing w:before="80"/>
        <w:jc w:val="center"/>
        <w:rPr>
          <w:b/>
          <w:lang w:val="es-CL"/>
        </w:rPr>
      </w:pPr>
      <w:r w:rsidRPr="0043602F">
        <w:rPr>
          <w:b/>
          <w:sz w:val="19"/>
          <w:lang w:val="es-CL"/>
        </w:rPr>
        <w:t xml:space="preserve">Tabla 2. </w:t>
      </w:r>
      <w:r w:rsidRPr="0043602F">
        <w:rPr>
          <w:i/>
          <w:sz w:val="19"/>
          <w:lang w:val="es-CL"/>
        </w:rPr>
        <w:t>Variables derivadas, lógica de construcción y valor analítico</w:t>
      </w:r>
    </w:p>
    <w:p w14:paraId="4506ABB9" w14:textId="77777777" w:rsidR="008D7A5F" w:rsidRPr="0043602F" w:rsidRDefault="00000000">
      <w:pPr>
        <w:spacing w:before="80"/>
        <w:jc w:val="both"/>
        <w:rPr>
          <w:lang w:val="es-CL"/>
        </w:rPr>
      </w:pPr>
      <w:r w:rsidRPr="0043602F">
        <w:rPr>
          <w:b/>
          <w:lang w:val="es-CL"/>
        </w:rPr>
        <w:t>Matiz:</w:t>
      </w:r>
      <w:r w:rsidRPr="0043602F">
        <w:rPr>
          <w:lang w:val="es-CL"/>
        </w:rPr>
        <w:t xml:space="preserve"> controlando por el tamaño del grupo, el Spearman parcial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Fare_log</w:t>
      </w:r>
      <w:proofErr w:type="spellEnd"/>
      <w:r w:rsidRPr="0043602F">
        <w:rPr>
          <w:lang w:val="es-CL"/>
        </w:rPr>
        <w:t xml:space="preserve"> con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 xml:space="preserve"> cae 17.3 % y el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Fare_per_person_log</w:t>
      </w:r>
      <w:proofErr w:type="spellEnd"/>
      <w:r w:rsidRPr="0043602F">
        <w:rPr>
          <w:lang w:val="es-CL"/>
        </w:rPr>
        <w:t xml:space="preserve"> solo 2.3 % (≈ 11 % ambas con residuos lineales). Como su asociación marginal no supera a la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Fare_log</w:t>
      </w:r>
      <w:proofErr w:type="spellEnd"/>
      <w:r w:rsidRPr="0043602F">
        <w:rPr>
          <w:lang w:val="es-CL"/>
        </w:rPr>
        <w:t xml:space="preserve"> (0.373 frente a 0.384), se prefiere por interpretabilidad, no por mayor relevancia (NB §VI.2).</w:t>
      </w:r>
    </w:p>
    <w:p w14:paraId="2BF6A8E8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V. Selección preliminar de características</w:t>
      </w:r>
    </w:p>
    <w:p w14:paraId="30BA97CF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V.1 Criterios de selección (NB §VI)</w:t>
      </w:r>
    </w:p>
    <w:p w14:paraId="015EBDA4" w14:textId="77777777" w:rsidR="008D7A5F" w:rsidRPr="0043602F" w:rsidRDefault="00000000">
      <w:pPr>
        <w:spacing w:after="40"/>
        <w:jc w:val="both"/>
        <w:rPr>
          <w:lang w:val="es-CL"/>
        </w:rPr>
      </w:pPr>
      <w:r w:rsidRPr="0043602F">
        <w:rPr>
          <w:lang w:val="es-CL"/>
        </w:rPr>
        <w:t xml:space="preserve">(1) Relevancia frente a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 xml:space="preserve"> (V de </w:t>
      </w:r>
      <w:proofErr w:type="spellStart"/>
      <w:r w:rsidRPr="0043602F">
        <w:rPr>
          <w:lang w:val="es-CL"/>
        </w:rPr>
        <w:t>Cramér</w:t>
      </w:r>
      <w:proofErr w:type="spellEnd"/>
      <w:r w:rsidRPr="0043602F">
        <w:rPr>
          <w:lang w:val="es-CL"/>
        </w:rPr>
        <w:t>, rango-</w:t>
      </w:r>
      <w:proofErr w:type="spellStart"/>
      <w:r w:rsidRPr="0043602F">
        <w:rPr>
          <w:lang w:val="es-CL"/>
        </w:rPr>
        <w:t>biserial</w:t>
      </w:r>
      <w:proofErr w:type="spellEnd"/>
      <w:r w:rsidRPr="0043602F">
        <w:rPr>
          <w:lang w:val="es-CL"/>
        </w:rPr>
        <w:t xml:space="preserve"> e información mutua, </w:t>
      </w:r>
      <w:r w:rsidRPr="0043602F">
        <w:rPr>
          <w:i/>
          <w:lang w:val="es-CL"/>
        </w:rPr>
        <w:t>MI</w:t>
      </w:r>
      <w:r w:rsidRPr="0043602F">
        <w:rPr>
          <w:lang w:val="es-CL"/>
        </w:rPr>
        <w:t xml:space="preserve">, en </w:t>
      </w:r>
      <w:proofErr w:type="spellStart"/>
      <w:r w:rsidRPr="0043602F">
        <w:rPr>
          <w:lang w:val="es-CL"/>
        </w:rPr>
        <w:t>nats</w:t>
      </w:r>
      <w:proofErr w:type="spellEnd"/>
      <w:r w:rsidRPr="0043602F">
        <w:rPr>
          <w:lang w:val="es-CL"/>
        </w:rPr>
        <w:t xml:space="preserve">; </w:t>
      </w:r>
      <w:proofErr w:type="spellStart"/>
      <w:r w:rsidRPr="0043602F">
        <w:rPr>
          <w:lang w:val="es-CL"/>
        </w:rPr>
        <w:t>Kraskov</w:t>
      </w:r>
      <w:proofErr w:type="spellEnd"/>
      <w:r w:rsidRPr="0043602F">
        <w:rPr>
          <w:lang w:val="es-CL"/>
        </w:rPr>
        <w:t xml:space="preserve"> et al., 2004), con V leída según Cohen (1988): 0.10 débil, 0.30 moderada, 0.50 fuerte; (2) redundancia, exacta (se elimina) o parcial (se conserva y documenta); (3) interpretabilidad; (4) consistencia: estabilidad del ranking de </w:t>
      </w:r>
      <w:r w:rsidRPr="0043602F">
        <w:rPr>
          <w:i/>
          <w:lang w:val="es-CL"/>
        </w:rPr>
        <w:t>MI</w:t>
      </w:r>
      <w:r w:rsidRPr="0043602F">
        <w:rPr>
          <w:lang w:val="es-CL"/>
        </w:rPr>
        <w:t xml:space="preserve"> en 21 semillas (criterios según Kuhn &amp; Johnson, 2019).</w:t>
      </w:r>
    </w:p>
    <w:p w14:paraId="2A9DDD19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V.2 Decisiones y evidencia de relevancia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1152"/>
        <w:gridCol w:w="2664"/>
        <w:gridCol w:w="5544"/>
      </w:tblGrid>
      <w:tr w:rsidR="008D7A5F" w14:paraId="61DE9206" w14:textId="77777777">
        <w:trPr>
          <w:tblHeader/>
          <w:jc w:val="center"/>
        </w:trPr>
        <w:tc>
          <w:tcPr>
            <w:tcW w:w="1152" w:type="dxa"/>
            <w:shd w:val="clear" w:color="auto" w:fill="1F3864"/>
          </w:tcPr>
          <w:p w14:paraId="0537DB7B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8"/>
              </w:rPr>
              <w:t>Decisión</w:t>
            </w:r>
            <w:proofErr w:type="spellEnd"/>
          </w:p>
        </w:tc>
        <w:tc>
          <w:tcPr>
            <w:tcW w:w="2664" w:type="dxa"/>
            <w:shd w:val="clear" w:color="auto" w:fill="1F3864"/>
          </w:tcPr>
          <w:p w14:paraId="4AEBC308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Variables</w:t>
            </w:r>
          </w:p>
        </w:tc>
        <w:tc>
          <w:tcPr>
            <w:tcW w:w="5544" w:type="dxa"/>
            <w:shd w:val="clear" w:color="auto" w:fill="1F3864"/>
          </w:tcPr>
          <w:p w14:paraId="51A5D4B9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8"/>
              </w:rPr>
              <w:t>Justificación</w:t>
            </w:r>
            <w:proofErr w:type="spellEnd"/>
          </w:p>
        </w:tc>
      </w:tr>
      <w:tr w:rsidR="008D7A5F" w:rsidRPr="0043602F" w14:paraId="613B15C5" w14:textId="77777777">
        <w:trPr>
          <w:jc w:val="center"/>
        </w:trPr>
        <w:tc>
          <w:tcPr>
            <w:tcW w:w="1152" w:type="dxa"/>
          </w:tcPr>
          <w:p w14:paraId="3294E1B2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8"/>
              </w:rPr>
              <w:t>Priorizar</w:t>
            </w:r>
            <w:proofErr w:type="spellEnd"/>
          </w:p>
        </w:tc>
        <w:tc>
          <w:tcPr>
            <w:tcW w:w="2664" w:type="dxa"/>
          </w:tcPr>
          <w:p w14:paraId="14A34AA0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Sex_Pclass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Title_agrupado</w:t>
            </w:r>
            <w:proofErr w:type="spellEnd"/>
          </w:p>
        </w:tc>
        <w:tc>
          <w:tcPr>
            <w:tcW w:w="5544" w:type="dxa"/>
          </w:tcPr>
          <w:p w14:paraId="57729140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Mayor relevancia (V = 0.627 y 0.570, fuertes; </w:t>
            </w:r>
            <w:r w:rsidRPr="0043602F">
              <w:rPr>
                <w:i/>
                <w:sz w:val="18"/>
                <w:lang w:val="es-CL"/>
              </w:rPr>
              <w:t>MI</w:t>
            </w:r>
            <w:r w:rsidRPr="0043602F">
              <w:rPr>
                <w:sz w:val="18"/>
                <w:lang w:val="es-CL"/>
              </w:rPr>
              <w:t xml:space="preserve"> 0.218 y 0.169).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Title_agrupado</w:t>
            </w:r>
            <w:proofErr w:type="spellEnd"/>
            <w:r w:rsidRPr="0043602F">
              <w:rPr>
                <w:sz w:val="18"/>
                <w:lang w:val="es-CL"/>
              </w:rPr>
              <w:t xml:space="preserve"> distingue a los niños (</w:t>
            </w:r>
            <w:proofErr w:type="gramStart"/>
            <w:r w:rsidRPr="0043602F">
              <w:rPr>
                <w:rFonts w:ascii="Consolas" w:eastAsia="Consolas" w:hAnsi="Consolas"/>
                <w:sz w:val="15"/>
                <w:lang w:val="es-CL"/>
              </w:rPr>
              <w:t>Master</w:t>
            </w:r>
            <w:proofErr w:type="gramEnd"/>
            <w:r w:rsidRPr="0043602F">
              <w:rPr>
                <w:sz w:val="18"/>
                <w:lang w:val="es-CL"/>
              </w:rPr>
              <w:t xml:space="preserve">); comparte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Sex_Pclass</w:t>
            </w:r>
            <w:proofErr w:type="spellEnd"/>
            <w:r w:rsidRPr="0043602F">
              <w:rPr>
                <w:sz w:val="18"/>
                <w:lang w:val="es-CL"/>
              </w:rPr>
              <w:t xml:space="preserve"> la información de sexo (R² = 0.989 al predecir Sex desde </w:t>
            </w:r>
            <w:proofErr w:type="spellStart"/>
            <w:r w:rsidRPr="0043602F">
              <w:rPr>
                <w:sz w:val="18"/>
                <w:lang w:val="es-CL"/>
              </w:rPr>
              <w:t>Title_agrupado</w:t>
            </w:r>
            <w:proofErr w:type="spellEnd"/>
            <w:r w:rsidRPr="0043602F">
              <w:rPr>
                <w:sz w:val="18"/>
                <w:lang w:val="es-CL"/>
              </w:rPr>
              <w:t>), pero no de forma exacta.</w:t>
            </w:r>
          </w:p>
        </w:tc>
      </w:tr>
      <w:tr w:rsidR="008D7A5F" w:rsidRPr="0043602F" w14:paraId="6155BE84" w14:textId="77777777">
        <w:trPr>
          <w:jc w:val="center"/>
        </w:trPr>
        <w:tc>
          <w:tcPr>
            <w:tcW w:w="1152" w:type="dxa"/>
          </w:tcPr>
          <w:p w14:paraId="32BF1862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8"/>
              </w:rPr>
              <w:t>Conservar</w:t>
            </w:r>
            <w:proofErr w:type="spellEnd"/>
          </w:p>
        </w:tc>
        <w:tc>
          <w:tcPr>
            <w:tcW w:w="2664" w:type="dxa"/>
          </w:tcPr>
          <w:p w14:paraId="68173E11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Fare_per_person_log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FamilySize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TicketGroupSize</w:t>
            </w:r>
            <w:proofErr w:type="spellEnd"/>
          </w:p>
        </w:tc>
        <w:tc>
          <w:tcPr>
            <w:tcW w:w="5544" w:type="dxa"/>
          </w:tcPr>
          <w:p w14:paraId="5EB5038A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Fare_per_person_log</w:t>
            </w:r>
            <w:proofErr w:type="spellEnd"/>
            <w:r w:rsidRPr="0043602F">
              <w:rPr>
                <w:sz w:val="18"/>
                <w:lang w:val="es-CL"/>
              </w:rPr>
              <w:t xml:space="preserve">: asociación moderada (0.373), menos dependiente del grupo; reemplaza a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Fare_log</w:t>
            </w:r>
            <w:proofErr w:type="spellEnd"/>
            <w:r w:rsidRPr="0043602F">
              <w:rPr>
                <w:sz w:val="18"/>
                <w:lang w:val="es-CL"/>
              </w:rPr>
              <w:t xml:space="preserve"> por interpretabilidad.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</w:t>
            </w:r>
            <w:proofErr w:type="spellEnd"/>
            <w:r w:rsidRPr="0043602F">
              <w:rPr>
                <w:sz w:val="18"/>
                <w:lang w:val="es-CL"/>
              </w:rPr>
              <w:t xml:space="preserve"> (0.173; p = 8×10⁻⁷)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TicketGroupSize</w:t>
            </w:r>
            <w:proofErr w:type="spellEnd"/>
            <w:r w:rsidRPr="0043602F">
              <w:rPr>
                <w:sz w:val="18"/>
                <w:lang w:val="es-CL"/>
              </w:rPr>
              <w:t xml:space="preserve"> (0.188; p = 6×10⁻⁸): débiles pero significativas y conceptos distintos (32.3 %).</w:t>
            </w:r>
          </w:p>
        </w:tc>
      </w:tr>
      <w:tr w:rsidR="008D7A5F" w:rsidRPr="0043602F" w14:paraId="24537555" w14:textId="77777777">
        <w:trPr>
          <w:jc w:val="center"/>
        </w:trPr>
        <w:tc>
          <w:tcPr>
            <w:tcW w:w="1152" w:type="dxa"/>
          </w:tcPr>
          <w:p w14:paraId="317AB1AF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8"/>
              </w:rPr>
              <w:t>Revisar</w:t>
            </w:r>
            <w:proofErr w:type="spellEnd"/>
          </w:p>
        </w:tc>
        <w:tc>
          <w:tcPr>
            <w:tcW w:w="2664" w:type="dxa"/>
          </w:tcPr>
          <w:p w14:paraId="4AFF5759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AgeGroup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Embarked_clean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Deck_combinado</w:t>
            </w:r>
            <w:proofErr w:type="spellEnd"/>
          </w:p>
        </w:tc>
        <w:tc>
          <w:tcPr>
            <w:tcW w:w="5544" w:type="dxa"/>
          </w:tcPr>
          <w:p w14:paraId="40C6C3D4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AgeGroup</w:t>
            </w:r>
            <w:proofErr w:type="spellEnd"/>
            <w:r w:rsidRPr="0043602F">
              <w:rPr>
                <w:sz w:val="18"/>
                <w:lang w:val="es-CL"/>
              </w:rPr>
              <w:t xml:space="preserve"> (V = 0.137)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Embarked_clean</w:t>
            </w:r>
            <w:proofErr w:type="spellEnd"/>
            <w:r w:rsidRPr="0043602F">
              <w:rPr>
                <w:sz w:val="18"/>
                <w:lang w:val="es-CL"/>
              </w:rPr>
              <w:t xml:space="preserve"> (V = 0.171): asociación débil e </w:t>
            </w:r>
            <w:r w:rsidRPr="0043602F">
              <w:rPr>
                <w:i/>
                <w:sz w:val="18"/>
                <w:lang w:val="es-CL"/>
              </w:rPr>
              <w:t>MI</w:t>
            </w:r>
            <w:r w:rsidRPr="0043602F">
              <w:rPr>
                <w:sz w:val="18"/>
                <w:lang w:val="es-CL"/>
              </w:rPr>
              <w:t xml:space="preserve"> marginal (0.009 y 0.014); se mantienen por sentido sustantivo; el puerto refleja en parte la clase (V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 = 0.262).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Deck_combinado</w:t>
            </w:r>
            <w:proofErr w:type="spellEnd"/>
            <w:r w:rsidRPr="0043602F">
              <w:rPr>
                <w:sz w:val="18"/>
                <w:lang w:val="es-CL"/>
              </w:rPr>
              <w:t>: V = 0.334 (moderada), pero 27.8 % de celdas esperadas &lt; 5 y 77.1 % «Desconocida» (no imputada).</w:t>
            </w:r>
          </w:p>
        </w:tc>
      </w:tr>
      <w:tr w:rsidR="008D7A5F" w:rsidRPr="0043602F" w14:paraId="5F5CBFE8" w14:textId="77777777">
        <w:trPr>
          <w:jc w:val="center"/>
        </w:trPr>
        <w:tc>
          <w:tcPr>
            <w:tcW w:w="1152" w:type="dxa"/>
          </w:tcPr>
          <w:p w14:paraId="30C90523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8"/>
              </w:rPr>
              <w:t>Descartar</w:t>
            </w:r>
            <w:proofErr w:type="spellEnd"/>
          </w:p>
        </w:tc>
        <w:tc>
          <w:tcPr>
            <w:tcW w:w="2664" w:type="dxa"/>
          </w:tcPr>
          <w:p w14:paraId="2AD6DF97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Pclass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Age_clean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Sex_bin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Fare_log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FareBand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IsAlone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Age_registrada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Cabin_registrada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who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adult_male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deck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5"/>
              </w:rPr>
              <w:t>embark_town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alone</w:t>
            </w:r>
          </w:p>
        </w:tc>
        <w:tc>
          <w:tcPr>
            <w:tcW w:w="5544" w:type="dxa"/>
          </w:tcPr>
          <w:p w14:paraId="104C6F76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: combinación lineal exacta de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Sex_Pclass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IsAlone</w:t>
            </w:r>
            <w:proofErr w:type="spellEnd"/>
            <w:r w:rsidRPr="0043602F">
              <w:rPr>
                <w:sz w:val="18"/>
                <w:lang w:val="es-CL"/>
              </w:rPr>
              <w:t xml:space="preserve">: función de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Sex_bin</w:t>
            </w:r>
            <w:proofErr w:type="spellEnd"/>
            <w:r w:rsidRPr="0043602F">
              <w:rPr>
                <w:sz w:val="18"/>
                <w:lang w:val="es-CL"/>
              </w:rPr>
              <w:t xml:space="preserve">: V = 0.995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Title_agrupado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Fare_log</w:t>
            </w:r>
            <w:proofErr w:type="spellEnd"/>
            <w:r w:rsidRPr="0043602F">
              <w:rPr>
                <w:sz w:val="18"/>
                <w:lang w:val="es-CL"/>
              </w:rPr>
              <w:t xml:space="preserve">,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FareBand</w:t>
            </w:r>
            <w:proofErr w:type="spellEnd"/>
            <w:r w:rsidRPr="0043602F">
              <w:rPr>
                <w:sz w:val="18"/>
                <w:lang w:val="es-CL"/>
              </w:rPr>
              <w:t xml:space="preserve">: redundantes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Fare_per_person_log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Age_clean</w:t>
            </w:r>
            <w:proofErr w:type="spellEnd"/>
            <w:r w:rsidRPr="0043602F">
              <w:rPr>
                <w:sz w:val="18"/>
                <w:lang w:val="es-CL"/>
              </w:rPr>
              <w:t xml:space="preserve">: Mann-Whitney p = 0.25, pero su </w:t>
            </w:r>
            <w:r w:rsidRPr="0043602F">
              <w:rPr>
                <w:i/>
                <w:sz w:val="18"/>
                <w:lang w:val="es-CL"/>
              </w:rPr>
              <w:t>MI</w:t>
            </w:r>
            <w:r w:rsidRPr="0043602F">
              <w:rPr>
                <w:sz w:val="18"/>
                <w:lang w:val="es-CL"/>
              </w:rPr>
              <w:t xml:space="preserve"> supera a la de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AgeGroup</w:t>
            </w:r>
            <w:proofErr w:type="spellEnd"/>
            <w:r w:rsidRPr="0043602F">
              <w:rPr>
                <w:sz w:val="18"/>
                <w:lang w:val="es-CL"/>
              </w:rPr>
              <w:t xml:space="preserve">; se descarta por imputación (19.9 %) e interpretabilidad (a revalidar).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Age_registrada</w:t>
            </w:r>
            <w:proofErr w:type="spellEnd"/>
            <w:r w:rsidRPr="0043602F">
              <w:rPr>
                <w:sz w:val="18"/>
                <w:lang w:val="es-CL"/>
              </w:rPr>
              <w:t xml:space="preserve">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Cabin_registrada</w:t>
            </w:r>
            <w:proofErr w:type="spellEnd"/>
            <w:r w:rsidRPr="0043602F">
              <w:rPr>
                <w:sz w:val="18"/>
                <w:lang w:val="es-CL"/>
              </w:rPr>
              <w:t xml:space="preserve">: sin señal nueva. Las de </w:t>
            </w:r>
            <w:proofErr w:type="spellStart"/>
            <w:r w:rsidRPr="0043602F">
              <w:rPr>
                <w:sz w:val="18"/>
                <w:lang w:val="es-CL"/>
              </w:rPr>
              <w:t>seaborn</w:t>
            </w:r>
            <w:proofErr w:type="spellEnd"/>
            <w:r w:rsidRPr="0043602F">
              <w:rPr>
                <w:sz w:val="18"/>
                <w:lang w:val="es-CL"/>
              </w:rPr>
              <w:t>-data coinciden con columnas propias (NB §VI.1).</w:t>
            </w:r>
          </w:p>
        </w:tc>
      </w:tr>
    </w:tbl>
    <w:p w14:paraId="043B1069" w14:textId="77777777" w:rsidR="008D7A5F" w:rsidRPr="0043602F" w:rsidRDefault="00C628CB" w:rsidP="00C628CB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lastRenderedPageBreak/>
        <w:t xml:space="preserve">Tabla 3. </w:t>
      </w:r>
      <w:r w:rsidRPr="0043602F">
        <w:rPr>
          <w:i/>
          <w:sz w:val="19"/>
          <w:lang w:val="es-CL"/>
        </w:rPr>
        <w:t>Decisiones de selección preliminar y justificación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408"/>
        <w:gridCol w:w="2952"/>
      </w:tblGrid>
      <w:tr w:rsidR="00E43B54" w14:paraId="357F5148" w14:textId="77777777">
        <w:tc>
          <w:tcPr>
            <w:tcW w:w="6408" w:type="dxa"/>
          </w:tcPr>
          <w:p w14:paraId="68F1398D" w14:textId="77777777" w:rsidR="008D7A5F" w:rsidRDefault="00000000">
            <w:pPr>
              <w:spacing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A8EF1D8" wp14:editId="490CF900">
                  <wp:extent cx="3660277" cy="25527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4_titanic_mutual_informati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5376" cy="2570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39B2EA" w14:textId="77777777" w:rsidR="00C628CB" w:rsidRPr="0043602F" w:rsidRDefault="00C628CB" w:rsidP="00C628CB">
            <w:pPr>
              <w:keepNext/>
              <w:spacing w:before="80" w:after="40" w:line="240" w:lineRule="auto"/>
              <w:ind w:left="720" w:hanging="720"/>
              <w:jc w:val="center"/>
              <w:rPr>
                <w:lang w:val="es-CL"/>
              </w:rPr>
            </w:pPr>
            <w:r w:rsidRPr="0043602F">
              <w:rPr>
                <w:b/>
                <w:sz w:val="19"/>
                <w:lang w:val="es-CL"/>
              </w:rPr>
              <w:t xml:space="preserve">Figura 2. </w:t>
            </w:r>
            <w:r w:rsidRPr="0043602F">
              <w:rPr>
                <w:i/>
                <w:sz w:val="19"/>
                <w:lang w:val="es-CL"/>
              </w:rPr>
              <w:t>Información mutua (</w:t>
            </w:r>
            <w:proofErr w:type="spellStart"/>
            <w:r w:rsidRPr="0043602F">
              <w:rPr>
                <w:i/>
                <w:sz w:val="19"/>
                <w:lang w:val="es-CL"/>
              </w:rPr>
              <w:t>nats</w:t>
            </w:r>
            <w:proofErr w:type="spellEnd"/>
            <w:r w:rsidRPr="0043602F">
              <w:rPr>
                <w:i/>
                <w:sz w:val="19"/>
                <w:lang w:val="es-CL"/>
              </w:rPr>
              <w:t xml:space="preserve">) de las variables candidatas frente a </w:t>
            </w:r>
            <w:proofErr w:type="spellStart"/>
            <w:r w:rsidRPr="0043602F">
              <w:rPr>
                <w:rFonts w:ascii="Consolas" w:eastAsia="Consolas" w:hAnsi="Consolas"/>
                <w:i/>
                <w:sz w:val="16"/>
                <w:lang w:val="es-CL"/>
              </w:rPr>
              <w:t>Survived</w:t>
            </w:r>
            <w:proofErr w:type="spellEnd"/>
            <w:r w:rsidRPr="0043602F">
              <w:rPr>
                <w:i/>
                <w:sz w:val="19"/>
                <w:lang w:val="es-CL"/>
              </w:rPr>
              <w:t xml:space="preserve"> (semilla 42)</w:t>
            </w:r>
          </w:p>
        </w:tc>
        <w:tc>
          <w:tcPr>
            <w:tcW w:w="2952" w:type="dxa"/>
            <w:vAlign w:val="center"/>
          </w:tcPr>
          <w:p w14:paraId="05916293" w14:textId="77777777" w:rsidR="008D7A5F" w:rsidRPr="0043602F" w:rsidRDefault="00000000">
            <w:pPr>
              <w:rPr>
                <w:lang w:val="es-CL"/>
              </w:rPr>
            </w:pPr>
            <w:r w:rsidRPr="0043602F">
              <w:rPr>
                <w:lang w:val="es-CL"/>
              </w:rPr>
              <w:t xml:space="preserve">El ranking es estable en 21 semillas: </w:t>
            </w:r>
            <w:proofErr w:type="spellStart"/>
            <w:r w:rsidRPr="0043602F">
              <w:rPr>
                <w:rFonts w:ascii="Consolas" w:eastAsia="Consolas" w:hAnsi="Consolas"/>
                <w:sz w:val="19"/>
                <w:lang w:val="es-CL"/>
              </w:rPr>
              <w:t>Sex_Pclass</w:t>
            </w:r>
            <w:proofErr w:type="spellEnd"/>
            <w:r w:rsidRPr="0043602F">
              <w:rPr>
                <w:lang w:val="es-CL"/>
              </w:rPr>
              <w:t xml:space="preserve">, </w:t>
            </w:r>
            <w:proofErr w:type="spellStart"/>
            <w:r w:rsidRPr="0043602F">
              <w:rPr>
                <w:rFonts w:ascii="Consolas" w:eastAsia="Consolas" w:hAnsi="Consolas"/>
                <w:sz w:val="19"/>
                <w:lang w:val="es-CL"/>
              </w:rPr>
              <w:t>Title_agrupado</w:t>
            </w:r>
            <w:proofErr w:type="spellEnd"/>
            <w:r w:rsidRPr="0043602F">
              <w:rPr>
                <w:lang w:val="es-CL"/>
              </w:rPr>
              <w:t xml:space="preserve"> y </w:t>
            </w:r>
            <w:proofErr w:type="spellStart"/>
            <w:r w:rsidRPr="0043602F">
              <w:rPr>
                <w:rFonts w:ascii="Consolas" w:eastAsia="Consolas" w:hAnsi="Consolas"/>
                <w:sz w:val="19"/>
                <w:lang w:val="es-CL"/>
              </w:rPr>
              <w:t>Fare_per_person_log</w:t>
            </w:r>
            <w:proofErr w:type="spellEnd"/>
            <w:r w:rsidRPr="0043602F">
              <w:rPr>
                <w:lang w:val="es-CL"/>
              </w:rPr>
              <w:t xml:space="preserve"> siempre encabezan, y </w:t>
            </w:r>
            <w:proofErr w:type="spellStart"/>
            <w:r w:rsidRPr="0043602F">
              <w:rPr>
                <w:rFonts w:ascii="Consolas" w:eastAsia="Consolas" w:hAnsi="Consolas"/>
                <w:sz w:val="19"/>
                <w:lang w:val="es-CL"/>
              </w:rPr>
              <w:t>AgeGroup</w:t>
            </w:r>
            <w:proofErr w:type="spellEnd"/>
            <w:r w:rsidRPr="0043602F">
              <w:rPr>
                <w:lang w:val="es-CL"/>
              </w:rPr>
              <w:t xml:space="preserve"> y </w:t>
            </w:r>
            <w:proofErr w:type="spellStart"/>
            <w:r w:rsidRPr="0043602F">
              <w:rPr>
                <w:rFonts w:ascii="Consolas" w:eastAsia="Consolas" w:hAnsi="Consolas"/>
                <w:sz w:val="19"/>
                <w:lang w:val="es-CL"/>
              </w:rPr>
              <w:t>Embarked_clean</w:t>
            </w:r>
            <w:proofErr w:type="spellEnd"/>
            <w:r w:rsidRPr="0043602F">
              <w:rPr>
                <w:lang w:val="es-CL"/>
              </w:rPr>
              <w:t xml:space="preserve"> cierran; solo varían las continuas (</w:t>
            </w:r>
            <w:proofErr w:type="spellStart"/>
            <w:r w:rsidRPr="0043602F">
              <w:rPr>
                <w:rFonts w:ascii="Consolas" w:eastAsia="Consolas" w:hAnsi="Consolas"/>
                <w:sz w:val="19"/>
                <w:lang w:val="es-CL"/>
              </w:rPr>
              <w:t>Fare_per_person_log</w:t>
            </w:r>
            <w:proofErr w:type="spellEnd"/>
            <w:r w:rsidRPr="0043602F">
              <w:rPr>
                <w:lang w:val="es-CL"/>
              </w:rPr>
              <w:t xml:space="preserve">: 0.092–0.122; </w:t>
            </w:r>
            <w:proofErr w:type="spellStart"/>
            <w:r w:rsidRPr="0043602F">
              <w:rPr>
                <w:rFonts w:ascii="Consolas" w:eastAsia="Consolas" w:hAnsi="Consolas"/>
                <w:sz w:val="19"/>
                <w:lang w:val="es-CL"/>
              </w:rPr>
              <w:t>Age_clean</w:t>
            </w:r>
            <w:proofErr w:type="spellEnd"/>
            <w:r w:rsidRPr="0043602F">
              <w:rPr>
                <w:lang w:val="es-CL"/>
              </w:rPr>
              <w:t xml:space="preserve">: 0.016–0.070). Como la </w:t>
            </w:r>
            <w:r w:rsidRPr="0043602F">
              <w:rPr>
                <w:i/>
                <w:lang w:val="es-CL"/>
              </w:rPr>
              <w:t>MI</w:t>
            </w:r>
            <w:r w:rsidRPr="0043602F">
              <w:rPr>
                <w:lang w:val="es-CL"/>
              </w:rPr>
              <w:t xml:space="preserve"> mezcla dos estimadores no comparables, se lee como orden aproximado y no decide sola los descartes.</w:t>
            </w:r>
          </w:p>
        </w:tc>
      </w:tr>
    </w:tbl>
    <w:p w14:paraId="705E139D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VI. Documentación reproducible del pipeline</w:t>
      </w:r>
    </w:p>
    <w:p w14:paraId="642373C8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VI.1 Registro y organización del notebook</w:t>
      </w:r>
    </w:p>
    <w:p w14:paraId="3F1DA256" w14:textId="77777777" w:rsidR="008D7A5F" w:rsidRPr="0043602F" w:rsidRDefault="00000000">
      <w:pPr>
        <w:spacing w:after="40"/>
        <w:jc w:val="both"/>
        <w:rPr>
          <w:lang w:val="es-CL"/>
        </w:rPr>
      </w:pPr>
      <w:r w:rsidRPr="0043602F">
        <w:rPr>
          <w:lang w:val="es-CL"/>
        </w:rPr>
        <w:t xml:space="preserve">El notebook está ejecutado de punta a punta; lee los datos desde sus fuentes públicas (Data </w:t>
      </w:r>
      <w:proofErr w:type="spellStart"/>
      <w:r w:rsidRPr="0043602F">
        <w:rPr>
          <w:lang w:val="es-CL"/>
        </w:rPr>
        <w:t>Science</w:t>
      </w:r>
      <w:proofErr w:type="spellEnd"/>
      <w:r w:rsidRPr="0043602F">
        <w:rPr>
          <w:lang w:val="es-CL"/>
        </w:rPr>
        <w:t xml:space="preserve"> Dojo, s. f.; Waskom, s. f.), verifica las versiones mínimas de </w:t>
      </w:r>
      <w:r w:rsidRPr="0043602F">
        <w:rPr>
          <w:rFonts w:ascii="Consolas" w:eastAsia="Consolas" w:hAnsi="Consolas"/>
          <w:sz w:val="19"/>
          <w:lang w:val="es-CL"/>
        </w:rPr>
        <w:t>requirements.txt</w:t>
      </w:r>
      <w:r w:rsidRPr="0043602F">
        <w:rPr>
          <w:lang w:val="es-CL"/>
        </w:rPr>
        <w:t xml:space="preserve"> antes de ejecutar (NB §II.1) y usa semilla fija (</w:t>
      </w:r>
      <w:r w:rsidRPr="0043602F">
        <w:rPr>
          <w:rFonts w:ascii="Consolas" w:eastAsia="Consolas" w:hAnsi="Consolas"/>
          <w:sz w:val="19"/>
          <w:lang w:val="es-CL"/>
        </w:rPr>
        <w:t>RANDOM_STATE = 42</w:t>
      </w:r>
      <w:r w:rsidRPr="0043602F">
        <w:rPr>
          <w:lang w:val="es-CL"/>
        </w:rPr>
        <w:t xml:space="preserve">). Cada acción queda en una bitácora de 10 pasos (NB §VII), las decisiones en NB §VI.4 (cifras calculadas en el notebook) y el destino de las 36 columnas en NB §VI.5. Se usaron pandas (McKinney, 2010), </w:t>
      </w:r>
      <w:proofErr w:type="spellStart"/>
      <w:r w:rsidRPr="0043602F">
        <w:rPr>
          <w:lang w:val="es-CL"/>
        </w:rPr>
        <w:t>SciPy</w:t>
      </w:r>
      <w:proofErr w:type="spellEnd"/>
      <w:r w:rsidRPr="0043602F">
        <w:rPr>
          <w:lang w:val="es-CL"/>
        </w:rPr>
        <w:t xml:space="preserve"> (</w:t>
      </w:r>
      <w:proofErr w:type="spellStart"/>
      <w:r w:rsidRPr="0043602F">
        <w:rPr>
          <w:lang w:val="es-CL"/>
        </w:rPr>
        <w:t>Virtanen</w:t>
      </w:r>
      <w:proofErr w:type="spellEnd"/>
      <w:r w:rsidRPr="0043602F">
        <w:rPr>
          <w:lang w:val="es-CL"/>
        </w:rPr>
        <w:t xml:space="preserve"> et al., 2020), </w:t>
      </w:r>
      <w:proofErr w:type="spellStart"/>
      <w:r w:rsidRPr="0043602F">
        <w:rPr>
          <w:lang w:val="es-CL"/>
        </w:rPr>
        <w:t>scikit-learn</w:t>
      </w:r>
      <w:proofErr w:type="spellEnd"/>
      <w:r w:rsidRPr="0043602F">
        <w:rPr>
          <w:lang w:val="es-CL"/>
        </w:rPr>
        <w:t xml:space="preserve"> (Pedregosa et al., 2011), </w:t>
      </w:r>
      <w:proofErr w:type="spellStart"/>
      <w:r w:rsidRPr="0043602F">
        <w:rPr>
          <w:lang w:val="es-CL"/>
        </w:rPr>
        <w:t>seaborn</w:t>
      </w:r>
      <w:proofErr w:type="spellEnd"/>
      <w:r w:rsidRPr="0043602F">
        <w:rPr>
          <w:lang w:val="es-CL"/>
        </w:rPr>
        <w:t xml:space="preserve"> (Waskom, 2021) y la lógica de EDA mínimo viable del curso (Paraíso, 2026).</w:t>
      </w:r>
    </w:p>
    <w:p w14:paraId="6EE99F8C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VI.2 Correspondencia entre los tres productos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3024"/>
        <w:gridCol w:w="3456"/>
        <w:gridCol w:w="2880"/>
      </w:tblGrid>
      <w:tr w:rsidR="00656B5C" w14:paraId="6937946D" w14:textId="77777777" w:rsidTr="0037185C">
        <w:trPr>
          <w:tblHeader/>
          <w:jc w:val="center"/>
        </w:trPr>
        <w:tc>
          <w:tcPr>
            <w:tcW w:w="3024" w:type="dxa"/>
            <w:shd w:val="clear" w:color="auto" w:fill="1F3864"/>
          </w:tcPr>
          <w:p w14:paraId="139AA3B1" w14:textId="77777777" w:rsidR="00656B5C" w:rsidRDefault="00656B5C" w:rsidP="0037185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Informe (PDF)</w:t>
            </w:r>
          </w:p>
        </w:tc>
        <w:tc>
          <w:tcPr>
            <w:tcW w:w="3456" w:type="dxa"/>
            <w:shd w:val="clear" w:color="auto" w:fill="1F3864"/>
          </w:tcPr>
          <w:p w14:paraId="2E866B15" w14:textId="77777777" w:rsidR="00656B5C" w:rsidRDefault="00656B5C" w:rsidP="0037185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Notebook (NB)</w:t>
            </w:r>
          </w:p>
        </w:tc>
        <w:tc>
          <w:tcPr>
            <w:tcW w:w="2880" w:type="dxa"/>
            <w:shd w:val="clear" w:color="auto" w:fill="1F3864"/>
          </w:tcPr>
          <w:p w14:paraId="75C6DDCA" w14:textId="77777777" w:rsidR="00656B5C" w:rsidRDefault="00656B5C" w:rsidP="0037185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Presentación (video)</w:t>
            </w:r>
          </w:p>
        </w:tc>
      </w:tr>
      <w:tr w:rsidR="00656B5C" w14:paraId="171C0025" w14:textId="77777777" w:rsidTr="0037185C">
        <w:trPr>
          <w:jc w:val="center"/>
        </w:trPr>
        <w:tc>
          <w:tcPr>
            <w:tcW w:w="3024" w:type="dxa"/>
          </w:tcPr>
          <w:p w14:paraId="14461828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II. </w:t>
            </w:r>
            <w:proofErr w:type="spellStart"/>
            <w:r>
              <w:rPr>
                <w:sz w:val="18"/>
              </w:rPr>
              <w:t>Contexto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objetivo</w:t>
            </w:r>
            <w:proofErr w:type="spellEnd"/>
          </w:p>
        </w:tc>
        <w:tc>
          <w:tcPr>
            <w:tcW w:w="3456" w:type="dxa"/>
          </w:tcPr>
          <w:p w14:paraId="601961FD" w14:textId="77777777" w:rsidR="00656B5C" w:rsidRDefault="00656B5C" w:rsidP="0037185C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t>I–III. Encabezado, carga y revisión</w:t>
            </w:r>
          </w:p>
        </w:tc>
        <w:tc>
          <w:tcPr>
            <w:tcW w:w="2880" w:type="dxa"/>
          </w:tcPr>
          <w:p w14:paraId="48D10E3C" w14:textId="77777777" w:rsidR="00656B5C" w:rsidRDefault="00656B5C" w:rsidP="0037185C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t xml:space="preserve">I–III. Problema, </w:t>
            </w:r>
            <w:proofErr w:type="spellStart"/>
            <w:r w:rsidRPr="0043602F">
              <w:rPr>
                <w:sz w:val="18"/>
                <w:lang w:val="es-CL"/>
              </w:rPr>
              <w:t>dataset</w:t>
            </w:r>
            <w:proofErr w:type="spellEnd"/>
            <w:r w:rsidRPr="0043602F">
              <w:rPr>
                <w:sz w:val="18"/>
                <w:lang w:val="es-CL"/>
              </w:rPr>
              <w:t xml:space="preserve"> y hallazgos</w:t>
            </w:r>
          </w:p>
        </w:tc>
      </w:tr>
      <w:tr w:rsidR="00656B5C" w14:paraId="6DCDB1FD" w14:textId="77777777" w:rsidTr="0037185C">
        <w:trPr>
          <w:jc w:val="center"/>
        </w:trPr>
        <w:tc>
          <w:tcPr>
            <w:tcW w:w="3024" w:type="dxa"/>
          </w:tcPr>
          <w:p w14:paraId="283E57F2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III–IV. </w:t>
            </w:r>
            <w:proofErr w:type="spellStart"/>
            <w:r>
              <w:rPr>
                <w:sz w:val="18"/>
              </w:rPr>
              <w:t>Transformaciones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derivadas</w:t>
            </w:r>
            <w:proofErr w:type="spellEnd"/>
          </w:p>
        </w:tc>
        <w:tc>
          <w:tcPr>
            <w:tcW w:w="3456" w:type="dxa"/>
          </w:tcPr>
          <w:p w14:paraId="7AC0A3D8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IV–V. </w:t>
            </w:r>
            <w:proofErr w:type="spellStart"/>
            <w:r>
              <w:rPr>
                <w:sz w:val="18"/>
              </w:rPr>
              <w:t>Transformaciones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derivadas</w:t>
            </w:r>
            <w:proofErr w:type="spellEnd"/>
          </w:p>
        </w:tc>
        <w:tc>
          <w:tcPr>
            <w:tcW w:w="2880" w:type="dxa"/>
          </w:tcPr>
          <w:p w14:paraId="4B5A99DE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IV. </w:t>
            </w:r>
            <w:proofErr w:type="spellStart"/>
            <w:r>
              <w:rPr>
                <w:sz w:val="18"/>
              </w:rPr>
              <w:t>Transformaciones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derivadas</w:t>
            </w:r>
            <w:proofErr w:type="spellEnd"/>
          </w:p>
        </w:tc>
      </w:tr>
      <w:tr w:rsidR="00656B5C" w14:paraId="46972326" w14:textId="77777777" w:rsidTr="0037185C">
        <w:trPr>
          <w:jc w:val="center"/>
        </w:trPr>
        <w:tc>
          <w:tcPr>
            <w:tcW w:w="3024" w:type="dxa"/>
          </w:tcPr>
          <w:p w14:paraId="073216AC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V. </w:t>
            </w:r>
            <w:proofErr w:type="spellStart"/>
            <w:r>
              <w:rPr>
                <w:sz w:val="18"/>
              </w:rPr>
              <w:t>Selección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características</w:t>
            </w:r>
            <w:proofErr w:type="spellEnd"/>
          </w:p>
        </w:tc>
        <w:tc>
          <w:tcPr>
            <w:tcW w:w="3456" w:type="dxa"/>
          </w:tcPr>
          <w:p w14:paraId="279C7D5B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VI. </w:t>
            </w:r>
            <w:proofErr w:type="spellStart"/>
            <w:r>
              <w:rPr>
                <w:sz w:val="18"/>
              </w:rPr>
              <w:t>Selección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preliminar</w:t>
            </w:r>
            <w:proofErr w:type="spellEnd"/>
          </w:p>
        </w:tc>
        <w:tc>
          <w:tcPr>
            <w:tcW w:w="2880" w:type="dxa"/>
          </w:tcPr>
          <w:p w14:paraId="3981E0BA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V. </w:t>
            </w:r>
            <w:proofErr w:type="spellStart"/>
            <w:r>
              <w:rPr>
                <w:sz w:val="18"/>
              </w:rPr>
              <w:t>Selección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preliminar</w:t>
            </w:r>
            <w:proofErr w:type="spellEnd"/>
          </w:p>
        </w:tc>
      </w:tr>
      <w:tr w:rsidR="00656B5C" w14:paraId="2436AA64" w14:textId="77777777" w:rsidTr="0037185C">
        <w:trPr>
          <w:jc w:val="center"/>
        </w:trPr>
        <w:tc>
          <w:tcPr>
            <w:tcW w:w="3024" w:type="dxa"/>
          </w:tcPr>
          <w:p w14:paraId="2F2C5201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VI. </w:t>
            </w:r>
            <w:proofErr w:type="spellStart"/>
            <w:r>
              <w:rPr>
                <w:sz w:val="18"/>
              </w:rPr>
              <w:t>Documentación</w:t>
            </w:r>
            <w:proofErr w:type="spellEnd"/>
          </w:p>
        </w:tc>
        <w:tc>
          <w:tcPr>
            <w:tcW w:w="3456" w:type="dxa"/>
          </w:tcPr>
          <w:p w14:paraId="5252CB1A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VII. </w:t>
            </w:r>
            <w:proofErr w:type="spellStart"/>
            <w:r>
              <w:rPr>
                <w:sz w:val="18"/>
              </w:rPr>
              <w:t>Documentación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trazabilidad</w:t>
            </w:r>
            <w:proofErr w:type="spellEnd"/>
          </w:p>
        </w:tc>
        <w:tc>
          <w:tcPr>
            <w:tcW w:w="2880" w:type="dxa"/>
          </w:tcPr>
          <w:p w14:paraId="4D467D03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>Transversal</w:t>
            </w:r>
          </w:p>
        </w:tc>
      </w:tr>
      <w:tr w:rsidR="00656B5C" w:rsidRPr="0043602F" w14:paraId="3C30092D" w14:textId="77777777" w:rsidTr="0037185C">
        <w:trPr>
          <w:jc w:val="center"/>
        </w:trPr>
        <w:tc>
          <w:tcPr>
            <w:tcW w:w="3024" w:type="dxa"/>
          </w:tcPr>
          <w:p w14:paraId="6033910C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VII. </w:t>
            </w:r>
            <w:proofErr w:type="spellStart"/>
            <w:r>
              <w:rPr>
                <w:sz w:val="18"/>
              </w:rPr>
              <w:t>Resultados</w:t>
            </w:r>
            <w:proofErr w:type="spellEnd"/>
          </w:p>
        </w:tc>
        <w:tc>
          <w:tcPr>
            <w:tcW w:w="3456" w:type="dxa"/>
          </w:tcPr>
          <w:p w14:paraId="35506794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VIII. Resultado final del </w:t>
            </w:r>
            <w:proofErr w:type="spellStart"/>
            <w:r w:rsidRPr="0043602F">
              <w:rPr>
                <w:sz w:val="18"/>
                <w:lang w:val="es-CL"/>
              </w:rPr>
              <w:t>dataset</w:t>
            </w:r>
            <w:proofErr w:type="spellEnd"/>
          </w:p>
        </w:tc>
        <w:tc>
          <w:tcPr>
            <w:tcW w:w="2880" w:type="dxa"/>
          </w:tcPr>
          <w:p w14:paraId="68A27A05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VI. Valor analítico del cierre</w:t>
            </w:r>
          </w:p>
        </w:tc>
      </w:tr>
      <w:tr w:rsidR="00656B5C" w:rsidRPr="0043602F" w14:paraId="47CFC23D" w14:textId="77777777" w:rsidTr="0037185C">
        <w:trPr>
          <w:jc w:val="center"/>
        </w:trPr>
        <w:tc>
          <w:tcPr>
            <w:tcW w:w="3024" w:type="dxa"/>
          </w:tcPr>
          <w:p w14:paraId="19DCEAC0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VIII. </w:t>
            </w:r>
            <w:proofErr w:type="spellStart"/>
            <w:r>
              <w:rPr>
                <w:sz w:val="18"/>
              </w:rPr>
              <w:t>Decisiones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limitaciones</w:t>
            </w:r>
            <w:proofErr w:type="spellEnd"/>
          </w:p>
        </w:tc>
        <w:tc>
          <w:tcPr>
            <w:tcW w:w="3456" w:type="dxa"/>
          </w:tcPr>
          <w:p w14:paraId="4B2694B3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IX. Supuestos, limitaciones y cierre</w:t>
            </w:r>
          </w:p>
        </w:tc>
        <w:tc>
          <w:tcPr>
            <w:tcW w:w="2880" w:type="dxa"/>
          </w:tcPr>
          <w:p w14:paraId="222385C6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VII. Limitaciones y cierre final</w:t>
            </w:r>
          </w:p>
        </w:tc>
      </w:tr>
    </w:tbl>
    <w:p w14:paraId="085B78AD" w14:textId="77777777" w:rsidR="00656B5C" w:rsidRDefault="00656B5C" w:rsidP="00656B5C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t xml:space="preserve">Tabla 4. </w:t>
      </w:r>
      <w:r w:rsidRPr="0043602F">
        <w:rPr>
          <w:i/>
          <w:sz w:val="19"/>
          <w:lang w:val="es-CL"/>
        </w:rPr>
        <w:t>Correspondencia entre informe, notebook y presentación</w:t>
      </w:r>
    </w:p>
    <w:p w14:paraId="38314882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VII. Resultados del pipeline y valor analítico del cierre</w:t>
      </w:r>
    </w:p>
    <w:p w14:paraId="55B77DE4" w14:textId="77777777" w:rsidR="008D7A5F" w:rsidRPr="0043602F" w:rsidRDefault="00000000">
      <w:pPr>
        <w:spacing w:after="40"/>
        <w:jc w:val="both"/>
        <w:rPr>
          <w:lang w:val="es-CL"/>
        </w:rPr>
      </w:pPr>
      <w:r w:rsidRPr="0043602F">
        <w:rPr>
          <w:b/>
          <w:lang w:val="es-CL"/>
        </w:rPr>
        <w:t>Decisiones técnicas.</w:t>
      </w:r>
      <w:r w:rsidRPr="0043602F">
        <w:rPr>
          <w:lang w:val="es-CL"/>
        </w:rPr>
        <w:t xml:space="preserve"> Escalado robusto, dos variables derivadas validadas, eliminación de redundancias exactas y codificación </w:t>
      </w:r>
      <w:r w:rsidRPr="0043602F">
        <w:rPr>
          <w:i/>
          <w:lang w:val="es-CL"/>
        </w:rPr>
        <w:t>one-</w:t>
      </w:r>
      <w:proofErr w:type="spellStart"/>
      <w:r w:rsidRPr="0043602F">
        <w:rPr>
          <w:i/>
          <w:lang w:val="es-CL"/>
        </w:rPr>
        <w:t>hot</w:t>
      </w:r>
      <w:proofErr w:type="spellEnd"/>
      <w:r w:rsidRPr="0043602F">
        <w:rPr>
          <w:lang w:val="es-CL"/>
        </w:rPr>
        <w:t xml:space="preserve"> con categoría de referencia (NB §VIII).</w:t>
      </w:r>
    </w:p>
    <w:p w14:paraId="7B65656C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 xml:space="preserve">Mejoras en el </w:t>
      </w:r>
      <w:proofErr w:type="spellStart"/>
      <w:r w:rsidRPr="0043602F">
        <w:rPr>
          <w:b/>
          <w:lang w:val="es-CL"/>
        </w:rPr>
        <w:t>dataset</w:t>
      </w:r>
      <w:proofErr w:type="spellEnd"/>
      <w:r w:rsidRPr="0043602F">
        <w:rPr>
          <w:b/>
          <w:lang w:val="es-CL"/>
        </w:rPr>
        <w:t>.</w:t>
      </w:r>
      <w:r w:rsidRPr="0043602F">
        <w:rPr>
          <w:lang w:val="es-CL"/>
        </w:rPr>
        <w:t xml:space="preserve"> De 891 × 32 a 891 × 29 columnas (27 características más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PassengerId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 xml:space="preserve">): las 36 columnas disponibles tienen destino documentado (NB §VI.5): 14 se descartan según la Tabla 3 (12 por redundancia) y 4 se sustituyeron en las Fases 2-3 (Name, Age, Cabin, </w:t>
      </w:r>
      <w:proofErr w:type="spellStart"/>
      <w:r w:rsidRPr="0043602F">
        <w:rPr>
          <w:lang w:val="es-CL"/>
        </w:rPr>
        <w:t>Embarked</w:t>
      </w:r>
      <w:proofErr w:type="spellEnd"/>
      <w:r w:rsidRPr="0043602F">
        <w:rPr>
          <w:lang w:val="es-CL"/>
        </w:rPr>
        <w:t>). Sin faltantes ni colinealidad exacta (rango completo, 28 de 28).</w:t>
      </w:r>
    </w:p>
    <w:p w14:paraId="7BF0D904" w14:textId="77777777" w:rsidR="008D7A5F" w:rsidRDefault="00000000">
      <w:pPr>
        <w:pStyle w:val="Listaconvietas"/>
        <w:jc w:val="both"/>
      </w:pPr>
      <w:r w:rsidRPr="0043602F">
        <w:rPr>
          <w:b/>
          <w:lang w:val="es-CL"/>
        </w:rPr>
        <w:lastRenderedPageBreak/>
        <w:t>Valor para el modelamiento.</w:t>
      </w:r>
      <w:r w:rsidRPr="0043602F">
        <w:rPr>
          <w:lang w:val="es-CL"/>
        </w:rPr>
        <w:t xml:space="preserve"> La señal dominante (sexo × clase, título, tarifa por persona) sugiere como referencia regresión logística regularizada o árboles;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 permite a un modelo lineal capturar el efecto no aditivo. </w:t>
      </w:r>
      <w:proofErr w:type="spellStart"/>
      <w:r>
        <w:rPr>
          <w:rFonts w:ascii="Consolas" w:eastAsia="Consolas" w:hAnsi="Consolas"/>
          <w:sz w:val="19"/>
        </w:rPr>
        <w:t>PassengerId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excluirse</w:t>
      </w:r>
      <w:proofErr w:type="spellEnd"/>
      <w:r>
        <w:t>.</w:t>
      </w:r>
    </w:p>
    <w:p w14:paraId="61C26729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Valor para la comprensión del problema.</w:t>
      </w:r>
      <w:r w:rsidRPr="0043602F">
        <w:rPr>
          <w:lang w:val="es-CL"/>
        </w:rPr>
        <w:t xml:space="preserve"> La tarifa observada mezcla precio y tamaño de grupo, y el efecto de la clase no es uniforme por sexo: en mujeres cae con fuerza solo en 3.ª clase; en hombres, ya desde la 2.ª (Tabla 2).</w:t>
      </w:r>
    </w:p>
    <w:p w14:paraId="79FC81B5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VIII. Decisiones metodológicas, supuestos y limitaciones</w:t>
      </w:r>
    </w:p>
    <w:p w14:paraId="6708F995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Decisiones.</w:t>
      </w:r>
      <w:r w:rsidRPr="0043602F">
        <w:rPr>
          <w:lang w:val="es-CL"/>
        </w:rPr>
        <w:t xml:space="preserve"> Se reprodujo sin cambios la preparación de las Fases 2-3 sin entrenar un modelo predictivo; la </w:t>
      </w:r>
      <w:proofErr w:type="gramStart"/>
      <w:r w:rsidRPr="0043602F">
        <w:rPr>
          <w:lang w:val="es-CL"/>
        </w:rPr>
        <w:t xml:space="preserve">interacción 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</w:t>
      </w:r>
      <w:proofErr w:type="gramEnd"/>
      <w:r w:rsidRPr="0043602F">
        <w:rPr>
          <w:rFonts w:ascii="Consolas" w:eastAsia="Consolas" w:hAnsi="Consolas"/>
          <w:sz w:val="19"/>
          <w:lang w:val="es-CL"/>
        </w:rPr>
        <w:t>_Pclass</w:t>
      </w:r>
      <w:proofErr w:type="spellEnd"/>
      <w:r w:rsidRPr="0043602F">
        <w:rPr>
          <w:lang w:val="es-CL"/>
        </w:rPr>
        <w:t xml:space="preserve"> se validó con </w:t>
      </w:r>
      <w:proofErr w:type="gramStart"/>
      <w:r w:rsidRPr="0043602F">
        <w:rPr>
          <w:lang w:val="es-CL"/>
        </w:rPr>
        <w:t>un test</w:t>
      </w:r>
      <w:proofErr w:type="gramEnd"/>
      <w:r w:rsidRPr="0043602F">
        <w:rPr>
          <w:lang w:val="es-CL"/>
        </w:rPr>
        <w:t xml:space="preserve"> formal, la </w:t>
      </w:r>
      <w:r w:rsidRPr="0043602F">
        <w:rPr>
          <w:i/>
          <w:lang w:val="es-CL"/>
        </w:rPr>
        <w:t>MI</w:t>
      </w:r>
      <w:r w:rsidRPr="0043602F">
        <w:rPr>
          <w:lang w:val="es-CL"/>
        </w:rPr>
        <w:t xml:space="preserve"> con una prueba de estabilidad y la redundancia con un criterio único (exacta: se elimina; parcial: se documenta).</w:t>
      </w:r>
    </w:p>
    <w:p w14:paraId="5E5BBAA5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Supuestos.</w:t>
      </w:r>
      <w:r w:rsidRPr="0043602F">
        <w:rPr>
          <w:lang w:val="es-CL"/>
        </w:rPr>
        <w:t xml:space="preserve"> Los 15 registros con </w:t>
      </w:r>
      <w:r w:rsidRPr="0043602F">
        <w:rPr>
          <w:rFonts w:ascii="Consolas" w:eastAsia="Consolas" w:hAnsi="Consolas"/>
          <w:sz w:val="19"/>
          <w:lang w:val="es-CL"/>
        </w:rPr>
        <w:t>Fare</w:t>
      </w:r>
      <w:r w:rsidRPr="0043602F">
        <w:rPr>
          <w:lang w:val="es-CL"/>
        </w:rPr>
        <w:t xml:space="preserve"> = 0 (todos varones) se asumen tarifa legítima y se conservan. Los criterios bastan para una selección </w:t>
      </w:r>
      <w:r w:rsidRPr="0043602F">
        <w:rPr>
          <w:i/>
          <w:lang w:val="es-CL"/>
        </w:rPr>
        <w:t>preliminar</w:t>
      </w:r>
      <w:r w:rsidRPr="0043602F">
        <w:rPr>
          <w:lang w:val="es-CL"/>
        </w:rPr>
        <w:t xml:space="preserve">, a revalidar con un modelo (en particular el descarte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Age_clean</w:t>
      </w:r>
      <w:proofErr w:type="spellEnd"/>
      <w:r w:rsidRPr="0043602F">
        <w:rPr>
          <w:lang w:val="es-CL"/>
        </w:rPr>
        <w:t>). La ejecución requiere conexión a internet y que las URL de origen se mantengan disponibles y sin cambios.</w:t>
      </w:r>
    </w:p>
    <w:p w14:paraId="00142CE7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Limitaciones.</w:t>
      </w:r>
      <w:r w:rsidRPr="0043602F">
        <w:rPr>
          <w:lang w:val="es-CL"/>
        </w:rPr>
        <w:t xml:space="preserve">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Deck_combinado</w:t>
      </w:r>
      <w:proofErr w:type="spellEnd"/>
      <w:r w:rsidRPr="0043602F">
        <w:rPr>
          <w:lang w:val="es-CL"/>
        </w:rPr>
        <w:t xml:space="preserve"> es 77.1 % «Desconocida», con 27.8 % de celdas esperadas &lt; 5; persiste redundancia parcial entre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Title_agrupado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; la evidencia es </w:t>
      </w:r>
      <w:proofErr w:type="spellStart"/>
      <w:r w:rsidRPr="0043602F">
        <w:rPr>
          <w:lang w:val="es-CL"/>
        </w:rPr>
        <w:t>univariada</w:t>
      </w:r>
      <w:proofErr w:type="spellEnd"/>
      <w:r w:rsidRPr="0043602F">
        <w:rPr>
          <w:lang w:val="es-CL"/>
        </w:rPr>
        <w:t xml:space="preserve"> y con 891 casos los subgrupos son frágiles. El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RobustScaler</w:t>
      </w:r>
      <w:proofErr w:type="spellEnd"/>
      <w:r w:rsidRPr="0043602F">
        <w:rPr>
          <w:lang w:val="es-CL"/>
        </w:rPr>
        <w:t xml:space="preserve"> se ajustó con todos los registros: al modelar deberá ajustarse solo con el entrenamiento.</w:t>
      </w:r>
    </w:p>
    <w:p w14:paraId="210B4F0B" w14:textId="77777777" w:rsidR="008D7A5F" w:rsidRDefault="00000000">
      <w:pPr>
        <w:pStyle w:val="Ttulo1"/>
      </w:pPr>
      <w:r>
        <w:t xml:space="preserve">IX. </w:t>
      </w:r>
      <w:proofErr w:type="spellStart"/>
      <w:r>
        <w:t>Bibliografía</w:t>
      </w:r>
      <w:proofErr w:type="spellEnd"/>
    </w:p>
    <w:p w14:paraId="49E42A85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Cohen, J. (1988). </w:t>
      </w:r>
      <w:r>
        <w:rPr>
          <w:i/>
          <w:sz w:val="19"/>
        </w:rPr>
        <w:t>Statistical power analysis for the behavioral sciences</w:t>
      </w:r>
      <w:r>
        <w:rPr>
          <w:sz w:val="19"/>
        </w:rPr>
        <w:t xml:space="preserve"> (2.ª ed.). Lawrence Erlbaum Associates.</w:t>
      </w:r>
    </w:p>
    <w:p w14:paraId="51400968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Cramér, H. (1946). </w:t>
      </w:r>
      <w:r>
        <w:rPr>
          <w:i/>
          <w:sz w:val="19"/>
        </w:rPr>
        <w:t>Mathematical methods of statistics</w:t>
      </w:r>
      <w:r>
        <w:rPr>
          <w:sz w:val="19"/>
        </w:rPr>
        <w:t>. Princeton University Press.</w:t>
      </w:r>
    </w:p>
    <w:p w14:paraId="20B5B380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Data Science Dojo. (s. f.). </w:t>
      </w:r>
      <w:r>
        <w:rPr>
          <w:i/>
          <w:sz w:val="19"/>
        </w:rPr>
        <w:t>datasets</w:t>
      </w:r>
      <w:r>
        <w:rPr>
          <w:sz w:val="19"/>
        </w:rPr>
        <w:t xml:space="preserve"> [</w:t>
      </w:r>
      <w:proofErr w:type="spellStart"/>
      <w:r>
        <w:rPr>
          <w:sz w:val="19"/>
        </w:rPr>
        <w:t>Repositorio</w:t>
      </w:r>
      <w:proofErr w:type="spellEnd"/>
      <w:r>
        <w:rPr>
          <w:sz w:val="19"/>
        </w:rPr>
        <w:t xml:space="preserve"> de </w:t>
      </w:r>
      <w:proofErr w:type="spellStart"/>
      <w:r>
        <w:rPr>
          <w:sz w:val="19"/>
        </w:rPr>
        <w:t>datos</w:t>
      </w:r>
      <w:proofErr w:type="spellEnd"/>
      <w:r>
        <w:rPr>
          <w:sz w:val="19"/>
        </w:rPr>
        <w:t>]. GitHub. https://github.com/datasciencedojo/datasets</w:t>
      </w:r>
    </w:p>
    <w:p w14:paraId="75B3EB5F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Kaggle. (s. f.). </w:t>
      </w:r>
      <w:r>
        <w:rPr>
          <w:i/>
          <w:sz w:val="19"/>
        </w:rPr>
        <w:t>Titanic - Machine learning from disaster</w:t>
      </w:r>
      <w:r>
        <w:rPr>
          <w:sz w:val="19"/>
        </w:rPr>
        <w:t xml:space="preserve"> [Conjunto de </w:t>
      </w:r>
      <w:proofErr w:type="spellStart"/>
      <w:r>
        <w:rPr>
          <w:sz w:val="19"/>
        </w:rPr>
        <w:t>datos</w:t>
      </w:r>
      <w:proofErr w:type="spellEnd"/>
      <w:r>
        <w:rPr>
          <w:sz w:val="19"/>
        </w:rPr>
        <w:t>]. https://www.kaggle.com/c/titanic</w:t>
      </w:r>
    </w:p>
    <w:p w14:paraId="12598C5B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Kraskov, A., </w:t>
      </w:r>
      <w:proofErr w:type="spellStart"/>
      <w:r>
        <w:rPr>
          <w:sz w:val="19"/>
        </w:rPr>
        <w:t>Stögbauer</w:t>
      </w:r>
      <w:proofErr w:type="spellEnd"/>
      <w:r>
        <w:rPr>
          <w:sz w:val="19"/>
        </w:rPr>
        <w:t xml:space="preserve">, H., &amp; Grassberger, P. (2004). Estimating mutual information. </w:t>
      </w:r>
      <w:r>
        <w:rPr>
          <w:i/>
          <w:sz w:val="19"/>
        </w:rPr>
        <w:t>Physical Review E, 69</w:t>
      </w:r>
      <w:r>
        <w:rPr>
          <w:sz w:val="19"/>
        </w:rPr>
        <w:t xml:space="preserve">(6), </w:t>
      </w:r>
      <w:proofErr w:type="spellStart"/>
      <w:r>
        <w:rPr>
          <w:sz w:val="19"/>
        </w:rPr>
        <w:t>Artículo</w:t>
      </w:r>
      <w:proofErr w:type="spellEnd"/>
      <w:r>
        <w:rPr>
          <w:sz w:val="19"/>
        </w:rPr>
        <w:t xml:space="preserve"> 066138. https://doi.org/10.1103/PhysRevE.69.066138</w:t>
      </w:r>
    </w:p>
    <w:p w14:paraId="106A47D1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Kuhn, M., &amp; Johnson, K. (2019). </w:t>
      </w:r>
      <w:r>
        <w:rPr>
          <w:i/>
          <w:sz w:val="19"/>
        </w:rPr>
        <w:t>Feature engineering and selection: A practical approach for predictive models</w:t>
      </w:r>
      <w:r>
        <w:rPr>
          <w:sz w:val="19"/>
        </w:rPr>
        <w:t>. CRC Press.</w:t>
      </w:r>
    </w:p>
    <w:p w14:paraId="5851DEB6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Mann, H. B., &amp; Whitney, D. R. (1947). On a test of whether one of two random variables is stochastically larger than the other. </w:t>
      </w:r>
      <w:r>
        <w:rPr>
          <w:i/>
          <w:sz w:val="19"/>
        </w:rPr>
        <w:t>The Annals of Mathematical Statistics, 18</w:t>
      </w:r>
      <w:r>
        <w:rPr>
          <w:sz w:val="19"/>
        </w:rPr>
        <w:t>(1), 50–60. https://doi.org/10.1214/aoms/1177730491</w:t>
      </w:r>
    </w:p>
    <w:p w14:paraId="57D9D863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McKinney, W. (2010). Data structures for statistical computing in Python. </w:t>
      </w:r>
      <w:r>
        <w:rPr>
          <w:i/>
          <w:sz w:val="19"/>
        </w:rPr>
        <w:t>Proceedings of the 9th Python in Science Conference</w:t>
      </w:r>
      <w:r>
        <w:rPr>
          <w:sz w:val="19"/>
        </w:rPr>
        <w:t>, 56–61. https://doi.org/10.25080/Majora-92bf1922-00a</w:t>
      </w:r>
    </w:p>
    <w:p w14:paraId="5B4F39DC" w14:textId="77777777" w:rsidR="008D7A5F" w:rsidRDefault="00000000">
      <w:pPr>
        <w:spacing w:after="30" w:line="240" w:lineRule="auto"/>
        <w:ind w:left="576" w:hanging="576"/>
      </w:pPr>
      <w:r w:rsidRPr="0043602F">
        <w:rPr>
          <w:sz w:val="19"/>
          <w:lang w:val="es-CL"/>
        </w:rPr>
        <w:t xml:space="preserve">Paraíso, S. (2026). </w:t>
      </w:r>
      <w:r w:rsidRPr="0043602F">
        <w:rPr>
          <w:i/>
          <w:sz w:val="19"/>
          <w:lang w:val="es-CL"/>
        </w:rPr>
        <w:t>Resumen aplicado del libro: EDA mínimo viable</w:t>
      </w:r>
      <w:r w:rsidRPr="0043602F">
        <w:rPr>
          <w:sz w:val="19"/>
          <w:lang w:val="es-CL"/>
        </w:rPr>
        <w:t xml:space="preserve"> [Apunte]. </w:t>
      </w:r>
      <w:r>
        <w:rPr>
          <w:sz w:val="19"/>
        </w:rPr>
        <w:t>Universidad Andrés Bello, Santiago, Chile.</w:t>
      </w:r>
    </w:p>
    <w:p w14:paraId="096B9C58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Pedregosa, F., </w:t>
      </w:r>
      <w:proofErr w:type="spellStart"/>
      <w:r>
        <w:rPr>
          <w:sz w:val="19"/>
        </w:rPr>
        <w:t>Varoquaux</w:t>
      </w:r>
      <w:proofErr w:type="spellEnd"/>
      <w:r>
        <w:rPr>
          <w:sz w:val="19"/>
        </w:rPr>
        <w:t xml:space="preserve">, G., </w:t>
      </w:r>
      <w:proofErr w:type="spellStart"/>
      <w:r>
        <w:rPr>
          <w:sz w:val="19"/>
        </w:rPr>
        <w:t>Gramfort</w:t>
      </w:r>
      <w:proofErr w:type="spellEnd"/>
      <w:r>
        <w:rPr>
          <w:sz w:val="19"/>
        </w:rPr>
        <w:t xml:space="preserve">, A., Michel, V., Thirion, B., Grisel, O., Blondel, M., </w:t>
      </w:r>
      <w:proofErr w:type="spellStart"/>
      <w:r>
        <w:rPr>
          <w:sz w:val="19"/>
        </w:rPr>
        <w:t>Prettenhofer</w:t>
      </w:r>
      <w:proofErr w:type="spellEnd"/>
      <w:r>
        <w:rPr>
          <w:sz w:val="19"/>
        </w:rPr>
        <w:t xml:space="preserve">, P., Weiss, R., Dubourg, V., Vanderplas, J., Passos, A., </w:t>
      </w:r>
      <w:proofErr w:type="spellStart"/>
      <w:r>
        <w:rPr>
          <w:sz w:val="19"/>
        </w:rPr>
        <w:t>Cournapeau</w:t>
      </w:r>
      <w:proofErr w:type="spellEnd"/>
      <w:r>
        <w:rPr>
          <w:sz w:val="19"/>
        </w:rPr>
        <w:t xml:space="preserve">, D., Brucher, M., Perrot, M., &amp; Duchesnay, É. (2011). Scikit-learn: Machine learning in Python. </w:t>
      </w:r>
      <w:r>
        <w:rPr>
          <w:i/>
          <w:sz w:val="19"/>
        </w:rPr>
        <w:t>Journal of Machine Learning Research, 12</w:t>
      </w:r>
      <w:r>
        <w:rPr>
          <w:sz w:val="19"/>
        </w:rPr>
        <w:t>, 2825–2830.</w:t>
      </w:r>
    </w:p>
    <w:p w14:paraId="00599345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Virtanen, P., </w:t>
      </w:r>
      <w:proofErr w:type="spellStart"/>
      <w:r>
        <w:rPr>
          <w:sz w:val="19"/>
        </w:rPr>
        <w:t>Gommers</w:t>
      </w:r>
      <w:proofErr w:type="spellEnd"/>
      <w:r>
        <w:rPr>
          <w:sz w:val="19"/>
        </w:rPr>
        <w:t xml:space="preserve">, R., Oliphant, T. E., Haberland, M., Reddy, T., </w:t>
      </w:r>
      <w:proofErr w:type="spellStart"/>
      <w:r>
        <w:rPr>
          <w:sz w:val="19"/>
        </w:rPr>
        <w:t>Cournapeau</w:t>
      </w:r>
      <w:proofErr w:type="spellEnd"/>
      <w:r>
        <w:rPr>
          <w:sz w:val="19"/>
        </w:rPr>
        <w:t xml:space="preserve">, D., Burovski, E., Peterson, P., Weckesser, W., Bright, J., van der Walt, S. J., Brett, M., Wilson, J., Millman, K. J., Mayorov, N., Nelson, A. R. J., Jones, E., Kern, R., Larson, E., … SciPy 1.0 Contributors. (2020). SciPy 1.0: Fundamental algorithms for scientific computing in Python. </w:t>
      </w:r>
      <w:r>
        <w:rPr>
          <w:i/>
          <w:sz w:val="19"/>
        </w:rPr>
        <w:t>Nature Methods, 17</w:t>
      </w:r>
      <w:r>
        <w:rPr>
          <w:sz w:val="19"/>
        </w:rPr>
        <w:t>, 261–272. https://doi.org/10.1038/s41592-019-0686-2</w:t>
      </w:r>
    </w:p>
    <w:p w14:paraId="0773737E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Waskom, M. L. (s. f.). </w:t>
      </w:r>
      <w:proofErr w:type="gramStart"/>
      <w:r>
        <w:rPr>
          <w:i/>
          <w:sz w:val="19"/>
        </w:rPr>
        <w:t>seaborn-data</w:t>
      </w:r>
      <w:proofErr w:type="gramEnd"/>
      <w:r>
        <w:rPr>
          <w:sz w:val="19"/>
        </w:rPr>
        <w:t xml:space="preserve"> [</w:t>
      </w:r>
      <w:proofErr w:type="spellStart"/>
      <w:r>
        <w:rPr>
          <w:sz w:val="19"/>
        </w:rPr>
        <w:t>Repositorio</w:t>
      </w:r>
      <w:proofErr w:type="spellEnd"/>
      <w:r>
        <w:rPr>
          <w:sz w:val="19"/>
        </w:rPr>
        <w:t xml:space="preserve"> de </w:t>
      </w:r>
      <w:proofErr w:type="spellStart"/>
      <w:r>
        <w:rPr>
          <w:sz w:val="19"/>
        </w:rPr>
        <w:t>datos</w:t>
      </w:r>
      <w:proofErr w:type="spellEnd"/>
      <w:r>
        <w:rPr>
          <w:sz w:val="19"/>
        </w:rPr>
        <w:t>]. GitHub. https://github.com/mwaskom/seaborn-data</w:t>
      </w:r>
    </w:p>
    <w:p w14:paraId="73226FCE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Waskom, M. L. (2021). seaborn: Statistical data visualization. </w:t>
      </w:r>
      <w:r>
        <w:rPr>
          <w:i/>
          <w:sz w:val="19"/>
        </w:rPr>
        <w:t xml:space="preserve">Journal of </w:t>
      </w:r>
      <w:proofErr w:type="gramStart"/>
      <w:r>
        <w:rPr>
          <w:i/>
          <w:sz w:val="19"/>
        </w:rPr>
        <w:t>Open Source</w:t>
      </w:r>
      <w:proofErr w:type="gramEnd"/>
      <w:r>
        <w:rPr>
          <w:i/>
          <w:sz w:val="19"/>
        </w:rPr>
        <w:t xml:space="preserve"> Software, 6</w:t>
      </w:r>
      <w:r>
        <w:rPr>
          <w:sz w:val="19"/>
        </w:rPr>
        <w:t xml:space="preserve">(60), </w:t>
      </w:r>
      <w:proofErr w:type="spellStart"/>
      <w:r>
        <w:rPr>
          <w:sz w:val="19"/>
        </w:rPr>
        <w:t>Artículo</w:t>
      </w:r>
      <w:proofErr w:type="spellEnd"/>
      <w:r>
        <w:rPr>
          <w:sz w:val="19"/>
        </w:rPr>
        <w:t xml:space="preserve"> 3021. https://doi.org/10.21105/joss.03021</w:t>
      </w:r>
    </w:p>
    <w:p w14:paraId="0B28218C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Wilks, S. S. (1938). The large-sample distribution of the likelihood ratio for testing composite hypotheses. </w:t>
      </w:r>
      <w:r>
        <w:rPr>
          <w:i/>
          <w:sz w:val="19"/>
        </w:rPr>
        <w:t>The Annals of Mathematical Statistics, 9</w:t>
      </w:r>
      <w:r>
        <w:rPr>
          <w:sz w:val="19"/>
        </w:rPr>
        <w:t>(1), 60–62. https://doi.org/10.1214/aoms/1177732360</w:t>
      </w:r>
    </w:p>
    <w:sectPr w:rsidR="008D7A5F" w:rsidSect="00034616">
      <w:headerReference w:type="default" r:id="rId11"/>
      <w:footerReference w:type="default" r:id="rId12"/>
      <w:pgSz w:w="12240" w:h="15840"/>
      <w:pgMar w:top="1440" w:right="1440" w:bottom="1440" w:left="1440" w:header="648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33257" w14:textId="77777777" w:rsidR="00BF573F" w:rsidRDefault="00BF573F">
      <w:pPr>
        <w:spacing w:after="0" w:line="240" w:lineRule="auto"/>
      </w:pPr>
      <w:r>
        <w:separator/>
      </w:r>
    </w:p>
  </w:endnote>
  <w:endnote w:type="continuationSeparator" w:id="0">
    <w:p w14:paraId="74A86D38" w14:textId="77777777" w:rsidR="00BF573F" w:rsidRDefault="00BF5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E6060" w14:textId="77777777" w:rsidR="008D7A5F" w:rsidRDefault="00000000">
    <w:pPr>
      <w:pStyle w:val="Piedepgina"/>
      <w:pBdr>
        <w:top w:val="single" w:sz="6" w:space="4" w:color="1F3864"/>
      </w:pBdr>
      <w:jc w:val="center"/>
    </w:pPr>
    <w:r>
      <w:rPr>
        <w:noProof/>
      </w:rPr>
      <w:drawing>
        <wp:inline distT="0" distB="0" distL="0" distR="0" wp14:anchorId="6D546F61" wp14:editId="5B41C97B">
          <wp:extent cx="1051560" cy="352024"/>
          <wp:effectExtent l="0" t="0" r="0" b="0"/>
          <wp:docPr id="85217706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51560" cy="3520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96662" w14:textId="77777777" w:rsidR="00BF573F" w:rsidRDefault="00BF573F">
      <w:pPr>
        <w:spacing w:after="0" w:line="240" w:lineRule="auto"/>
      </w:pPr>
      <w:r>
        <w:separator/>
      </w:r>
    </w:p>
  </w:footnote>
  <w:footnote w:type="continuationSeparator" w:id="0">
    <w:p w14:paraId="622AB5A4" w14:textId="77777777" w:rsidR="00BF573F" w:rsidRDefault="00BF5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68669" w14:textId="77777777" w:rsidR="008D7A5F" w:rsidRDefault="00000000">
    <w:pPr>
      <w:pStyle w:val="Encabezado"/>
      <w:pBdr>
        <w:bottom w:val="single" w:sz="6" w:space="4" w:color="1F3864"/>
      </w:pBdr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43602F">
      <w:rPr>
        <w:noProof/>
        <w:sz w:val="18"/>
      </w:rPr>
      <w:t>1</w:t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8724287">
    <w:abstractNumId w:val="8"/>
  </w:num>
  <w:num w:numId="2" w16cid:durableId="1371371990">
    <w:abstractNumId w:val="6"/>
  </w:num>
  <w:num w:numId="3" w16cid:durableId="1855340605">
    <w:abstractNumId w:val="5"/>
  </w:num>
  <w:num w:numId="4" w16cid:durableId="1906180593">
    <w:abstractNumId w:val="4"/>
  </w:num>
  <w:num w:numId="5" w16cid:durableId="495341608">
    <w:abstractNumId w:val="7"/>
  </w:num>
  <w:num w:numId="6" w16cid:durableId="693195252">
    <w:abstractNumId w:val="3"/>
  </w:num>
  <w:num w:numId="7" w16cid:durableId="1946883791">
    <w:abstractNumId w:val="2"/>
  </w:num>
  <w:num w:numId="8" w16cid:durableId="640694577">
    <w:abstractNumId w:val="1"/>
  </w:num>
  <w:num w:numId="9" w16cid:durableId="1164933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8EF"/>
    <w:rsid w:val="0015074B"/>
    <w:rsid w:val="0018647A"/>
    <w:rsid w:val="0029639D"/>
    <w:rsid w:val="00326F90"/>
    <w:rsid w:val="003C6966"/>
    <w:rsid w:val="0043602F"/>
    <w:rsid w:val="00656B5C"/>
    <w:rsid w:val="00777D2B"/>
    <w:rsid w:val="008D7A5F"/>
    <w:rsid w:val="00951BA9"/>
    <w:rsid w:val="00AA1D8D"/>
    <w:rsid w:val="00B47730"/>
    <w:rsid w:val="00B7754A"/>
    <w:rsid w:val="00BF573F"/>
    <w:rsid w:val="00C628CB"/>
    <w:rsid w:val="00CB0664"/>
    <w:rsid w:val="00E40434"/>
    <w:rsid w:val="00E43B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3C4EA"/>
  <w14:defaultImageDpi w14:val="300"/>
  <w15:docId w15:val="{DF201361-65F1-43BD-865E-8E93FBBC3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b/>
      <w:bCs/>
      <w:color w:val="1F3864"/>
      <w:sz w:val="25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b/>
      <w:bCs/>
      <w:color w:val="1F386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2173</Words>
  <Characters>11953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Pipeline exploratorio reproducible — Titanic — MCDI503 Fase 4 (Grupo 5)</dc:title>
  <dc:subject/>
  <dc:creator>Grupo 5 — MCDI503</dc:creator>
  <cp:keywords/>
  <dc:description>generated by python-docx</dc:description>
  <cp:lastModifiedBy>Sebastian Navarrete</cp:lastModifiedBy>
  <cp:revision>7</cp:revision>
  <dcterms:created xsi:type="dcterms:W3CDTF">2013-12-23T23:15:00Z</dcterms:created>
  <dcterms:modified xsi:type="dcterms:W3CDTF">2026-09-24T23:39:00Z</dcterms:modified>
  <cp:category/>
  <dc:language>es-CL</dc:language>
</cp:coreProperties>
</file>