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Informe de la Comisión Académica</w:t>
      </w:r>
    </w:p>
    <w:p>
      <w:pPr>
        <w:spacing w:before="0" w:after="360" w:line="240" w:lineRule="auto"/>
        <w:jc w:val="center"/>
      </w:pPr>
      <w:r>
        <w:rPr>
          <w:rFonts w:ascii="Century Gothic" w:hAnsi="Century Gothic" w:cs="Century Gothic" w:eastAsia="Century Gothic"/>
          <w:b/>
          <w:i w:val="0"/>
          <w:sz w:val="28"/>
        </w:rPr>
        <w:t>Rediseño Curricular de la Licenciatura en Contaduría Pública</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A:</w:t>
            </w:r>
            <w:r>
              <w:rPr>
                <w:rFonts w:ascii="Century Gothic" w:hAnsi="Century Gothic" w:cs="Century Gothic" w:eastAsia="Century Gothic"/>
                <w:b w:val="0"/>
                <w:i w:val="0"/>
                <w:sz w:val="20"/>
              </w:rPr>
              <w:t xml:space="preserve"> Honorable Consejo de Carrera de Contaduría Pública</w:t>
            </w:r>
          </w:p>
          <w:p>
            <w:pPr>
              <w:spacing w:before="60" w:after="60" w:line="240" w:lineRule="auto"/>
              <w:jc w:val="both"/>
            </w:pPr>
            <w:r>
              <w:rPr>
                <w:rFonts w:ascii="Century Gothic" w:hAnsi="Century Gothic" w:cs="Century Gothic" w:eastAsia="Century Gothic"/>
                <w:b/>
                <w:i w:val="0"/>
                <w:sz w:val="20"/>
              </w:rPr>
              <w:t>DE:</w:t>
            </w:r>
            <w:r>
              <w:rPr>
                <w:rFonts w:ascii="Century Gothic" w:hAnsi="Century Gothic" w:cs="Century Gothic" w:eastAsia="Century Gothic"/>
                <w:b w:val="0"/>
                <w:i w:val="0"/>
                <w:sz w:val="20"/>
              </w:rPr>
              <w:t xml:space="preserve"> Comisión Académica del Rediseño Curricular</w:t>
            </w:r>
          </w:p>
          <w:p>
            <w:pPr>
              <w:spacing w:before="60" w:after="60" w:line="240" w:lineRule="auto"/>
              <w:jc w:val="both"/>
            </w:pPr>
            <w:r>
              <w:rPr>
                <w:rFonts w:ascii="Century Gothic" w:hAnsi="Century Gothic" w:cs="Century Gothic" w:eastAsia="Century Gothic"/>
                <w:b/>
                <w:i w:val="0"/>
                <w:sz w:val="20"/>
              </w:rPr>
              <w:t>REF.:</w:t>
            </w:r>
            <w:r>
              <w:rPr>
                <w:rFonts w:ascii="Century Gothic" w:hAnsi="Century Gothic" w:cs="Century Gothic" w:eastAsia="Century Gothic"/>
                <w:b w:val="0"/>
                <w:i w:val="0"/>
                <w:sz w:val="20"/>
              </w:rPr>
              <w:t xml:space="preserve"> Informe de la Comisión Académica sobre el Rediseño Curricular de la Licenciatura en Contaduría Pública, en cumplimiento del Artículo 15 de la Resolución HCU N.º 032/2025</w:t>
            </w:r>
          </w:p>
          <w:p>
            <w:pPr>
              <w:spacing w:before="60" w:after="60" w:line="240" w:lineRule="auto"/>
              <w:jc w:val="both"/>
            </w:pPr>
            <w:r>
              <w:rPr>
                <w:rFonts w:ascii="Century Gothic" w:hAnsi="Century Gothic" w:cs="Century Gothic" w:eastAsia="Century Gothic"/>
                <w:b/>
                <w:i w:val="0"/>
                <w:sz w:val="20"/>
              </w:rPr>
              <w:t>FECHA:</w:t>
            </w:r>
            <w:r>
              <w:rPr>
                <w:rFonts w:ascii="Century Gothic" w:hAnsi="Century Gothic" w:cs="Century Gothic" w:eastAsia="Century Gothic"/>
                <w:b w:val="0"/>
                <w:i w:val="0"/>
                <w:sz w:val="20"/>
                <w:highlight w:val="yellow"/>
              </w:rPr>
              <w:t xml:space="preserve"> La Paz, (completar) de octubre de 2026</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La Comisión Académica del Rediseño Curricular, elegida en la Asamblea Docente Estudiantil del 4 de septiembre de 2026 y aprobada por la Resolución del Honorable Consejo Facultativo N.º 1126/2026, presenta al Honorable Consejo de Carrera el documento de Rediseño Curricular de la Licenciatura en Contaduría Pública, junto con el presente informe, conforme al Artículo 15, parágrafo II, numerales 3 y 4, de la Resolución HCU N.º 032/2025, Reglamento de Innovación Curricular de la Universidad Mayor de San Andrés.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w:t>
        <w:tab/>
      </w:r>
      <w:r>
        <w:rPr>
          <w:rFonts w:ascii="Century Gothic" w:hAnsi="Century Gothic" w:cs="Century Gothic" w:eastAsia="Century Gothic"/>
          <w:b/>
          <w:i w:val="0"/>
          <w:sz w:val="24"/>
        </w:rPr>
        <w:t>Antecedentes normativos</w:t>
      </w:r>
    </w:p>
    <w:p>
      <w:pPr>
        <w:spacing w:before="0" w:after="200" w:line="240" w:lineRule="auto"/>
        <w:jc w:val="both"/>
      </w:pPr>
      <w:r>
        <w:rPr>
          <w:rFonts w:ascii="Century Gothic" w:hAnsi="Century Gothic" w:cs="Century Gothic" w:eastAsia="Century Gothic"/>
          <w:b w:val="0"/>
          <w:i w:val="0"/>
          <w:sz w:val="20"/>
        </w:rPr>
        <w:t>El Rediseño Curricular se desarrolló en el marco de las siguientes normas:</w:t>
      </w:r>
    </w:p>
    <w:p>
      <w:pPr>
        <w:keepNext/>
        <w:spacing w:before="40" w:after="80" w:line="240" w:lineRule="auto"/>
        <w:jc w:val="center"/>
      </w:pPr>
      <w:r>
        <w:rPr>
          <w:rFonts w:ascii="Century Gothic" w:hAnsi="Century Gothic" w:cs="Century Gothic" w:eastAsia="Century Gothic"/>
          <w:b/>
          <w:i w:val="0"/>
          <w:sz w:val="20"/>
        </w:rPr>
        <w:t>Cuadro 1. Normativa aplicada</w:t>
      </w:r>
    </w:p>
    <w:tbl>
      <w:tblPr>
        <w:tblW w:type="auto" w:w="0"/>
        <w:jc w:val="center"/>
        <w:tblLayout w:type="fixed"/>
        <w:tblLook w:firstColumn="1" w:firstRow="1" w:lastColumn="0" w:lastRow="0" w:noHBand="0" w:noVBand="1" w:val="04A0"/>
      </w:tblPr>
      <w:tblGrid>
        <w:gridCol w:w="3118"/>
        <w:gridCol w:w="5953"/>
      </w:tblGrid>
      <w:tr>
        <w:trPr>
          <w:tblHeader/>
        </w:trPr>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Norma</w:t>
            </w:r>
          </w:p>
        </w:tc>
        <w:tc>
          <w:tcPr>
            <w:tcW w:type="dxa" w:w="595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Contenido aplicable al Rediseño Curricular</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Resolución HCU N.º 032/2025, de 12 de febrero de 2025, Reglamento de Innovación Curricular de la UMSA</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Define los niveles de innovación curricular (Artículos 4 a 7), la estructura de contenidos de los planes de estudio en 16 puntos (Artículo 8), los criterios de calidad para la evaluación ex ante (Artículos 11 y 12), la evidencia comparativa (Artículo 13), el principio de transitabilidad (Artículo 14) y el procedimiento de aprobación (Artículo 15).</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Artículo 5 de la Resolución HCU N.º 032/2025, nivel de rediseño</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rediseño reformula el perfil de egreso con base en el análisis del contexto y del mercado laboral, actualiza la estructura curricular y los planes de asignatura, y puede implementar títulos intermedios. Se efectúa obligatoriamente cada siete años, por declaración de necesidad, y se somete a evaluación ex ante de Secretaría Académica.</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Resoluciones HCC N.º 162/2012, HCF N.º 929/2012 y HCU N.º 025/2013</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Aprueban el Plan de Estudios 2013, vigente desde febrero de 2013, con cinco años, 43 asignaturas y 6.000 horas académicas.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Resolución HCU N.º 290/2016</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Aprueba la denominación de Técnico Superior en Contabilidad General para los estudiantes de la Carrera.</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Resolución HCU N.º 426/2024</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Aprueba la salida intermedia de Técnico Universitario Medio en Contabilidad.</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Resolución HCF N.º 1013/2026</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Aprueba el Plan Estratégico Institucional de la Facultad 2026-2030, cuyo objetivo estratégico OE 1.3 prevé actualizar los planes de estudio bajo el modelo educativo de la UMSA.</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Resolución HCF N.º 1057/2026, de 25 de agosto de 2026</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Aprueba el Diagnóstico de la Carrera y la Declaratoria de Necesidad de Rediseño Curricular, autoriza la convocatoria a Asamblea Docente Estudiantil para el 4 de septiembre de 2026, fija la composición de la Comisión Académica y dispone que esta elabore su plan de trabajo y cronograma y organice las subcomisiones de trabajo en paridad docente estudiantil.</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Resolución HCF N.º 1126/2026, de 10 de septiembre de 2026</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Aprueba la conformación de la Comisión Académica para el Rediseño Curricular.</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Reglamento General de Títulos y Grados del Sistema de la Universidad Boliviana, Artículo 28</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Fija en 6.000 horas académicas la carga máxima de la licenciatura.</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Justificación del rediseño curricular</w:t>
      </w:r>
    </w:p>
    <w:p>
      <w:pPr>
        <w:spacing w:before="0" w:after="200" w:line="240" w:lineRule="auto"/>
        <w:jc w:val="both"/>
      </w:pPr>
      <w:r>
        <w:rPr>
          <w:rFonts w:ascii="Century Gothic" w:hAnsi="Century Gothic" w:cs="Century Gothic" w:eastAsia="Century Gothic"/>
          <w:b w:val="0"/>
          <w:i w:val="0"/>
          <w:sz w:val="20"/>
        </w:rPr>
        <w:t>El Plan de Estudios 2013 lleva trece años en vigencia, casi el doble del plazo de siete años que el Artículo 5 de la Resolución HCU N.º 032/2025 fija para el rediseño. El Diagnóstico de la Carrera, aprobado por la Resolución HCF N.º 1057/2026, y el análisis del punto 3 del documento de Rediseño Curricular sustentan la declaratoria de necesidad en cinco fuentes: los resultados estadísticos del Plan 2013, el estudio de mercado laboral de Ipsos CIESMORI de diciembre de 2025, aplicado a 160 egresados, el análisis FODA del Instituto de Investigaciones de 2025, la actualización de la normativa contable y de auditoría, y la oferta curricular nacional e internacional.</w:t>
      </w:r>
    </w:p>
    <w:p>
      <w:pPr>
        <w:spacing w:before="0" w:after="200" w:line="240" w:lineRule="auto"/>
        <w:jc w:val="both"/>
      </w:pPr>
      <w:r>
        <w:rPr>
          <w:rFonts w:ascii="Century Gothic" w:hAnsi="Century Gothic" w:cs="Century Gothic" w:eastAsia="Century Gothic"/>
          <w:b w:val="0"/>
          <w:i w:val="0"/>
          <w:sz w:val="20"/>
        </w:rPr>
        <w:t>Las necesidades de formación que justifican el rediseño son las siguientes:</w:t>
      </w:r>
    </w:p>
    <w:p>
      <w:pPr>
        <w:keepNext/>
        <w:spacing w:before="40" w:after="80" w:line="240" w:lineRule="auto"/>
        <w:jc w:val="center"/>
      </w:pPr>
      <w:r>
        <w:rPr>
          <w:rFonts w:ascii="Century Gothic" w:hAnsi="Century Gothic" w:cs="Century Gothic" w:eastAsia="Century Gothic"/>
          <w:b/>
          <w:i w:val="0"/>
          <w:sz w:val="20"/>
        </w:rPr>
        <w:t>Cuadro 2. Necesidades de formación que justifican el rediseño</w:t>
      </w:r>
    </w:p>
    <w:tbl>
      <w:tblPr>
        <w:tblW w:type="auto" w:w="0"/>
        <w:jc w:val="center"/>
        <w:tblLayout w:type="fixed"/>
        <w:tblLook w:firstColumn="1" w:firstRow="1" w:lastColumn="0" w:lastRow="0" w:noHBand="0" w:noVBand="1" w:val="04A0"/>
      </w:tblPr>
      <w:tblGrid>
        <w:gridCol w:w="3118"/>
        <w:gridCol w:w="5953"/>
      </w:tblGrid>
      <w:tr>
        <w:trPr>
          <w:tblHeader/>
        </w:trPr>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Necesidad de formación</w:t>
            </w:r>
          </w:p>
        </w:tc>
        <w:tc>
          <w:tcPr>
            <w:tcW w:type="dxa" w:w="595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Evidencia</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Perfil del Contador Público actualizado</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perfil de 2013 está orientado a la auditoría financiera y no responde al perfil profesional vigente.</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Actualización del núcleo contable, tributario y de auditoría</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NIIF para las PYMES, tercera edición; NIA 315 revisada; NIA para Entidades Menos Complejas; Código del IESBA.</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Información y aseguramiento de sostenibilidad</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Resolución CTNAC N.º 01/2024, exigible en 2027, y NIAS 5000.</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Eje tecnológico transversal</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Brechas de 43 a 51 puntos porcentuales en habilidades tecnológicas; solo el 5 % de los egresados recibió formación en software.</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Prácticas preprofesionales obligatorias</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Plan 2013 no las contemplaba; el 88 % de los estudiantes respalda su obligatoriedad desde el tercer año.</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Liderazgo, gestión y comunicación</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Brechas de 37 a 40 puntos porcentuales entre la necesidad laboral y la formación recibida.</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Inglés técnico contable</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Lo demandan el 89 % de los estudiantes y el 83 % de los docentes en el FODA.</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Titulación e investigación</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69,73 % se titula por examen de grado, el 0,16 % por tesis y el 21 % de los egresados no tiene título.</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Flexibilidad y grados intermedios</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85 % de los estudiantes siente presión para abandonar la Carrera; criterio de articulación del Artículo 11.</w:t>
            </w:r>
          </w:p>
        </w:tc>
      </w:tr>
    </w:tbl>
    <w:p>
      <w:pPr>
        <w:spacing w:before="40" w:after="200" w:line="240" w:lineRule="auto"/>
        <w:jc w:val="left"/>
      </w:pPr>
      <w:r>
        <w:rPr>
          <w:rFonts w:ascii="Century Gothic" w:hAnsi="Century Gothic" w:cs="Century Gothic" w:eastAsia="Century Gothic"/>
          <w:b w:val="0"/>
          <w:i w:val="0"/>
          <w:sz w:val="16"/>
        </w:rPr>
        <w:t>Fuente: punto 3 del documento de Rediseño Curricular, Cuadros 22 y 33.</w:t>
      </w:r>
    </w:p>
    <w:p>
      <w:pPr>
        <w:spacing w:before="0" w:after="200" w:line="240" w:lineRule="auto"/>
        <w:jc w:val="both"/>
      </w:pPr>
      <w:r>
        <w:rPr>
          <w:rFonts w:ascii="Century Gothic" w:hAnsi="Century Gothic" w:cs="Century Gothic" w:eastAsia="Century Gothic"/>
          <w:b w:val="0"/>
          <w:i w:val="0"/>
          <w:sz w:val="20"/>
        </w:rPr>
        <w:t>Estas necesidades exigen reformular el perfil de egreso, la estructura curricular y los planes de asignatura, e implementar el título intermedio de Técnico Universitario Medio. Por ello corresponde el nivel de rediseño del Artículo 5 y no el de ajuste del Artículo 6, que no admite un nuevo perfil de egreso ni una nueva estructura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Nombramiento de la Comisión Académica</w:t>
      </w:r>
    </w:p>
    <w:p>
      <w:pPr>
        <w:spacing w:before="0" w:after="200" w:line="240" w:lineRule="auto"/>
        <w:jc w:val="both"/>
      </w:pPr>
      <w:r>
        <w:rPr>
          <w:rFonts w:ascii="Century Gothic" w:hAnsi="Century Gothic" w:cs="Century Gothic" w:eastAsia="Century Gothic"/>
          <w:b w:val="0"/>
          <w:i w:val="0"/>
          <w:sz w:val="20"/>
        </w:rPr>
        <w:t>Conforme al Artículo 15, parágrafo II, numeral 2, de la Resolución HCU N.º 032/2025 y al Artículo Tercero de la Resolución HCF N.º 1057/2026, la Asamblea Docente Estudiantil de la Carrera se realizó el viernes 4 de septiembre de 2026, con suspensión de actividades académicas para garantizar la participación de ambos estamentos. En ella se dio a conocer el Diagnóstico de la Carrera, se presentaron los fundamentos de la Declaratoria de Necesidad y se eligió a los miembros de la Comisión Académica.</w:t>
      </w:r>
    </w:p>
    <w:p>
      <w:pPr>
        <w:spacing w:before="0" w:after="200" w:line="240" w:lineRule="auto"/>
        <w:jc w:val="both"/>
      </w:pPr>
      <w:r>
        <w:rPr>
          <w:rFonts w:ascii="Century Gothic" w:hAnsi="Century Gothic" w:cs="Century Gothic" w:eastAsia="Century Gothic"/>
          <w:b w:val="0"/>
          <w:i w:val="0"/>
          <w:sz w:val="20"/>
        </w:rPr>
        <w:t>La Comisión se conformó con la composición del Artículo 15 y del Artículo Cuarto de la Resolución HCF N.º 1057/2026: el Director de Carrera, quien la preside, cinco docentes entre titulares, contratados e interinos, y cinco estudiantes. No pueden integrarla docentes ni estudiantes que ejerzan funciones de gobierno estamentario o de cogobierno. La Resolución HCF N.º 1126/2026, de 10 de septiembre de 2026, aprobó su conformación.</w:t>
      </w:r>
    </w:p>
    <w:p>
      <w:pPr>
        <w:keepNext/>
        <w:spacing w:before="40" w:after="80" w:line="240" w:lineRule="auto"/>
        <w:jc w:val="center"/>
      </w:pPr>
      <w:r>
        <w:rPr>
          <w:rFonts w:ascii="Century Gothic" w:hAnsi="Century Gothic" w:cs="Century Gothic" w:eastAsia="Century Gothic"/>
          <w:b/>
          <w:i w:val="0"/>
          <w:sz w:val="20"/>
        </w:rPr>
        <w:t>Cuadro 3. Integrantes de la Comisión Académica</w:t>
      </w:r>
    </w:p>
    <w:tbl>
      <w:tblPr>
        <w:tblW w:type="auto" w:w="0"/>
        <w:jc w:val="center"/>
        <w:tblLayout w:type="fixed"/>
        <w:tblLook w:firstColumn="1" w:firstRow="1" w:lastColumn="0" w:lastRow="0" w:noHBand="0" w:noVBand="1" w:val="04A0"/>
      </w:tblPr>
      <w:tblGrid>
        <w:gridCol w:w="2268"/>
        <w:gridCol w:w="3969"/>
        <w:gridCol w:w="2835"/>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Estamento</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Nombre</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Función en la Comisión</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Director de Carrera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MSc. René Mejía Flores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Presidente</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Docente</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yellow"/>
              </w:rPr>
              <w:t>(completar)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Secretario docente</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Docente</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yellow"/>
              </w:rPr>
              <w:t>(completar)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Miembro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Docente</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yellow"/>
              </w:rPr>
              <w:t>(completar)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Miembro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Docente</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yellow"/>
              </w:rPr>
              <w:t>(completar)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Miembro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Docente</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yellow"/>
              </w:rPr>
              <w:t>(completar)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Miembro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Estudiante</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yellow"/>
              </w:rPr>
              <w:t>(completar)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Secretario estudiantil</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Estudiante</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yellow"/>
              </w:rPr>
              <w:t>(completar)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Miembro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Estudiante</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yellow"/>
              </w:rPr>
              <w:t>(completar)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Miembro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Estudiante</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yellow"/>
              </w:rPr>
              <w:t>(completar)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Miembro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Estudiante</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highlight w:val="yellow"/>
              </w:rPr>
              <w:t>(completar)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Miembro</w:t>
            </w:r>
          </w:p>
        </w:tc>
      </w:tr>
    </w:tbl>
    <w:p>
      <w:pPr>
        <w:spacing w:before="40" w:after="200" w:line="240" w:lineRule="auto"/>
        <w:jc w:val="left"/>
      </w:pPr>
      <w:r>
        <w:rPr>
          <w:rFonts w:ascii="Century Gothic" w:hAnsi="Century Gothic" w:cs="Century Gothic" w:eastAsia="Century Gothic"/>
          <w:b w:val="0"/>
          <w:i w:val="0"/>
          <w:sz w:val="16"/>
        </w:rPr>
        <w:t>Fuente: Resolución HCF N.º 1126/2026.</w:t>
      </w:r>
    </w:p>
    <w:p>
      <w:pPr>
        <w:spacing w:before="0" w:after="200" w:line="240" w:lineRule="auto"/>
        <w:jc w:val="both"/>
      </w:pPr>
      <w:r>
        <w:rPr>
          <w:rFonts w:ascii="Century Gothic" w:hAnsi="Century Gothic" w:cs="Century Gothic" w:eastAsia="Century Gothic"/>
          <w:b w:val="0"/>
          <w:i w:val="0"/>
          <w:sz w:val="20"/>
        </w:rPr>
        <w:t>Conforme al numeral 3 del Artículo 15, la Comisión designó un secretario docente y un secretario estudiantil, encargados de llevar las actas de reuniones y de la redacción del documento de innovación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w:t>
        <w:tab/>
      </w:r>
      <w:r>
        <w:rPr>
          <w:rFonts w:ascii="Century Gothic" w:hAnsi="Century Gothic" w:cs="Century Gothic" w:eastAsia="Century Gothic"/>
          <w:b/>
          <w:i w:val="0"/>
          <w:sz w:val="24"/>
        </w:rPr>
        <w:t>Desarrollo del trabajo</w:t>
      </w:r>
    </w:p>
    <w:p>
      <w:pPr>
        <w:spacing w:before="0" w:after="200" w:line="240" w:lineRule="auto"/>
        <w:jc w:val="both"/>
      </w:pPr>
      <w:r>
        <w:rPr>
          <w:rFonts w:ascii="Century Gothic" w:hAnsi="Century Gothic" w:cs="Century Gothic" w:eastAsia="Century Gothic"/>
          <w:b w:val="0"/>
          <w:i w:val="0"/>
          <w:sz w:val="20"/>
        </w:rPr>
        <w:t>En cumplimiento del Artículo Quinto de la Resolución HCF N.º 1057/2026, la Comisión Académica elaboró su plan de trabajo y cronograma, y organizó el proceso en las siguientes fases:</w:t>
      </w:r>
    </w:p>
    <w:p>
      <w:pPr>
        <w:keepNext/>
        <w:spacing w:before="40" w:after="80" w:line="240" w:lineRule="auto"/>
        <w:jc w:val="center"/>
      </w:pPr>
      <w:r>
        <w:rPr>
          <w:rFonts w:ascii="Century Gothic" w:hAnsi="Century Gothic" w:cs="Century Gothic" w:eastAsia="Century Gothic"/>
          <w:b/>
          <w:i w:val="0"/>
          <w:sz w:val="20"/>
        </w:rPr>
        <w:t>Cuadro 4. Fases del trabajo de la Comisión Académica</w:t>
      </w:r>
    </w:p>
    <w:tbl>
      <w:tblPr>
        <w:tblW w:type="auto" w:w="0"/>
        <w:jc w:val="center"/>
        <w:tblLayout w:type="fixed"/>
        <w:tblLook w:firstColumn="1" w:firstRow="1" w:lastColumn="0" w:lastRow="0" w:noHBand="0" w:noVBand="1" w:val="04A0"/>
      </w:tblPr>
      <w:tblGrid>
        <w:gridCol w:w="1814"/>
        <w:gridCol w:w="4706"/>
        <w:gridCol w:w="2551"/>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Fase</w:t>
            </w:r>
          </w:p>
        </w:tc>
        <w:tc>
          <w:tcPr>
            <w:tcW w:type="dxa" w:w="470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Actividades</w:t>
            </w:r>
          </w:p>
        </w:tc>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Producto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 Organización</w:t>
            </w:r>
          </w:p>
        </w:tc>
        <w:tc>
          <w:tcPr>
            <w:tcW w:type="dxa" w:w="47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Aprobación del plan de trabajo y cronograma; conformación de las subcomisiones de trabajo en paridad docente estudiantil; asignación de los puntos del Artículo 8 y de las asignaturas por área.</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Plan de trabajo, cronograma y subcomisiones conformadas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 Insumos</w:t>
            </w:r>
          </w:p>
        </w:tc>
        <w:tc>
          <w:tcPr>
            <w:tcW w:type="dxa" w:w="47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Recopilación del Diagnóstico de la Carrera, el estudio de Ipsos CIESMORI, el FODA del Instituto de Investigaciones, el Plan de Estudios 2013, la normativa universitaria y profesional, el relevamiento de infraestructura y los datos estadísticos de 2026.</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Documentos base para las subcomisiones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3. Elaboración por subcomisiones</w:t>
            </w:r>
          </w:p>
        </w:tc>
        <w:tc>
          <w:tcPr>
            <w:tcW w:type="dxa" w:w="47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Desarrollo de los 16 puntos del Artículo 8 por las subcomisiones por punto y de los 43 planes de asignatura por las subcomisiones por área, con la guía de llenado del itinerario formativo y el formato de informe final por asignatura.</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Documentos por punto e informes de las subcomisiones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4. Revisión y retroalimentación</w:t>
            </w:r>
          </w:p>
        </w:tc>
        <w:tc>
          <w:tcPr>
            <w:tcW w:type="dxa" w:w="47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Revisión de los informes de las subcomisiones en plenaria de Comisión; verificación de cumplimiento de la Resolución HCU N.º 032/2025; devolución de observaciones y correcciones.</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Informe de observaciones y recomendaciones; informes de corrección por asignatura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5. Consolidación</w:t>
            </w:r>
          </w:p>
        </w:tc>
        <w:tc>
          <w:tcPr>
            <w:tcW w:type="dxa" w:w="47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Integración de los puntos en un solo documento con formato único, terminología uniforme, índice general e índice de cuadros; incorporación de las propuestas aprobadas por la Comisión.</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Documento de Rediseño Curricular</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6. Presentación</w:t>
            </w:r>
          </w:p>
        </w:tc>
        <w:tc>
          <w:tcPr>
            <w:tcW w:type="dxa" w:w="47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Aprobación del documento y del presente informe en plenaria de Comisión; presentación al Honorable Consejo de Carrera.</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Informe de la Comisión Académica</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Reuniones de la Comisión Académica y subcomisiones de trabajo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5.1</w:t>
        <w:tab/>
      </w:r>
      <w:r>
        <w:rPr>
          <w:rFonts w:ascii="Century Gothic" w:hAnsi="Century Gothic" w:cs="Century Gothic" w:eastAsia="Century Gothic"/>
          <w:b/>
          <w:i w:val="0"/>
          <w:sz w:val="24"/>
        </w:rPr>
        <w:t>Reuniones y actos del proceso</w:t>
      </w:r>
    </w:p>
    <w:p>
      <w:pPr>
        <w:spacing w:before="0" w:after="200" w:line="240" w:lineRule="auto"/>
        <w:jc w:val="both"/>
      </w:pPr>
      <w:r>
        <w:rPr>
          <w:rFonts w:ascii="Century Gothic" w:hAnsi="Century Gothic" w:cs="Century Gothic" w:eastAsia="Century Gothic"/>
          <w:b w:val="0"/>
          <w:i w:val="0"/>
          <w:sz w:val="20"/>
        </w:rPr>
        <w:t>Las reuniones de la Comisión Académica y los actos principales del proceso constan en las actas a cargo de los secretarios docente y estudiantil:</w:t>
      </w:r>
    </w:p>
    <w:p>
      <w:pPr>
        <w:keepNext/>
        <w:spacing w:before="40" w:after="80" w:line="240" w:lineRule="auto"/>
        <w:jc w:val="center"/>
      </w:pPr>
      <w:r>
        <w:rPr>
          <w:rFonts w:ascii="Century Gothic" w:hAnsi="Century Gothic" w:cs="Century Gothic" w:eastAsia="Century Gothic"/>
          <w:b/>
          <w:i w:val="0"/>
          <w:sz w:val="20"/>
        </w:rPr>
        <w:t>Cuadro 5. Reuniones y actos del proceso de rediseño</w:t>
      </w:r>
    </w:p>
    <w:tbl>
      <w:tblPr>
        <w:tblW w:type="auto" w:w="0"/>
        <w:jc w:val="center"/>
        <w:tblLayout w:type="fixed"/>
        <w:tblLook w:firstColumn="1" w:firstRow="1" w:lastColumn="0" w:lastRow="0" w:noHBand="0" w:noVBand="1" w:val="04A0"/>
      </w:tblPr>
      <w:tblGrid>
        <w:gridCol w:w="1304"/>
        <w:gridCol w:w="2041"/>
        <w:gridCol w:w="3855"/>
        <w:gridCol w:w="1871"/>
      </w:tblGrid>
      <w:tr>
        <w:trPr>
          <w:tblHeader/>
        </w:trPr>
        <w:tc>
          <w:tcPr>
            <w:tcW w:type="dxa" w:w="130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Fecha</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Instancia</w:t>
            </w:r>
          </w:p>
        </w:tc>
        <w:tc>
          <w:tcPr>
            <w:tcW w:type="dxa" w:w="38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Actividad o decisión</w:t>
            </w:r>
          </w:p>
        </w:tc>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Respaldo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25/08/2026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Honorable Consejo Facultativo</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Aprueba el Diagnóstico de la Carrera y la Declaratoria de Necesidad de Rediseño Curricular</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Resolución HCF N.º 1057/2026</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04/09/2026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Asamblea Docente Estudiantil</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Conoce el Diagnóstico y la Declaratoria de Necesidad; elige a la Comisión Académica</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Acta de la Asamblea</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10/09/2026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Honorable Consejo Facultativo</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Aprueba la conformación de la Comisión Académica</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Resolución HCF N.º 1126/2026</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(completar)</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Comisión Académica</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Sesión de instalación; designación de secretarios; aprobación del plan de trabajo y cronograma; conformación de las subcomisiones de trabajo</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Acta N.º 1</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(completar)</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Comisión Académica</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Seguimiento del avance de las subcomisiones</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Acta N.º (completar)</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13/10/2026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Subcomisiones de trabajo</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Entrega de los documentos de los puntos del Artículo 8</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Control de entregas</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(completar)</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Plenaria de Comisión</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Revisión de los informes de las subcomisiones y aprobación de las observaciones y recomendaciones</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Acta N.º (completar)</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(completar)</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Subcomisiones por área</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Entrega de los 43 planes de asignatura con sus informes finales</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Informes finales por asignatura</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(completar)</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Plenaria de Comisión</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Decisión sobre las propuestas para el cumplimiento de la Resolución HCU N.º 032/2025</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Acta N.º (completar)</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(completar)</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Plenaria de Comisión</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Aprobación del documento de Rediseño Curricular y del presente informe</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Acta N.º (completar)</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5.2</w:t>
        <w:tab/>
      </w:r>
      <w:r>
        <w:rPr>
          <w:rFonts w:ascii="Century Gothic" w:hAnsi="Century Gothic" w:cs="Century Gothic" w:eastAsia="Century Gothic"/>
          <w:b/>
          <w:i w:val="0"/>
          <w:sz w:val="24"/>
        </w:rPr>
        <w:t>Subcomisiones de trabajo por punto del Artículo 8</w:t>
      </w:r>
    </w:p>
    <w:p>
      <w:pPr>
        <w:spacing w:before="0" w:after="200" w:line="240" w:lineRule="auto"/>
        <w:jc w:val="both"/>
      </w:pPr>
      <w:r>
        <w:rPr>
          <w:rFonts w:ascii="Century Gothic" w:hAnsi="Century Gothic" w:cs="Century Gothic" w:eastAsia="Century Gothic"/>
          <w:b w:val="0"/>
          <w:i w:val="0"/>
          <w:sz w:val="20"/>
        </w:rPr>
        <w:t>Conforme al numeral 3 del Artículo 15 y al Artículo Sexto de la Resolución HCF N.º 1057/2026, la Comisión Académica conformó subcomisiones de trabajo en paridad docente estudiantil, con un responsable de cada estamento, y les asignó los puntos del Artículo 8 de la Resolución HCU N.º 032/2025:</w:t>
      </w:r>
    </w:p>
    <w:p>
      <w:pPr>
        <w:keepNext/>
        <w:spacing w:before="40" w:after="80" w:line="240" w:lineRule="auto"/>
        <w:jc w:val="center"/>
      </w:pPr>
      <w:r>
        <w:rPr>
          <w:rFonts w:ascii="Century Gothic" w:hAnsi="Century Gothic" w:cs="Century Gothic" w:eastAsia="Century Gothic"/>
          <w:b/>
          <w:i w:val="0"/>
          <w:sz w:val="20"/>
        </w:rPr>
        <w:t>Cuadro 6. Subcomisiones de trabajo por punto</w:t>
      </w:r>
    </w:p>
    <w:tbl>
      <w:tblPr>
        <w:tblW w:type="auto" w:w="0"/>
        <w:jc w:val="center"/>
        <w:tblLayout w:type="fixed"/>
        <w:tblLook w:firstColumn="1" w:firstRow="1" w:lastColumn="0" w:lastRow="0" w:noHBand="0" w:noVBand="1" w:val="04A0"/>
      </w:tblPr>
      <w:tblGrid>
        <w:gridCol w:w="1247"/>
        <w:gridCol w:w="3175"/>
        <w:gridCol w:w="2324"/>
        <w:gridCol w:w="2324"/>
      </w:tblGrid>
      <w:tr>
        <w:trPr>
          <w:tblHeader/>
        </w:trPr>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Punto</w:t>
            </w:r>
          </w:p>
        </w:tc>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Contenido</w:t>
            </w:r>
          </w:p>
        </w:tc>
        <w:tc>
          <w:tcPr>
            <w:tcW w:type="dxa" w:w="23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Responsable docente</w:t>
            </w:r>
          </w:p>
        </w:tc>
        <w:tc>
          <w:tcPr>
            <w:tcW w:type="dxa" w:w="23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Responsable estudiantil</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Identificación del programa/carrera</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Edwin Gutiérrez Zapana</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Alarcon Pablo Alejandro</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Antecedentes</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Coordinación de la Comisión Académica (completar)</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Coordinación de la Comisión Académica (completar)</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3.1 a 3.3</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Justificación: resultados del plan anterior, políticas y normas, contexto y mercado laboral</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Alberto Mendoza Mendoza</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Ayrton Javier Quisbert Fernandez</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3.4 y 3.5</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Justificación: ciencia y tecnología, oferta curricular nacional e internacional</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Humberto Quintanilla Muñoz</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Beymar Adalid Paucara Marquez</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4.1.1 y 4.1.2</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Fundamentos epistemológicos y sociológicos antropológicos</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Freddy Huanca Mamani</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Katherin Fabiola Ali Quispe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4.1.3 a 4.1.5</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Fundamentos psicológicos, educativos y axiológicos</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Jorge Cespedes Esteves</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Taiz Alejandra Cano Chuyma</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4.2</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Referentes disciplinares</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Hinojosa (completar)</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Melany Sarah Chavez Condori</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4.3.1 y 4.3.2</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Modelo curricular y principios del modelo</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Mendoza Elias (completar)</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Gisela Leila Fernandez Cazas</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4.3.3 a 4.3.5</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Objetivos del rediseño y duración de la Carrera</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Madeny (completar)</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Melisa Canaviri</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4.4 y 8</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Estructura curricular y organización del proceso curricular</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Coordinación de la Comisión Académica (completar)</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Coordinación de la Comisión Académica (completar)</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4.6 a 4.8</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Estrategias de aprendizaje y enseñanza, evaluación y prácticas preprofesionales</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Coordinación de la Comisión Académica (completar)</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Coordinación de la Comisión Académica (completar)</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5.1 y 5.2</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Perfil del postulante y modalidades de admisión</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Daniel Laura Choque</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Sandra Alison Maidana Mamani</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5.3 y 5.4</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Permanencia y modalidades de graduación</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Jorge Ordoñez Oporto</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Josue Pilco Tito</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6</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Investigación</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Jorge Cespedes Esteves</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Gustavo Adolfo Aguilar Huanca</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7</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Interacción social y extensión universitaria</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Edith Esther López Mamani</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Analia Calle Mita</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9</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Material bibliográfico</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Demetrio Ancalle Choque</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Wendy Callizaya Pocoaca</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10</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Recursos educativos</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Miguel Cotaña Mier</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Camila Lampa Choque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11</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Implementación del proyecto curricular</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Daniel Laura Choque</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Nazareth Samia Espejo Ticonipa</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12</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Evaluación curricular</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Luis Enrique Hinojosa Rodríguez</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Camila Nicol Zuñiga Estrada</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13</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Reglamentación</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Esperanza Mejillones Rodriguez</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Camila Andrea Quispe Mollocuaquira</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14</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Infraestructura y equipamiento</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Juvenal Espejo</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Ruth Sarai Arriague Gonzales</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15</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Mobiliario, equipamiento y materiales</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Hernan Alvarado</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Angeles Iraya Mendoza Gutierrez</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16</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Disposiciones de ejecución</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Edwin Gutiérrez Zapana</w:t>
            </w:r>
          </w:p>
        </w:tc>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Adhemar Carlos Palacios Choque</w:t>
            </w:r>
          </w:p>
        </w:tc>
      </w:tr>
    </w:tbl>
    <w:p>
      <w:pPr>
        <w:spacing w:before="40" w:after="200" w:line="240" w:lineRule="auto"/>
        <w:jc w:val="left"/>
      </w:pPr>
      <w:r>
        <w:rPr>
          <w:rFonts w:ascii="Century Gothic" w:hAnsi="Century Gothic" w:cs="Century Gothic" w:eastAsia="Century Gothic"/>
          <w:b w:val="0"/>
          <w:i w:val="0"/>
          <w:sz w:val="16"/>
        </w:rPr>
        <w:t>Fuente: control de entregas de las subcomisiones, octubre de 2026.</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5.3</w:t>
        <w:tab/>
      </w:r>
      <w:r>
        <w:rPr>
          <w:rFonts w:ascii="Century Gothic" w:hAnsi="Century Gothic" w:cs="Century Gothic" w:eastAsia="Century Gothic"/>
          <w:b/>
          <w:i w:val="0"/>
          <w:sz w:val="24"/>
        </w:rPr>
        <w:t>Subcomisiones de trabajo por área para los planes de asignatura</w:t>
      </w:r>
    </w:p>
    <w:p>
      <w:pPr>
        <w:spacing w:before="0" w:after="200" w:line="240" w:lineRule="auto"/>
        <w:jc w:val="both"/>
      </w:pPr>
      <w:r>
        <w:rPr>
          <w:rFonts w:ascii="Century Gothic" w:hAnsi="Century Gothic" w:cs="Century Gothic" w:eastAsia="Century Gothic"/>
          <w:b w:val="0"/>
          <w:i w:val="0"/>
          <w:sz w:val="20"/>
        </w:rPr>
        <w:t>Para el punto 4.5, la Comisión Académica conformó nueve subcomisiones por área de conocimiento, encargadas de elaborar los planes de las 43 asignaturas con su unidad de competencia, elementos de competencia, criterios y evidencias de desempeño, de producto y de conocimiento, actividades, estrategias, recursos, evaluación y bibliografía:</w:t>
      </w:r>
    </w:p>
    <w:p>
      <w:pPr>
        <w:keepNext/>
        <w:spacing w:before="40" w:after="80" w:line="240" w:lineRule="auto"/>
        <w:jc w:val="center"/>
      </w:pPr>
      <w:r>
        <w:rPr>
          <w:rFonts w:ascii="Century Gothic" w:hAnsi="Century Gothic" w:cs="Century Gothic" w:eastAsia="Century Gothic"/>
          <w:b/>
          <w:i w:val="0"/>
          <w:sz w:val="20"/>
        </w:rPr>
        <w:t>Cuadro 7. Subcomisiones por área para los planes de asignatura</w:t>
      </w:r>
    </w:p>
    <w:tbl>
      <w:tblPr>
        <w:tblW w:type="auto" w:w="0"/>
        <w:jc w:val="center"/>
        <w:tblLayout w:type="fixed"/>
        <w:tblLook w:firstColumn="1" w:firstRow="1" w:lastColumn="0" w:lastRow="0" w:noHBand="0" w:noVBand="1" w:val="04A0"/>
      </w:tblPr>
      <w:tblGrid>
        <w:gridCol w:w="2608"/>
        <w:gridCol w:w="3231"/>
        <w:gridCol w:w="3231"/>
      </w:tblGrid>
      <w:tr>
        <w:trPr>
          <w:tblHeader/>
        </w:trPr>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Subcomisión</w:t>
            </w:r>
          </w:p>
        </w:tc>
        <w:tc>
          <w:tcPr>
            <w:tcW w:type="dxa" w:w="323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Docentes</w:t>
            </w:r>
          </w:p>
        </w:tc>
        <w:tc>
          <w:tcPr>
            <w:tcW w:type="dxa" w:w="323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Estudiantes</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Información Financiera General</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Gonzalo Terán Gandarillas y Edwin Gutiérrez Zapana</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Jose David Huanca Callizaya y Elva Danitza Cachaga Alanoca</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Información Financiera Especializada</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Edith Esther López Mamani y Guido Rogelio Yujra Segales</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Leonardo Fabio Oblitas Flores y Marco Marcelo Escobar Bozo</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Servicios de Aseguramiento y No Aseguramiento</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Martin Calani y Víctor Delfín Pelaez Mariscal</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Valery Tatiana Chuquimia Rojas y Rocio del Alba Flores Colque</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Sistemas</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Juan Carlos Lea Plaza Lopez y Miguel Cotaña Mier</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Camila Pillco Yana y Jheferson Zambrana Barrionuevo</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Administración</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Juan Carlos Sánchez Bolaños y Orlando Alfato</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Luz Alejandra Chavez Conde y Nicol Tatiana Cornejo Choque</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Derecho</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Walter Marcelo Torrez Quispe y Ricardo Ramiro Tola Fernández</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Anthony Alexander Espinoza Gutierrez y Fernanda Camila Gonzales Quispe</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Economía</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Luis Medina Rivero y Juvenal Espejo Davalos</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Carla Isabel Huiza Callisaya y Jhamil Sander Quispe Mamani</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Metodología de la Investigación</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Sigfrido Ariel Burgoa Cortez y Jorge Cespedes Esteves</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highlight w:val="yellow"/>
              </w:rPr>
              <w:t>Taiz Alejandra Cano Chuyma y (completar)</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Matemática</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Darío David Yujra Crespo y Domingo Julio Pérez Centellas</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Eileen Juarez Flores y Jaime Andres Patty Lazcano</w:t>
            </w:r>
          </w:p>
        </w:tc>
      </w:tr>
    </w:tbl>
    <w:p>
      <w:pPr>
        <w:spacing w:before="40" w:after="200" w:line="240" w:lineRule="auto"/>
        <w:jc w:val="left"/>
      </w:pPr>
      <w:r>
        <w:rPr>
          <w:rFonts w:ascii="Century Gothic" w:hAnsi="Century Gothic" w:cs="Century Gothic" w:eastAsia="Century Gothic"/>
          <w:b w:val="0"/>
          <w:i w:val="0"/>
          <w:sz w:val="16"/>
        </w:rPr>
        <w:t>Fuente: control de entregas de las subcomisiones, octubre de 2026.</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6.</w:t>
        <w:tab/>
      </w:r>
      <w:r>
        <w:rPr>
          <w:rFonts w:ascii="Century Gothic" w:hAnsi="Century Gothic" w:cs="Century Gothic" w:eastAsia="Century Gothic"/>
          <w:b/>
          <w:i w:val="0"/>
          <w:sz w:val="24"/>
        </w:rPr>
        <w:t>Revisión de los informes de las subcomisiones y retroalimentación</w:t>
      </w:r>
    </w:p>
    <w:p>
      <w:pPr>
        <w:spacing w:before="0" w:after="200" w:line="240" w:lineRule="auto"/>
        <w:jc w:val="both"/>
      </w:pPr>
      <w:r>
        <w:rPr>
          <w:rFonts w:ascii="Century Gothic" w:hAnsi="Century Gothic" w:cs="Century Gothic" w:eastAsia="Century Gothic"/>
          <w:b w:val="0"/>
          <w:i w:val="0"/>
          <w:sz w:val="20"/>
        </w:rPr>
        <w:t>Conforme al numeral 3 del Artículo 15, las subcomisiones presentaron sus resultados mediante informes, que la plenaria de Comisión recibió, revisó y aprobó, incorporando conclusiones y recomendaciones generales. La revisión se hizo en tres niveles:</w:t>
      </w:r>
    </w:p>
    <w:p>
      <w:pPr>
        <w:numPr>
          <w:ilvl w:val="0"/>
          <w:numId w:val="901"/>
        </w:numPr>
        <w:spacing w:before="0" w:after="160" w:line="240" w:lineRule="auto"/>
        <w:jc w:val="both"/>
      </w:pPr>
      <w:r>
        <w:rPr>
          <w:rFonts w:ascii="Century Gothic" w:hAnsi="Century Gothic" w:cs="Century Gothic" w:eastAsia="Century Gothic"/>
          <w:b/>
          <w:i w:val="0"/>
          <w:sz w:val="20"/>
        </w:rPr>
        <w:t>Revisión por punto.</w:t>
      </w:r>
      <w:r>
        <w:rPr>
          <w:rFonts w:ascii="Century Gothic" w:hAnsi="Century Gothic" w:cs="Century Gothic" w:eastAsia="Century Gothic"/>
          <w:b w:val="0"/>
          <w:i w:val="0"/>
          <w:sz w:val="20"/>
        </w:rPr>
        <w:t xml:space="preserve"> Se revisaron los 22 documentos entregados por las subcomisiones frente a los criterios de la Resolución HCU N.º 032/2025. De 124 requisitos verificados, 73 se cumplían, 44 se cumplían en parte y 7 no se cumplían. Se identificaron además 100 observaciones de coherencia entre puntos: 11 de prioridad alta, 31 de prioridad media y 58 de prioridad baja. Los resultados constan en el Informe de observaciones y recomendaciones, que se devolvió a las subcomisiones para su corrección.</w:t>
      </w:r>
    </w:p>
    <w:p>
      <w:pPr>
        <w:numPr>
          <w:ilvl w:val="0"/>
          <w:numId w:val="901"/>
        </w:numPr>
        <w:spacing w:before="0" w:after="160" w:line="240" w:lineRule="auto"/>
        <w:jc w:val="both"/>
      </w:pPr>
      <w:r>
        <w:rPr>
          <w:rFonts w:ascii="Century Gothic" w:hAnsi="Century Gothic" w:cs="Century Gothic" w:eastAsia="Century Gothic"/>
          <w:b/>
          <w:i w:val="0"/>
          <w:sz w:val="20"/>
        </w:rPr>
        <w:t>Revisión de los planes de asignatura.</w:t>
      </w:r>
      <w:r>
        <w:rPr>
          <w:rFonts w:ascii="Century Gothic" w:hAnsi="Century Gothic" w:cs="Century Gothic" w:eastAsia="Century Gothic"/>
          <w:b w:val="0"/>
          <w:i w:val="0"/>
          <w:sz w:val="20"/>
        </w:rPr>
        <w:t xml:space="preserve"> Cada uno de los 43 planes se revisó frente a la guía de llenado del itinerario formativo y al Artículo 12 de la Resolución HCU N.º 032/2025. El resultado se registró en una matriz de cumplimiento y en un informe de correcciones y observaciones por asignatura, que se entregó a cada subcomisión por área.</w:t>
      </w:r>
    </w:p>
    <w:p>
      <w:pPr>
        <w:numPr>
          <w:ilvl w:val="0"/>
          <w:numId w:val="901"/>
        </w:numPr>
        <w:spacing w:before="0" w:after="200" w:line="240" w:lineRule="auto"/>
        <w:jc w:val="both"/>
      </w:pPr>
      <w:r>
        <w:rPr>
          <w:rFonts w:ascii="Century Gothic" w:hAnsi="Century Gothic" w:cs="Century Gothic" w:eastAsia="Century Gothic"/>
          <w:b/>
          <w:i w:val="0"/>
          <w:sz w:val="20"/>
        </w:rPr>
        <w:t>Evaluación del documento unificado.</w:t>
      </w:r>
      <w:r>
        <w:rPr>
          <w:rFonts w:ascii="Century Gothic" w:hAnsi="Century Gothic" w:cs="Century Gothic" w:eastAsia="Century Gothic"/>
          <w:b w:val="0"/>
          <w:i w:val="0"/>
          <w:sz w:val="20"/>
        </w:rPr>
        <w:t xml:space="preserve"> La primera versión consolidada obtuvo 78 sobre 100 en la verificación interna con los criterios del Artículo 12. Para subsanar las brechas, se elaboró un documento de propuestas para el cumplimiento de la Resolución HCU N.º 032/2025, con el texto que debía incorporarse en cada punto, y la Comisión decidió cuáles aprobar.</w:t>
      </w:r>
    </w:p>
    <w:p>
      <w:pPr>
        <w:spacing w:before="0" w:after="200" w:line="240" w:lineRule="auto"/>
        <w:jc w:val="both"/>
      </w:pPr>
      <w:r>
        <w:rPr>
          <w:rFonts w:ascii="Century Gothic" w:hAnsi="Century Gothic" w:cs="Century Gothic" w:eastAsia="Century Gothic"/>
          <w:b w:val="0"/>
          <w:i w:val="0"/>
          <w:sz w:val="20"/>
        </w:rPr>
        <w:t>Las principales decisiones de la plenaria de Comisión sobre las propuestas fueron las siguientes:</w:t>
      </w:r>
    </w:p>
    <w:p>
      <w:pPr>
        <w:keepNext/>
        <w:spacing w:before="40" w:after="80" w:line="240" w:lineRule="auto"/>
        <w:jc w:val="center"/>
      </w:pPr>
      <w:r>
        <w:rPr>
          <w:rFonts w:ascii="Century Gothic" w:hAnsi="Century Gothic" w:cs="Century Gothic" w:eastAsia="Century Gothic"/>
          <w:b/>
          <w:i w:val="0"/>
          <w:sz w:val="20"/>
        </w:rPr>
        <w:t>Cuadro 8. Decisiones de la plenaria de Comisión</w:t>
      </w:r>
    </w:p>
    <w:tbl>
      <w:tblPr>
        <w:tblW w:type="auto" w:w="0"/>
        <w:jc w:val="center"/>
        <w:tblLayout w:type="fixed"/>
        <w:tblLook w:firstColumn="1" w:firstRow="1" w:lastColumn="0" w:lastRow="0" w:noHBand="0" w:noVBand="1" w:val="04A0"/>
      </w:tblPr>
      <w:tblGrid>
        <w:gridCol w:w="1814"/>
        <w:gridCol w:w="7257"/>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72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Decisión de la Comisión</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3.1.4</w:t>
            </w:r>
          </w:p>
        </w:tc>
        <w:tc>
          <w:tcPr>
            <w:tcW w:type="dxa" w:w="72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Detallar las asignaturas del Plan 2013 que se suprimen, transforman o reubican, y cambiar la denominación de CPA-403 a Contabilidad de Seguros: Privado y Público en todo el documento.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3.5.2</w:t>
            </w:r>
          </w:p>
        </w:tc>
        <w:tc>
          <w:tcPr>
            <w:tcW w:type="dxa" w:w="72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Comparar el Rediseño Curricular con la oferta de Contaduría Pública de seis universidades públicas y privadas del país.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4.1.4, 4.1.5 y 4.2.7</w:t>
            </w:r>
          </w:p>
        </w:tc>
        <w:tc>
          <w:tcPr>
            <w:tcW w:type="dxa" w:w="72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Explicitar la concordancia con el Modelo Educativo de la UMSA y la correspondencia del perfil profesional con la misión de la UMSA.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4.3.5</w:t>
            </w:r>
          </w:p>
        </w:tc>
        <w:tc>
          <w:tcPr>
            <w:tcW w:type="dxa" w:w="72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Justificar técnica y normativamente la adopción del régimen anualizado.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4.4.1 y 4.4.2</w:t>
            </w:r>
          </w:p>
        </w:tc>
        <w:tc>
          <w:tcPr>
            <w:tcW w:type="dxa" w:w="72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Establecer el idioma inglés nivel B2 como requisito de egreso y presentar las 43 unidades de competencia tomadas de los planes de asignatura.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5.3.2 y 5.4.4</w:t>
            </w:r>
          </w:p>
        </w:tc>
        <w:tc>
          <w:tcPr>
            <w:tcW w:type="dxa" w:w="72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Precisar los plazos de suspensión y reincorporación, y la sigla, carga horaria y créditos de cada modalidad de graduación.</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6.1.4</w:t>
            </w:r>
          </w:p>
        </w:tc>
        <w:tc>
          <w:tcPr>
            <w:tcW w:type="dxa" w:w="72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Incorporar los auxiliares de investigación, la Sociedad Científica y la revista de la Carrera.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8.6 y 11.1.1</w:t>
            </w:r>
          </w:p>
        </w:tc>
        <w:tc>
          <w:tcPr>
            <w:tcW w:type="dxa" w:w="72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Recomendar un mínimo de 50 y un máximo de 80 estudiantes por paralelo.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11.3.5</w:t>
            </w:r>
          </w:p>
        </w:tc>
        <w:tc>
          <w:tcPr>
            <w:tcW w:type="dxa" w:w="72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Incorporar el presupuesto plurianual de implementación 2027-2031, cuyos montos completará la Carrera.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13.1.4</w:t>
            </w:r>
          </w:p>
        </w:tc>
        <w:tc>
          <w:tcPr>
            <w:tcW w:type="dxa" w:w="72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Incorporar íntegro el Reglamento de Modalidades de Graduación de la Carrera, que prevalece sobre los demás puntos en la materia.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Las correcciones de las subcomisiones y las propuestas aprobadas se incorporaron al documento consolidado, lo que completa el ciclo de retroalimentación previsto en el Artículo 15.</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7.</w:t>
        <w:tab/>
      </w:r>
      <w:r>
        <w:rPr>
          <w:rFonts w:ascii="Century Gothic" w:hAnsi="Century Gothic" w:cs="Century Gothic" w:eastAsia="Century Gothic"/>
          <w:b/>
          <w:i w:val="0"/>
          <w:sz w:val="24"/>
        </w:rPr>
        <w:t>Elaboración del documento de Rediseño Curricular</w:t>
      </w:r>
    </w:p>
    <w:p>
      <w:pPr>
        <w:spacing w:before="0" w:after="200" w:line="240" w:lineRule="auto"/>
        <w:jc w:val="both"/>
      </w:pPr>
      <w:r>
        <w:rPr>
          <w:rFonts w:ascii="Century Gothic" w:hAnsi="Century Gothic" w:cs="Century Gothic" w:eastAsia="Century Gothic"/>
          <w:b w:val="0"/>
          <w:i w:val="0"/>
          <w:sz w:val="20"/>
        </w:rPr>
        <w:t>Con base en los informes aprobados de las subcomisiones, la Comisión Académica, por medio de sus secretarios, redactó el documento de Rediseño Curricular conforme al Artículo 8 de la Resolución HCU N.º 032/2025. En la consolidación se aplicaron los siguientes criterios:</w:t>
      </w:r>
    </w:p>
    <w:p>
      <w:pPr>
        <w:numPr>
          <w:ilvl w:val="0"/>
          <w:numId w:val="902"/>
        </w:numPr>
        <w:spacing w:before="0" w:after="160" w:line="240" w:lineRule="auto"/>
        <w:jc w:val="both"/>
      </w:pPr>
      <w:r>
        <w:rPr>
          <w:rFonts w:ascii="Century Gothic" w:hAnsi="Century Gothic" w:cs="Century Gothic" w:eastAsia="Century Gothic"/>
          <w:b w:val="0"/>
          <w:i w:val="0"/>
          <w:sz w:val="20"/>
        </w:rPr>
        <w:t>Formato único para los 16 puntos, con índice general e índice de cuadros.</w:t>
      </w:r>
    </w:p>
    <w:p>
      <w:pPr>
        <w:numPr>
          <w:ilvl w:val="0"/>
          <w:numId w:val="902"/>
        </w:numPr>
        <w:spacing w:before="0" w:after="160" w:line="240" w:lineRule="auto"/>
        <w:jc w:val="both"/>
      </w:pPr>
      <w:r>
        <w:rPr>
          <w:rFonts w:ascii="Century Gothic" w:hAnsi="Century Gothic" w:cs="Century Gothic" w:eastAsia="Century Gothic"/>
          <w:b w:val="0"/>
          <w:i w:val="0"/>
          <w:sz w:val="20"/>
        </w:rPr>
        <w:t>Terminología uniforme: Rediseño Curricular, Área Contable y de Auditoría, Área Contextual y Contador Público, salvo cuando se nombra el título en provisión nacional.</w:t>
      </w:r>
    </w:p>
    <w:p>
      <w:pPr>
        <w:numPr>
          <w:ilvl w:val="0"/>
          <w:numId w:val="902"/>
        </w:numPr>
        <w:spacing w:before="0" w:after="160" w:line="240" w:lineRule="auto"/>
        <w:jc w:val="both"/>
      </w:pPr>
      <w:r>
        <w:rPr>
          <w:rFonts w:ascii="Century Gothic" w:hAnsi="Century Gothic" w:cs="Century Gothic" w:eastAsia="Century Gothic"/>
          <w:b w:val="0"/>
          <w:i w:val="0"/>
          <w:sz w:val="20"/>
        </w:rPr>
        <w:t>Denominación de grados y títulos conforme al Reglamento de Modalidades de Graduación, que prevalece en la materia.</w:t>
      </w:r>
    </w:p>
    <w:p>
      <w:pPr>
        <w:numPr>
          <w:ilvl w:val="0"/>
          <w:numId w:val="902"/>
        </w:numPr>
        <w:spacing w:before="0" w:after="160" w:line="240" w:lineRule="auto"/>
        <w:jc w:val="both"/>
      </w:pPr>
      <w:r>
        <w:rPr>
          <w:rFonts w:ascii="Century Gothic" w:hAnsi="Century Gothic" w:cs="Century Gothic" w:eastAsia="Century Gothic"/>
          <w:b w:val="0"/>
          <w:i w:val="0"/>
          <w:sz w:val="20"/>
        </w:rPr>
        <w:t>Coherencia de nombres, siglas, prerrequisitos, horas y créditos entre la malla curricular y los 43 planes de asignatura.</w:t>
      </w:r>
    </w:p>
    <w:p>
      <w:pPr>
        <w:numPr>
          <w:ilvl w:val="0"/>
          <w:numId w:val="902"/>
        </w:numPr>
        <w:spacing w:before="0" w:after="200" w:line="240" w:lineRule="auto"/>
        <w:jc w:val="both"/>
      </w:pPr>
      <w:r>
        <w:rPr>
          <w:rFonts w:ascii="Century Gothic" w:hAnsi="Century Gothic" w:cs="Century Gothic" w:eastAsia="Century Gothic"/>
          <w:b w:val="0"/>
          <w:i w:val="0"/>
          <w:sz w:val="20"/>
        </w:rPr>
        <w:t>Actualización de los datos estadísticos a la gestión 2026 y de la infraestructura al relevamiento de octubre de 2026.</w:t>
      </w:r>
    </w:p>
    <w:p>
      <w:pPr>
        <w:spacing w:before="0" w:after="200" w:line="240" w:lineRule="auto"/>
        <w:jc w:val="both"/>
      </w:pPr>
      <w:r>
        <w:rPr>
          <w:rFonts w:ascii="Century Gothic" w:hAnsi="Century Gothic" w:cs="Century Gothic" w:eastAsia="Century Gothic"/>
          <w:b w:val="0"/>
          <w:i w:val="0"/>
          <w:sz w:val="20"/>
        </w:rPr>
        <w:t>Las características principales del Rediseño Curricular son las siguientes:</w:t>
      </w:r>
    </w:p>
    <w:p>
      <w:pPr>
        <w:keepNext/>
        <w:spacing w:before="40" w:after="80" w:line="240" w:lineRule="auto"/>
        <w:jc w:val="center"/>
      </w:pPr>
      <w:r>
        <w:rPr>
          <w:rFonts w:ascii="Century Gothic" w:hAnsi="Century Gothic" w:cs="Century Gothic" w:eastAsia="Century Gothic"/>
          <w:b/>
          <w:i w:val="0"/>
          <w:sz w:val="20"/>
        </w:rPr>
        <w:t>Cuadro 9. Características del Rediseño Curricular</w:t>
      </w:r>
    </w:p>
    <w:tbl>
      <w:tblPr>
        <w:tblW w:type="auto" w:w="0"/>
        <w:jc w:val="center"/>
        <w:tblLayout w:type="fixed"/>
        <w:tblLook w:firstColumn="1" w:firstRow="1" w:lastColumn="0" w:lastRow="0" w:noHBand="0" w:noVBand="1" w:val="04A0"/>
      </w:tblPr>
      <w:tblGrid>
        <w:gridCol w:w="2551"/>
        <w:gridCol w:w="6520"/>
      </w:tblGrid>
      <w:tr>
        <w:trPr>
          <w:tblHeader/>
        </w:trPr>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Elemento</w:t>
            </w:r>
          </w:p>
        </w:tc>
        <w:tc>
          <w:tcPr>
            <w:tcW w:type="dxa" w:w="65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Rediseño Curricular</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Grado terminal</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Contaduría Pública; título en provisión nacional de Contador Público Autorizado</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Grados intermedios</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Técnico Universitario Medio en Contabilidad, con título de Auxiliar Contable, y Técnico Superior en Contabilidad General, con título de Contador General</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Duración y régimen</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Cinco años, régimen anual</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Asignaturas</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43: 29 del Área Contable y de Auditoría y 14 del Área Contextual</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Carga horaria y créditos</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6.000 horas académicas presenciales, 3.000 horas no presenciales y 300 créditos, 60 por año</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Enfoque</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Formación por competencias, con mapa de competencias y planes de asignatura con unidad y elementos de competencia</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Prácticas preprofesionales</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Obligatorias desde el tercer año</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Idioma</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Inglés nivel B2 como requisito de egreso</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Transitabilidad</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Cuadro de convalidación y homologación, plan de implementación año por año desde 2027 y política de extinción del Plan 2013</w:t>
            </w:r>
          </w:p>
        </w:tc>
      </w:tr>
    </w:tbl>
    <w:p>
      <w:pPr>
        <w:spacing w:before="40" w:after="200" w:line="240" w:lineRule="auto"/>
        <w:jc w:val="left"/>
      </w:pPr>
      <w:r>
        <w:rPr>
          <w:rFonts w:ascii="Century Gothic" w:hAnsi="Century Gothic" w:cs="Century Gothic" w:eastAsia="Century Gothic"/>
          <w:b w:val="0"/>
          <w:i w:val="0"/>
          <w:sz w:val="16"/>
        </w:rPr>
        <w:t>Fuente: documento de Rediseño Curricular, puntos 1, 4.3, 4.4, 5 y 16.</w:t>
      </w:r>
    </w:p>
    <w:p>
      <w:pPr>
        <w:spacing w:before="0" w:after="200" w:line="240" w:lineRule="auto"/>
        <w:jc w:val="both"/>
      </w:pPr>
      <w:r>
        <w:rPr>
          <w:rFonts w:ascii="Century Gothic" w:hAnsi="Century Gothic" w:cs="Century Gothic" w:eastAsia="Century Gothic"/>
          <w:b w:val="0"/>
          <w:i w:val="0"/>
          <w:sz w:val="20"/>
        </w:rPr>
        <w:t>El cumplimiento de la estructura del Artículo 8 se resume a continuación:</w:t>
      </w:r>
    </w:p>
    <w:p>
      <w:pPr>
        <w:keepNext/>
        <w:spacing w:before="40" w:after="80" w:line="240" w:lineRule="auto"/>
        <w:jc w:val="center"/>
      </w:pPr>
      <w:r>
        <w:rPr>
          <w:rFonts w:ascii="Century Gothic" w:hAnsi="Century Gothic" w:cs="Century Gothic" w:eastAsia="Century Gothic"/>
          <w:b/>
          <w:i w:val="0"/>
          <w:sz w:val="20"/>
        </w:rPr>
        <w:t>Cuadro 10. Cumplimiento de la estructura del Artículo 8</w:t>
      </w:r>
    </w:p>
    <w:tbl>
      <w:tblPr>
        <w:tblW w:type="auto" w:w="0"/>
        <w:jc w:val="center"/>
        <w:tblLayout w:type="fixed"/>
        <w:tblLook w:firstColumn="1" w:firstRow="1" w:lastColumn="0" w:lastRow="0" w:noHBand="0" w:noVBand="1" w:val="04A0"/>
      </w:tblPr>
      <w:tblGrid>
        <w:gridCol w:w="1304"/>
        <w:gridCol w:w="4932"/>
        <w:gridCol w:w="2835"/>
      </w:tblGrid>
      <w:tr>
        <w:trPr>
          <w:tblHeader/>
        </w:trPr>
        <w:tc>
          <w:tcPr>
            <w:tcW w:type="dxa" w:w="130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493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Contenido</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Estado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Identificación del programa/carrera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Antecedentes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Justificación de la innovación curricular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4.1 a 4.4</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Fundamentos, referentes disciplinares, plan de estudios propuesto y estructura curricular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4.5</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Planes de asignatura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 43 planes</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4.6 a 4.8</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Estrategias, evaluación de aprendizajes y prácticas preprofesionales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Admisión, promoción y graduación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 falta citar la resolución que aprueba el reglamento del PETAENG</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 y 7</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Investigación, interacción social y extensión universitaria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Organización del proceso curricular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 y 10</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Material bibliográfico y recursos educativos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11</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Implementación del proyecto curricular</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 faltan los montos del presupuesto del 11.3.5</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12 y 13</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Evaluación curricular y reglamentación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14 y 15</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Infraestructura, mobiliario, equipamiento y materiales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r>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16</w:t>
            </w:r>
          </w:p>
        </w:tc>
        <w:tc>
          <w:tcPr>
            <w:tcW w:type="dxa" w:w="49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Disposiciones de ejecución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Desarrollado</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8.</w:t>
        <w:tab/>
      </w:r>
      <w:r>
        <w:rPr>
          <w:rFonts w:ascii="Century Gothic" w:hAnsi="Century Gothic" w:cs="Century Gothic" w:eastAsia="Century Gothic"/>
          <w:b/>
          <w:i w:val="0"/>
          <w:sz w:val="24"/>
        </w:rPr>
        <w:t>Conclusiones y recomendaciones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8.1</w:t>
        <w:tab/>
      </w:r>
      <w:r>
        <w:rPr>
          <w:rFonts w:ascii="Century Gothic" w:hAnsi="Century Gothic" w:cs="Century Gothic" w:eastAsia="Century Gothic"/>
          <w:b/>
          <w:i w:val="0"/>
          <w:sz w:val="24"/>
        </w:rPr>
        <w:t>Conclusiones</w:t>
      </w:r>
    </w:p>
    <w:p>
      <w:pPr>
        <w:numPr>
          <w:ilvl w:val="0"/>
          <w:numId w:val="903"/>
        </w:numPr>
        <w:spacing w:before="0" w:after="160" w:line="240" w:lineRule="auto"/>
        <w:jc w:val="both"/>
      </w:pPr>
      <w:r>
        <w:rPr>
          <w:rFonts w:ascii="Century Gothic" w:hAnsi="Century Gothic" w:cs="Century Gothic" w:eastAsia="Century Gothic"/>
          <w:b w:val="0"/>
          <w:i w:val="0"/>
          <w:sz w:val="20"/>
        </w:rPr>
        <w:t>El proceso cumplió los numerales 1 a 3 del Artículo 15 de la Resolución HCU N.º 032/2025: declaratoria de necesidad, elección de la Comisión Académica en Asamblea Docente Estudiantil, conformación de subcomisiones de trabajo en paridad docente estudiantil y revisión de sus informes en plenaria de Comisión.</w:t>
      </w:r>
    </w:p>
    <w:p>
      <w:pPr>
        <w:numPr>
          <w:ilvl w:val="0"/>
          <w:numId w:val="903"/>
        </w:numPr>
        <w:spacing w:before="0" w:after="160" w:line="240" w:lineRule="auto"/>
        <w:jc w:val="both"/>
      </w:pPr>
      <w:r>
        <w:rPr>
          <w:rFonts w:ascii="Century Gothic" w:hAnsi="Century Gothic" w:cs="Century Gothic" w:eastAsia="Century Gothic"/>
          <w:b w:val="0"/>
          <w:i w:val="0"/>
          <w:sz w:val="20"/>
        </w:rPr>
        <w:t>El documento de Rediseño Curricular desarrolla los 16 puntos del Artículo 8 e integra los planes de las 43 asignaturas.</w:t>
      </w:r>
    </w:p>
    <w:p>
      <w:pPr>
        <w:numPr>
          <w:ilvl w:val="0"/>
          <w:numId w:val="903"/>
        </w:numPr>
        <w:spacing w:before="0" w:after="160" w:line="240" w:lineRule="auto"/>
        <w:jc w:val="both"/>
      </w:pPr>
      <w:r>
        <w:rPr>
          <w:rFonts w:ascii="Century Gothic" w:hAnsi="Century Gothic" w:cs="Century Gothic" w:eastAsia="Century Gothic"/>
          <w:b w:val="0"/>
          <w:i w:val="0"/>
          <w:sz w:val="20"/>
        </w:rPr>
        <w:t>La verificación interna con los criterios del Artículo 12 ubica el documento en 92 sobre 100, frente a 78 de la primera versión consolidada.</w:t>
      </w:r>
    </w:p>
    <w:p>
      <w:pPr>
        <w:numPr>
          <w:ilvl w:val="0"/>
          <w:numId w:val="903"/>
        </w:numPr>
        <w:spacing w:before="0" w:after="200" w:line="240" w:lineRule="auto"/>
        <w:jc w:val="both"/>
      </w:pPr>
      <w:r>
        <w:rPr>
          <w:rFonts w:ascii="Century Gothic" w:hAnsi="Century Gothic" w:cs="Century Gothic" w:eastAsia="Century Gothic"/>
          <w:b w:val="0"/>
          <w:i w:val="0"/>
          <w:sz w:val="20"/>
        </w:rPr>
        <w:t>El Anexo 1 contiene el cuadro comparativo de la situación anterior y posterior al rediseño que exige el Artículo 13 como documento imprescindible de verificación.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8.2</w:t>
        <w:tab/>
      </w:r>
      <w:r>
        <w:rPr>
          <w:rFonts w:ascii="Century Gothic" w:hAnsi="Century Gothic" w:cs="Century Gothic" w:eastAsia="Century Gothic"/>
          <w:b/>
          <w:i w:val="0"/>
          <w:sz w:val="24"/>
        </w:rPr>
        <w:t>Recomendaciones</w:t>
      </w:r>
    </w:p>
    <w:p>
      <w:pPr>
        <w:spacing w:before="0" w:after="200" w:line="240" w:lineRule="auto"/>
        <w:jc w:val="both"/>
      </w:pPr>
      <w:r>
        <w:rPr>
          <w:rFonts w:ascii="Century Gothic" w:hAnsi="Century Gothic" w:cs="Century Gothic" w:eastAsia="Century Gothic"/>
          <w:b w:val="0"/>
          <w:i w:val="0"/>
          <w:sz w:val="20"/>
        </w:rPr>
        <w:t>Antes de la evaluación ex ante, la Comisión Académica recomienda completar lo siguiente:</w:t>
      </w:r>
    </w:p>
    <w:p>
      <w:pPr>
        <w:numPr>
          <w:ilvl w:val="0"/>
          <w:numId w:val="904"/>
        </w:numPr>
        <w:spacing w:before="0" w:after="160" w:line="240" w:lineRule="auto"/>
        <w:jc w:val="both"/>
      </w:pPr>
      <w:r>
        <w:rPr>
          <w:rFonts w:ascii="Century Gothic" w:hAnsi="Century Gothic" w:cs="Century Gothic" w:eastAsia="Century Gothic"/>
          <w:b w:val="0"/>
          <w:i w:val="0"/>
          <w:sz w:val="20"/>
        </w:rPr>
        <w:t>Citar en los puntos 5.4.2 y 13.1.2 la resolución que aprueba el reglamento del PETAENG.</w:t>
      </w:r>
    </w:p>
    <w:p>
      <w:pPr>
        <w:numPr>
          <w:ilvl w:val="0"/>
          <w:numId w:val="904"/>
        </w:numPr>
        <w:spacing w:before="0" w:after="160" w:line="240" w:lineRule="auto"/>
        <w:jc w:val="both"/>
      </w:pPr>
      <w:r>
        <w:rPr>
          <w:rFonts w:ascii="Century Gothic" w:hAnsi="Century Gothic" w:cs="Century Gothic" w:eastAsia="Century Gothic"/>
          <w:b w:val="0"/>
          <w:i w:val="0"/>
          <w:sz w:val="20"/>
        </w:rPr>
        <w:t>Completar los montos del presupuesto plurianual de implementación del punto 11.3.5.</w:t>
      </w:r>
    </w:p>
    <w:p>
      <w:pPr>
        <w:numPr>
          <w:ilvl w:val="0"/>
          <w:numId w:val="904"/>
        </w:numPr>
        <w:spacing w:before="0" w:after="160" w:line="240" w:lineRule="auto"/>
        <w:jc w:val="both"/>
      </w:pPr>
      <w:r>
        <w:rPr>
          <w:rFonts w:ascii="Century Gothic" w:hAnsi="Century Gothic" w:cs="Century Gothic" w:eastAsia="Century Gothic"/>
          <w:b w:val="0"/>
          <w:i w:val="0"/>
          <w:sz w:val="20"/>
        </w:rPr>
        <w:t>Unificar el porcentaje de estudiantes que trabajan: el punto 4.3.5 cita 24,8 % y el punto 2.7.2, 48,9 %.</w:t>
      </w:r>
    </w:p>
    <w:p>
      <w:pPr>
        <w:numPr>
          <w:ilvl w:val="0"/>
          <w:numId w:val="904"/>
        </w:numPr>
        <w:spacing w:before="0" w:after="160" w:line="240" w:lineRule="auto"/>
        <w:jc w:val="both"/>
      </w:pPr>
      <w:r>
        <w:rPr>
          <w:rFonts w:ascii="Century Gothic" w:hAnsi="Century Gothic" w:cs="Century Gothic" w:eastAsia="Century Gothic"/>
          <w:b w:val="0"/>
          <w:i w:val="0"/>
          <w:sz w:val="20"/>
        </w:rPr>
        <w:t>Fijar la cantidad mínima de horas de práctica preprofesional y de interacción social que debe cumplir cada estudiante, en los puntos 4.8 y 7.</w:t>
      </w:r>
    </w:p>
    <w:p>
      <w:pPr>
        <w:numPr>
          <w:ilvl w:val="0"/>
          <w:numId w:val="904"/>
        </w:numPr>
        <w:spacing w:before="0" w:after="160" w:line="240" w:lineRule="auto"/>
        <w:jc w:val="both"/>
      </w:pPr>
      <w:r>
        <w:rPr>
          <w:rFonts w:ascii="Century Gothic" w:hAnsi="Century Gothic" w:cs="Century Gothic" w:eastAsia="Century Gothic"/>
          <w:b w:val="0"/>
          <w:i w:val="0"/>
          <w:sz w:val="20"/>
        </w:rPr>
        <w:t>Agregar a los planes de asignatura la justificación y el cronograma por elemento de competencia que pide el Artículo 12, o fundamentar su tratamiento en el plan de clases.</w:t>
      </w:r>
    </w:p>
    <w:p>
      <w:pPr>
        <w:numPr>
          <w:ilvl w:val="0"/>
          <w:numId w:val="904"/>
        </w:numPr>
        <w:spacing w:before="0" w:after="160" w:line="240" w:lineRule="auto"/>
        <w:jc w:val="both"/>
      </w:pPr>
      <w:r>
        <w:rPr>
          <w:rFonts w:ascii="Century Gothic" w:hAnsi="Century Gothic" w:cs="Century Gothic" w:eastAsia="Century Gothic"/>
          <w:b w:val="0"/>
          <w:i w:val="0"/>
          <w:sz w:val="20"/>
        </w:rPr>
        <w:t>Contrastar con los planes oficiales de cada universidad los datos del cuadro comparativo de la oferta nacional del punto 3.5.2.</w:t>
      </w:r>
    </w:p>
    <w:p>
      <w:pPr>
        <w:numPr>
          <w:ilvl w:val="0"/>
          <w:numId w:val="904"/>
        </w:numPr>
        <w:spacing w:before="0" w:after="200" w:line="240" w:lineRule="auto"/>
        <w:jc w:val="both"/>
      </w:pPr>
      <w:r>
        <w:rPr>
          <w:rFonts w:ascii="Century Gothic" w:hAnsi="Century Gothic" w:cs="Century Gothic" w:eastAsia="Century Gothic"/>
          <w:b w:val="0"/>
          <w:i w:val="0"/>
          <w:sz w:val="20"/>
        </w:rPr>
        <w:t>Elaborar, con antelación a la aplicación del Rediseño Curricular, los reglamentos específicos de transición que exige el Artículo 14.</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9.</w:t>
        <w:tab/>
      </w:r>
      <w:r>
        <w:rPr>
          <w:rFonts w:ascii="Century Gothic" w:hAnsi="Century Gothic" w:cs="Century Gothic" w:eastAsia="Century Gothic"/>
          <w:b/>
          <w:i w:val="0"/>
          <w:sz w:val="24"/>
        </w:rPr>
        <w:t>Presentación al Honorable Consejo de Carrera y solicitud de evaluación ex ante</w:t>
      </w:r>
    </w:p>
    <w:p>
      <w:pPr>
        <w:spacing w:before="0" w:after="200" w:line="240" w:lineRule="auto"/>
        <w:jc w:val="both"/>
      </w:pPr>
      <w:r>
        <w:rPr>
          <w:rFonts w:ascii="Century Gothic" w:hAnsi="Century Gothic" w:cs="Century Gothic" w:eastAsia="Century Gothic"/>
          <w:b w:val="0"/>
          <w:i w:val="0"/>
          <w:sz w:val="20"/>
        </w:rPr>
        <w:t>Conforme al Artículo 15, parágrafo II, numeral 4, de la Resolución HCU N.º 032/2025, la Comisión Académica presenta al Honorable Consejo de Carrera el documento de Rediseño Curricular de la Licenciatura en Contaduría Pública, junto con el presente informe, para su revisión.</w:t>
      </w:r>
    </w:p>
    <w:p>
      <w:pPr>
        <w:spacing w:before="0" w:after="200" w:line="240" w:lineRule="auto"/>
        <w:jc w:val="both"/>
      </w:pPr>
      <w:r>
        <w:rPr>
          <w:rFonts w:ascii="Century Gothic" w:hAnsi="Century Gothic" w:cs="Century Gothic" w:eastAsia="Century Gothic"/>
          <w:b w:val="0"/>
          <w:i w:val="0"/>
          <w:sz w:val="20"/>
        </w:rPr>
        <w:t>Asimismo, conforme al numeral 5, inciso a, del mismo artículo, solicita que el Honorable Consejo de Carrera, por medio del Director de Carrera, remita el documento a Vicerrectorado, a fin de que Secretaría Académica y el Departamento de Evaluación y Acreditación efectúen la evaluación ex ante y emitan su informe conjunto.</w:t>
      </w:r>
    </w:p>
    <w:p>
      <w:pPr>
        <w:spacing w:before="0" w:after="200" w:line="240" w:lineRule="auto"/>
        <w:jc w:val="both"/>
      </w:pPr>
      <w:r>
        <w:rPr>
          <w:rFonts w:ascii="Century Gothic" w:hAnsi="Century Gothic" w:cs="Century Gothic" w:eastAsia="Century Gothic"/>
          <w:b w:val="0"/>
          <w:i w:val="0"/>
          <w:sz w:val="20"/>
        </w:rPr>
        <w:t>El procedimiento posterior, establecido en el mismo artículo, es el siguiente:</w:t>
      </w:r>
    </w:p>
    <w:p>
      <w:pPr>
        <w:keepNext/>
        <w:spacing w:before="40" w:after="80" w:line="240" w:lineRule="auto"/>
        <w:jc w:val="center"/>
      </w:pPr>
      <w:r>
        <w:rPr>
          <w:rFonts w:ascii="Century Gothic" w:hAnsi="Century Gothic" w:cs="Century Gothic" w:eastAsia="Century Gothic"/>
          <w:b/>
          <w:i w:val="0"/>
          <w:sz w:val="20"/>
        </w:rPr>
        <w:t>Cuadro 11. Procedimiento de aprobación del Rediseño Curricular</w:t>
      </w:r>
    </w:p>
    <w:tbl>
      <w:tblPr>
        <w:tblW w:type="auto" w:w="0"/>
        <w:jc w:val="center"/>
        <w:tblLayout w:type="fixed"/>
        <w:tblLook w:firstColumn="1" w:firstRow="1" w:lastColumn="0" w:lastRow="0" w:noHBand="0" w:noVBand="1" w:val="04A0"/>
      </w:tblPr>
      <w:tblGrid>
        <w:gridCol w:w="737"/>
        <w:gridCol w:w="3231"/>
        <w:gridCol w:w="5102"/>
      </w:tblGrid>
      <w:tr>
        <w:trPr>
          <w:tblHeader/>
        </w:trPr>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Paso</w:t>
            </w:r>
          </w:p>
        </w:tc>
        <w:tc>
          <w:tcPr>
            <w:tcW w:type="dxa" w:w="323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Instancia</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Acción</w:t>
            </w:r>
          </w:p>
        </w:tc>
      </w:tr>
      <w:tr>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Honorable Consejo de Carrera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Revisa el documento y el informe de la Comisión Académica y los remite a Vicerrectorado, por medio del Director de Carrera</w:t>
            </w:r>
          </w:p>
        </w:tc>
      </w:tr>
      <w:tr>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Secretaría Académica y Departamento de Evaluación y Acreditación</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Efectúan la evaluación ex ante y emiten informe conjunto. Si hay observaciones, la Comisión Académica las subsana y el documento se remite para una nueva evaluación</w:t>
            </w:r>
          </w:p>
        </w:tc>
      </w:tr>
      <w:tr>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Asamblea Docente Estudiantil, Honorable Consejo de Carrera y Honorable Consejo Facultativo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Aprueban el documento sin observaciones; el Honorable Consejo Facultativo lo remite al Consejo Académico Universitario</w:t>
            </w:r>
          </w:p>
        </w:tc>
      </w:tr>
      <w:tr>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Consejo Académico Universitario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Efectúa la revisión final y lo remite al Honorable Consejo Universitario por medio de Rectorado y Secretaría General</w:t>
            </w:r>
          </w:p>
        </w:tc>
      </w:tr>
      <w:tr>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Honorable Consejo Universitario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Aprueba el Rediseño Curricular, la tabla de convalidación de asignaturas y la tabla de homologaciones</w:t>
            </w:r>
          </w:p>
        </w:tc>
      </w:tr>
      <w:tr>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w:t>
            </w:r>
          </w:p>
        </w:tc>
        <w:tc>
          <w:tcPr>
            <w:tcW w:type="dxa" w:w="3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Reunión Académica Nacional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Registra oficialmente el documento y sus resoluciones, conforme a la Disposición final segunda</w:t>
            </w:r>
          </w:p>
        </w:tc>
      </w:tr>
    </w:tbl>
    <w:p>
      <w:pPr>
        <w:spacing w:before="40" w:after="200" w:line="240" w:lineRule="auto"/>
        <w:jc w:val="left"/>
      </w:pPr>
      <w:r>
        <w:rPr>
          <w:rFonts w:ascii="Century Gothic" w:hAnsi="Century Gothic" w:cs="Century Gothic" w:eastAsia="Century Gothic"/>
          <w:b w:val="0"/>
          <w:i w:val="0"/>
          <w:sz w:val="16"/>
        </w:rPr>
        <w:t>Fuente: Resolución HCU N.º 032/2025, Artículo 15, parágrafo II, numerales 4 y 5, y Disposición final segunda.</w:t>
      </w:r>
    </w:p>
    <w:p>
      <w:pPr>
        <w:spacing w:before="0" w:after="200" w:line="240" w:lineRule="auto"/>
        <w:jc w:val="both"/>
      </w:pPr>
      <w:r>
        <w:rPr>
          <w:rFonts w:ascii="Century Gothic" w:hAnsi="Century Gothic" w:cs="Century Gothic" w:eastAsia="Century Gothic"/>
          <w:b w:val="0"/>
          <w:i w:val="0"/>
          <w:sz w:val="20"/>
        </w:rPr>
        <w:t>Aprobado en todas las instancias, el Rediseño Curricular se aplicará en la gestión siguiente, conforme al Artículo 16, con la primera cohorte en 2027.</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10.</w:t>
        <w:tab/>
      </w:r>
      <w:r>
        <w:rPr>
          <w:rFonts w:ascii="Century Gothic" w:hAnsi="Century Gothic" w:cs="Century Gothic" w:eastAsia="Century Gothic"/>
          <w:b/>
          <w:i w:val="0"/>
          <w:sz w:val="24"/>
        </w:rPr>
        <w:t>Anexos</w:t>
      </w:r>
    </w:p>
    <w:p>
      <w:pPr>
        <w:numPr>
          <w:ilvl w:val="0"/>
          <w:numId w:val="905"/>
        </w:numPr>
        <w:spacing w:before="0" w:after="160" w:line="240" w:lineRule="auto"/>
        <w:jc w:val="both"/>
      </w:pPr>
      <w:r>
        <w:rPr>
          <w:rFonts w:ascii="Century Gothic" w:hAnsi="Century Gothic" w:cs="Century Gothic" w:eastAsia="Century Gothic"/>
          <w:b w:val="0"/>
          <w:i w:val="0"/>
          <w:sz w:val="20"/>
        </w:rPr>
        <w:t>Cuadro comparativo del Plan de Estudios 2013 y el Rediseño Curricular, conforme al Artículo 13.</w:t>
      </w:r>
    </w:p>
    <w:p>
      <w:pPr>
        <w:numPr>
          <w:ilvl w:val="0"/>
          <w:numId w:val="905"/>
        </w:numPr>
        <w:spacing w:before="0" w:after="160" w:line="240" w:lineRule="auto"/>
        <w:jc w:val="both"/>
      </w:pPr>
      <w:r>
        <w:rPr>
          <w:rFonts w:ascii="Century Gothic" w:hAnsi="Century Gothic" w:cs="Century Gothic" w:eastAsia="Century Gothic"/>
          <w:b w:val="0"/>
          <w:i w:val="0"/>
          <w:sz w:val="20"/>
        </w:rPr>
        <w:t>Documento de Rediseño Curricular de la Licenciatura en Contaduría Pública, en formato físico y digital.</w:t>
      </w:r>
    </w:p>
    <w:p>
      <w:pPr>
        <w:numPr>
          <w:ilvl w:val="0"/>
          <w:numId w:val="905"/>
        </w:numPr>
        <w:spacing w:before="0" w:after="160" w:line="240" w:lineRule="auto"/>
        <w:jc w:val="both"/>
      </w:pPr>
      <w:r>
        <w:rPr>
          <w:rFonts w:ascii="Century Gothic" w:hAnsi="Century Gothic" w:cs="Century Gothic" w:eastAsia="Century Gothic"/>
          <w:b w:val="0"/>
          <w:i w:val="0"/>
          <w:sz w:val="20"/>
        </w:rPr>
        <w:t>Resoluciones HCF N.º 1057/2026 y N.º 1126/2026.</w:t>
      </w:r>
    </w:p>
    <w:p>
      <w:pPr>
        <w:numPr>
          <w:ilvl w:val="0"/>
          <w:numId w:val="905"/>
        </w:numPr>
        <w:spacing w:before="0" w:after="160" w:line="240" w:lineRule="auto"/>
        <w:jc w:val="both"/>
      </w:pPr>
      <w:r>
        <w:rPr>
          <w:rFonts w:ascii="Century Gothic" w:hAnsi="Century Gothic" w:cs="Century Gothic" w:eastAsia="Century Gothic"/>
          <w:b w:val="0"/>
          <w:i w:val="0"/>
          <w:sz w:val="20"/>
        </w:rPr>
        <w:t>Actas de la Asamblea Docente Estudiantil y de las reuniones de la Comisión Académica.</w:t>
      </w:r>
    </w:p>
    <w:p>
      <w:pPr>
        <w:numPr>
          <w:ilvl w:val="0"/>
          <w:numId w:val="905"/>
        </w:numPr>
        <w:spacing w:before="0" w:after="160" w:line="240" w:lineRule="auto"/>
        <w:jc w:val="both"/>
      </w:pPr>
      <w:r>
        <w:rPr>
          <w:rFonts w:ascii="Century Gothic" w:hAnsi="Century Gothic" w:cs="Century Gothic" w:eastAsia="Century Gothic"/>
          <w:b w:val="0"/>
          <w:i w:val="0"/>
          <w:sz w:val="20"/>
        </w:rPr>
        <w:t>Informes de las subcomisiones de trabajo por punto y por área.</w:t>
      </w:r>
    </w:p>
    <w:p>
      <w:pPr>
        <w:numPr>
          <w:ilvl w:val="0"/>
          <w:numId w:val="905"/>
        </w:numPr>
        <w:spacing w:before="0" w:after="160" w:line="240" w:lineRule="auto"/>
        <w:jc w:val="both"/>
      </w:pPr>
      <w:r>
        <w:rPr>
          <w:rFonts w:ascii="Century Gothic" w:hAnsi="Century Gothic" w:cs="Century Gothic" w:eastAsia="Century Gothic"/>
          <w:b w:val="0"/>
          <w:i w:val="0"/>
          <w:sz w:val="20"/>
        </w:rPr>
        <w:t>Informe de observaciones y recomendaciones y matriz de cumplimiento de los planes de asignatura.</w:t>
      </w:r>
    </w:p>
    <w:p>
      <w:pPr>
        <w:numPr>
          <w:ilvl w:val="0"/>
          <w:numId w:val="905"/>
        </w:numPr>
        <w:spacing w:before="0" w:after="200" w:line="240" w:lineRule="auto"/>
        <w:jc w:val="both"/>
      </w:pPr>
      <w:r>
        <w:rPr>
          <w:rFonts w:ascii="Century Gothic" w:hAnsi="Century Gothic" w:cs="Century Gothic" w:eastAsia="Century Gothic"/>
          <w:b w:val="0"/>
          <w:i w:val="0"/>
          <w:sz w:val="20"/>
        </w:rPr>
        <w:t>Documento de propuestas para el cumplimiento de la Resolución HCU N.º 032/2025, con las decisiones de la Comisión.</w:t>
      </w:r>
    </w:p>
    <w:p>
      <w:pPr>
        <w:spacing w:after="120"/>
      </w:pPr>
      <w:r>
        <w:rPr>
          <w:rFonts w:ascii="Century Gothic" w:hAnsi="Century Gothic" w:eastAsia="Century Gothic"/>
          <w:b w:val="0"/>
          <w:sz w:val="20"/>
        </w:rPr>
        <w:t>Es cuanto informa la Comisión Académica, para fines consiguientes.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702"/>
        <w:gridCol w:w="4702"/>
      </w:tblGrid>
      <w:tr>
        <w:trPr>
          <w:cantSplit/>
        </w:trPr>
        <w:tc>
          <w:tcPr>
            <w:tcW w:type="dxa" w:w="4535"/>
            <w:gridSpan w:val="2"/>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rPr>
              <w:t>MSc. René Mejía Flores</w:t>
            </w:r>
          </w:p>
          <w:p>
            <w:pPr>
              <w:spacing w:after="0"/>
              <w:jc w:val="center"/>
            </w:pPr>
            <w:r>
              <w:rPr>
                <w:rFonts w:ascii="Century Gothic" w:hAnsi="Century Gothic" w:eastAsia="Century Gothic"/>
                <w:b w:val="0"/>
                <w:sz w:val="18"/>
              </w:rPr>
              <w:t>Director de Carrera</w:t>
            </w:r>
          </w:p>
          <w:p>
            <w:pPr>
              <w:spacing w:after="0"/>
              <w:jc w:val="center"/>
            </w:pPr>
            <w:r>
              <w:rPr>
                <w:rFonts w:ascii="Century Gothic" w:hAnsi="Century Gothic" w:eastAsia="Century Gothic"/>
                <w:b w:val="0"/>
                <w:sz w:val="18"/>
              </w:rPr>
              <w:t>Presidente de la Comisión Académica</w:t>
            </w:r>
          </w:p>
        </w:tc>
      </w:tr>
      <w:tr>
        <w:trPr>
          <w:cantSplit/>
        </w:trPr>
        <w:tc>
          <w:tcPr>
            <w:tcW w:type="dxa" w:w="4535"/>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highlight w:val="yellow"/>
              </w:rPr>
              <w:t>(completar)</w:t>
            </w:r>
          </w:p>
          <w:p>
            <w:pPr>
              <w:spacing w:after="0"/>
              <w:jc w:val="center"/>
            </w:pPr>
            <w:r>
              <w:rPr>
                <w:rFonts w:ascii="Century Gothic" w:hAnsi="Century Gothic" w:eastAsia="Century Gothic"/>
                <w:b w:val="0"/>
                <w:sz w:val="18"/>
              </w:rPr>
              <w:t>Secretario docente</w:t>
            </w:r>
          </w:p>
        </w:tc>
        <w:tc>
          <w:tcPr>
            <w:tcW w:type="dxa" w:w="4535"/>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highlight w:val="yellow"/>
              </w:rPr>
              <w:t>(completar)</w:t>
            </w:r>
          </w:p>
          <w:p>
            <w:pPr>
              <w:spacing w:after="0"/>
              <w:jc w:val="center"/>
            </w:pPr>
            <w:r>
              <w:rPr>
                <w:rFonts w:ascii="Century Gothic" w:hAnsi="Century Gothic" w:eastAsia="Century Gothic"/>
                <w:b w:val="0"/>
                <w:sz w:val="18"/>
              </w:rPr>
              <w:t>Secretario estudiantil</w:t>
            </w:r>
          </w:p>
        </w:tc>
      </w:tr>
      <w:tr>
        <w:trPr>
          <w:cantSplit/>
        </w:trPr>
        <w:tc>
          <w:tcPr>
            <w:tcW w:type="dxa" w:w="4535"/>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highlight w:val="yellow"/>
              </w:rPr>
              <w:t>(completar)</w:t>
            </w:r>
          </w:p>
          <w:p>
            <w:pPr>
              <w:spacing w:after="0"/>
              <w:jc w:val="center"/>
            </w:pPr>
            <w:r>
              <w:rPr>
                <w:rFonts w:ascii="Century Gothic" w:hAnsi="Century Gothic" w:eastAsia="Century Gothic"/>
                <w:b w:val="0"/>
                <w:sz w:val="18"/>
              </w:rPr>
              <w:t>Docente, miembro</w:t>
            </w:r>
          </w:p>
        </w:tc>
        <w:tc>
          <w:tcPr>
            <w:tcW w:type="dxa" w:w="4535"/>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highlight w:val="yellow"/>
              </w:rPr>
              <w:t>(completar)</w:t>
            </w:r>
          </w:p>
          <w:p>
            <w:pPr>
              <w:spacing w:after="0"/>
              <w:jc w:val="center"/>
            </w:pPr>
            <w:r>
              <w:rPr>
                <w:rFonts w:ascii="Century Gothic" w:hAnsi="Century Gothic" w:eastAsia="Century Gothic"/>
                <w:b w:val="0"/>
                <w:sz w:val="18"/>
              </w:rPr>
              <w:t>Estudiante, miembro</w:t>
            </w:r>
          </w:p>
        </w:tc>
      </w:tr>
      <w:tr>
        <w:trPr>
          <w:cantSplit/>
        </w:trPr>
        <w:tc>
          <w:tcPr>
            <w:tcW w:type="dxa" w:w="4535"/>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highlight w:val="yellow"/>
              </w:rPr>
              <w:t>(completar)</w:t>
            </w:r>
          </w:p>
          <w:p>
            <w:pPr>
              <w:spacing w:after="0"/>
              <w:jc w:val="center"/>
            </w:pPr>
            <w:r>
              <w:rPr>
                <w:rFonts w:ascii="Century Gothic" w:hAnsi="Century Gothic" w:eastAsia="Century Gothic"/>
                <w:b w:val="0"/>
                <w:sz w:val="18"/>
              </w:rPr>
              <w:t>Docente, miembro</w:t>
            </w:r>
          </w:p>
        </w:tc>
        <w:tc>
          <w:tcPr>
            <w:tcW w:type="dxa" w:w="4535"/>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highlight w:val="yellow"/>
              </w:rPr>
              <w:t>(completar)</w:t>
            </w:r>
          </w:p>
          <w:p>
            <w:pPr>
              <w:spacing w:after="0"/>
              <w:jc w:val="center"/>
            </w:pPr>
            <w:r>
              <w:rPr>
                <w:rFonts w:ascii="Century Gothic" w:hAnsi="Century Gothic" w:eastAsia="Century Gothic"/>
                <w:b w:val="0"/>
                <w:sz w:val="18"/>
              </w:rPr>
              <w:t>Estudiante, miembro</w:t>
            </w:r>
          </w:p>
        </w:tc>
      </w:tr>
      <w:tr>
        <w:trPr>
          <w:cantSplit/>
        </w:trPr>
        <w:tc>
          <w:tcPr>
            <w:tcW w:type="dxa" w:w="4535"/>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highlight w:val="yellow"/>
              </w:rPr>
              <w:t>(completar)</w:t>
            </w:r>
          </w:p>
          <w:p>
            <w:pPr>
              <w:spacing w:after="0"/>
              <w:jc w:val="center"/>
            </w:pPr>
            <w:r>
              <w:rPr>
                <w:rFonts w:ascii="Century Gothic" w:hAnsi="Century Gothic" w:eastAsia="Century Gothic"/>
                <w:b w:val="0"/>
                <w:sz w:val="18"/>
              </w:rPr>
              <w:t>Docente, miembro</w:t>
            </w:r>
          </w:p>
        </w:tc>
        <w:tc>
          <w:tcPr>
            <w:tcW w:type="dxa" w:w="4535"/>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highlight w:val="yellow"/>
              </w:rPr>
              <w:t>(completar)</w:t>
            </w:r>
          </w:p>
          <w:p>
            <w:pPr>
              <w:spacing w:after="0"/>
              <w:jc w:val="center"/>
            </w:pPr>
            <w:r>
              <w:rPr>
                <w:rFonts w:ascii="Century Gothic" w:hAnsi="Century Gothic" w:eastAsia="Century Gothic"/>
                <w:b w:val="0"/>
                <w:sz w:val="18"/>
              </w:rPr>
              <w:t>Estudiante, miembro</w:t>
            </w:r>
          </w:p>
        </w:tc>
      </w:tr>
      <w:tr>
        <w:trPr>
          <w:cantSplit/>
        </w:trPr>
        <w:tc>
          <w:tcPr>
            <w:tcW w:type="dxa" w:w="4535"/>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highlight w:val="yellow"/>
              </w:rPr>
              <w:t>(completar)</w:t>
            </w:r>
          </w:p>
          <w:p>
            <w:pPr>
              <w:spacing w:after="0"/>
              <w:jc w:val="center"/>
            </w:pPr>
            <w:r>
              <w:rPr>
                <w:rFonts w:ascii="Century Gothic" w:hAnsi="Century Gothic" w:eastAsia="Century Gothic"/>
                <w:b w:val="0"/>
                <w:sz w:val="18"/>
              </w:rPr>
              <w:t>Docente, miembro</w:t>
            </w:r>
          </w:p>
        </w:tc>
        <w:tc>
          <w:tcPr>
            <w:tcW w:type="dxa" w:w="4535"/>
          </w:tcPr>
          <w:p>
            <w:pPr>
              <w:spacing w:before="520" w:after="0"/>
              <w:jc w:val="center"/>
            </w:pPr>
            <w:r>
              <w:rPr>
                <w:rFonts w:ascii="Century Gothic" w:hAnsi="Century Gothic" w:eastAsia="Century Gothic"/>
                <w:b w:val="0"/>
                <w:sz w:val="18"/>
              </w:rPr>
              <w:t>_______________________________</w:t>
            </w:r>
          </w:p>
          <w:p>
            <w:pPr>
              <w:spacing w:after="0"/>
              <w:jc w:val="center"/>
            </w:pPr>
            <w:r>
              <w:rPr>
                <w:rFonts w:ascii="Century Gothic" w:hAnsi="Century Gothic" w:eastAsia="Century Gothic"/>
                <w:b/>
                <w:sz w:val="18"/>
                <w:highlight w:val="yellow"/>
              </w:rPr>
              <w:t>(completar)</w:t>
            </w:r>
          </w:p>
          <w:p>
            <w:pPr>
              <w:spacing w:after="0"/>
              <w:jc w:val="center"/>
            </w:pPr>
            <w:r>
              <w:rPr>
                <w:rFonts w:ascii="Century Gothic" w:hAnsi="Century Gothic" w:eastAsia="Century Gothic"/>
                <w:b w:val="0"/>
                <w:sz w:val="18"/>
              </w:rPr>
              <w:t>Estudiante, miembro</w:t>
            </w:r>
          </w:p>
        </w:tc>
      </w:tr>
    </w:tbl>
    <w:p>
      <w:r>
        <w:br w:type="page"/>
      </w:r>
    </w:p>
    <w:p>
      <w:pPr>
        <w:keepNext/>
        <w:spacing w:before="160" w:after="200" w:line="240" w:lineRule="auto"/>
        <w:jc w:val="left"/>
      </w:pPr>
      <w:r>
        <w:rPr>
          <w:rFonts w:ascii="Century Gothic" w:hAnsi="Century Gothic" w:cs="Century Gothic" w:eastAsia="Century Gothic"/>
          <w:b/>
          <w:i w:val="0"/>
          <w:sz w:val="24"/>
        </w:rPr>
        <w:t>Anexo 1. Cuadro comparativo del Plan de Estudios 2013 y el Rediseño Curricular</w:t>
      </w:r>
    </w:p>
    <w:p>
      <w:pPr>
        <w:spacing w:before="0" w:after="200" w:line="240" w:lineRule="auto"/>
        <w:jc w:val="both"/>
      </w:pPr>
      <w:r>
        <w:rPr>
          <w:rFonts w:ascii="Century Gothic" w:hAnsi="Century Gothic" w:cs="Century Gothic" w:eastAsia="Century Gothic"/>
          <w:b w:val="0"/>
          <w:i w:val="0"/>
          <w:sz w:val="20"/>
        </w:rPr>
        <w:t>Conforme al Artículo 13 de la Resolución HCU N.º 032/2025, el siguiente cuadro especifica el nivel de innovación curricular y muestra el detalle de la situación anterior y posterior al rediseño:</w:t>
      </w:r>
    </w:p>
    <w:p>
      <w:pPr>
        <w:keepNext/>
        <w:spacing w:before="40" w:after="80" w:line="240" w:lineRule="auto"/>
        <w:jc w:val="center"/>
      </w:pPr>
      <w:r>
        <w:rPr>
          <w:rFonts w:ascii="Century Gothic" w:hAnsi="Century Gothic" w:cs="Century Gothic" w:eastAsia="Century Gothic"/>
          <w:b/>
          <w:i w:val="0"/>
          <w:sz w:val="20"/>
        </w:rPr>
        <w:t>Cuadro 12. Situación anterior y posterior al rediseño</w:t>
      </w:r>
    </w:p>
    <w:tbl>
      <w:tblPr>
        <w:tblW w:type="auto" w:w="0"/>
        <w:jc w:val="center"/>
        <w:tblLayout w:type="fixed"/>
        <w:tblLook w:firstColumn="1" w:firstRow="1" w:lastColumn="0" w:lastRow="0" w:noHBand="0" w:noVBand="1" w:val="04A0"/>
      </w:tblPr>
      <w:tblGrid>
        <w:gridCol w:w="2041"/>
        <w:gridCol w:w="3175"/>
        <w:gridCol w:w="3855"/>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Aspecto</w:t>
            </w:r>
          </w:p>
        </w:tc>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Plan de Estudios 2013</w:t>
            </w:r>
          </w:p>
        </w:tc>
        <w:tc>
          <w:tcPr>
            <w:tcW w:type="dxa" w:w="38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Rediseño Curricular</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Nivel de innovación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Plan vigente</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Rediseño curricular, Artículo 5 de la Resolución HCU N.º 032/2025</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Aprobación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Resoluciones HCC N.º 162/2012, HCF N.º 929/2012 y HCU N.º 025/2013</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Declaratoria de necesidad por Resolución HCF N.º 1057/2026; aprobación en trámite</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Perfil de egreso</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Orientado a la auditoría financiera</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Contador Público con competencias en información financiera, aseguramiento, tecnología, sostenibilidad y ética bajo el Código del IESBA</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Enfoque curricular</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Organización por asignaturas y áreas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Formación por competencias, con mapa de competencias y planes de asignatura por unidad y elementos de competencia</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Duración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Cinco años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Cinco años</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Régimen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Anual, con asignaturas semestrales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Anual en todas las asignaturas</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Asignaturas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43: 29 del Área Contable y de Auditoría y 14 del Área Contextual</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43: 29 del Área Contable y de Auditoría y 14 del Área Contextual, con cambios de denominación, contenido o año detallados en el punto 3.1.4</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Carga horaria y créditos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6.000 horas académicas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6.000 horas presenciales, 3.000 horas no presenciales y 300 créditos, 60 por año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Grados intermedios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Técnico Superior en Contabilidad General</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Técnico Universitario Medio en Contabilidad y Técnico Superior en Contabilidad General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Prácticas preprofesionales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No contempladas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Obligatorias desde el tercer año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Tecnología</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Sistemas de información y contabilidad automatizada, sin analítica de datos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Tecnologías de información, sistemas ERP, análisis de datos, auditoría digital y ciberseguridad</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Sostenibilidad</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Gabinete de Auditoría Ambiental, sin información ni aseguramiento de sostenibilidad</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Reportes y aseguramiento de sostenibilidad y auditoría ambiental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Idioma</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No contemplado</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Inglés nivel B2 como requisito de egreso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7"/>
              </w:rPr>
              <w:t>Transición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No aplica</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Convalidación y homologación, implementación año por año desde 2027 y extinción progresiva del Plan 2013</w:t>
            </w:r>
          </w:p>
        </w:tc>
      </w:tr>
    </w:tbl>
    <w:p>
      <w:pPr>
        <w:spacing w:before="40" w:after="200" w:line="240" w:lineRule="auto"/>
        <w:jc w:val="left"/>
      </w:pPr>
      <w:r>
        <w:rPr>
          <w:rFonts w:ascii="Century Gothic" w:hAnsi="Century Gothic" w:cs="Century Gothic" w:eastAsia="Century Gothic"/>
          <w:b w:val="0"/>
          <w:i w:val="0"/>
          <w:sz w:val="16"/>
        </w:rPr>
        <w:t>Fuente: documento de Rediseño Curricular, puntos 1, 3, 4, 5 y 16.</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1"/>
    <w:lvlOverride w:ilvl="0">
      <w:startOverride w:val="1"/>
    </w:lvlOverride>
  </w:num>
  <w:num w:numId="902">
    <w:abstractNumId w:val="900"/>
    <w:lvlOverride w:ilvl="0">
      <w:startOverride w:val="1"/>
    </w:lvlOverride>
  </w:num>
  <w:num w:numId="903">
    <w:abstractNumId w:val="901"/>
    <w:lvlOverride w:ilvl="0">
      <w:startOverride w:val="1"/>
    </w:lvlOverride>
  </w:num>
  <w:num w:numId="904">
    <w:abstractNumId w:val="902"/>
    <w:lvlOverride w:ilvl="0">
      <w:startOverride w:val="1"/>
    </w:lvlOverride>
  </w:num>
  <w:num w:numId="905">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 Comisión Académica - Rediseño Curricular</dc:title>
  <dc:subject/>
  <dc:creator>Carrera de Contaduría Pública - UMSA</dc:creator>
  <cp:keywords/>
  <dc:description/>
  <cp:lastModifiedBy>Roberto Mauricio Ramos Callisaya</cp:lastModifiedBy>
  <cp:revision>1</cp:revision>
  <dcterms:created xsi:type="dcterms:W3CDTF">2013-12-23T23:15:00Z</dcterms:created>
  <dcterms:modified xsi:type="dcterms:W3CDTF">2013-12-23T23:15:00Z</dcterms:modified>
  <cp:category/>
</cp:coreProperties>
</file>