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4.3</w:t>
        <w:tab/>
      </w:r>
      <w:r>
        <w:rPr>
          <w:rFonts w:ascii="Century Gothic" w:hAnsi="Century Gothic" w:cs="Century Gothic" w:eastAsia="Century Gothic"/>
          <w:b/>
          <w:i w:val="0"/>
          <w:sz w:val="24"/>
        </w:rPr>
        <w:t>Plan de estudios propuesto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4.3.1</w:t>
        <w:tab/>
      </w:r>
      <w:r>
        <w:rPr>
          <w:rFonts w:ascii="Century Gothic" w:hAnsi="Century Gothic" w:cs="Century Gothic" w:eastAsia="Century Gothic"/>
          <w:b/>
          <w:i w:val="0"/>
          <w:sz w:val="22"/>
        </w:rPr>
        <w:t>Modelo curricular</w:t>
      </w:r>
    </w:p>
    <w:p>
      <w:pPr>
        <w:spacing w:before="0" w:after="200" w:line="240" w:lineRule="auto"/>
        <w:jc w:val="both"/>
      </w:pPr>
      <w:r>
        <w:rPr>
          <w:rFonts w:ascii="Century Gothic" w:hAnsi="Century Gothic" w:cs="Century Gothic" w:eastAsia="Century Gothic"/>
          <w:b w:val="0"/>
          <w:i w:val="0"/>
          <w:sz w:val="20"/>
        </w:rPr>
        <w:t>El Plan de Estudios 2027 adopta un modelo curricular por competencias, con enfoque socioformativo y de pensamiento complejo, en el que la formación se organiza en torno a desempeños profesionales observables y no a la acumulación de contenidos. Así cumple el criterio del Artículo 12 de la Resolución HCU N.º 032/2025, según el cual el plan de estudios propuesto «debe sustentarse en un modelo curricular coherente con el modelo educativo de la UMSA».</w:t>
      </w:r>
    </w:p>
    <w:p>
      <w:pPr>
        <w:keepNext/>
        <w:spacing w:before="40" w:after="200" w:line="240" w:lineRule="auto"/>
        <w:jc w:val="left"/>
      </w:pPr>
      <w:r>
        <w:rPr>
          <w:rFonts w:ascii="Century Gothic" w:hAnsi="Century Gothic" w:cs="Century Gothic" w:eastAsia="Century Gothic"/>
          <w:b/>
          <w:i w:val="0"/>
          <w:sz w:val="22"/>
        </w:rPr>
        <w:t>Fundamento normativo</w:t>
      </w:r>
    </w:p>
    <w:p>
      <w:pPr>
        <w:numPr>
          <w:ilvl w:val="0"/>
          <w:numId w:val="901"/>
        </w:numPr>
        <w:spacing w:before="0" w:after="160" w:line="240" w:lineRule="auto"/>
        <w:jc w:val="both"/>
      </w:pPr>
      <w:r>
        <w:rPr>
          <w:rFonts w:ascii="Century Gothic" w:hAnsi="Century Gothic" w:cs="Century Gothic" w:eastAsia="Century Gothic"/>
          <w:b w:val="0"/>
          <w:i w:val="0"/>
          <w:sz w:val="20"/>
        </w:rP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pPr>
        <w:numPr>
          <w:ilvl w:val="0"/>
          <w:numId w:val="901"/>
        </w:numPr>
        <w:spacing w:before="0" w:after="160" w:line="240" w:lineRule="auto"/>
        <w:jc w:val="both"/>
      </w:pPr>
      <w:r>
        <w:rPr>
          <w:rFonts w:ascii="Century Gothic" w:hAnsi="Century Gothic" w:cs="Century Gothic" w:eastAsia="Century Gothic"/>
          <w:b w:val="0"/>
          <w:i w:val="0"/>
          <w:sz w:val="20"/>
        </w:rP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 Autorizado y el enfoque por competencias para todas las Carreras del Sistema.</w:t>
      </w:r>
    </w:p>
    <w:p>
      <w:pPr>
        <w:numPr>
          <w:ilvl w:val="0"/>
          <w:numId w:val="901"/>
        </w:numPr>
        <w:spacing w:before="0" w:after="160" w:line="240" w:lineRule="auto"/>
        <w:jc w:val="both"/>
      </w:pPr>
      <w:r>
        <w:rPr>
          <w:rFonts w:ascii="Century Gothic" w:hAnsi="Century Gothic" w:cs="Century Gothic" w:eastAsia="Century Gothic"/>
          <w:b w:val="0"/>
          <w:i w:val="0"/>
          <w:sz w:val="20"/>
        </w:rPr>
        <w:t>Las Normas Internacionales de Educación de la IFAC, que definen la competencia profesional como la integración de la competencia técnica, IES 2, las habilidades profesionales, IES 3, y los valores, la ética y las actitudes profesionales, IES 4.</w:t>
      </w:r>
    </w:p>
    <w:p>
      <w:pPr>
        <w:numPr>
          <w:ilvl w:val="0"/>
          <w:numId w:val="901"/>
        </w:numPr>
        <w:spacing w:before="0" w:after="200" w:line="240" w:lineRule="auto"/>
        <w:jc w:val="both"/>
      </w:pPr>
      <w:r>
        <w:rPr>
          <w:rFonts w:ascii="Century Gothic" w:hAnsi="Century Gothic" w:cs="Century Gothic" w:eastAsia="Century Gothic"/>
          <w:b w:val="0"/>
          <w:i w:val="0"/>
          <w:sz w:val="20"/>
        </w:rPr>
        <w:t>La Resolución HCF N.º 1057/2026, que aprueba la Declaratoria de Necesidad de Rediseño Curricular, y la Resolución HCF N.º 1126/2026, de 10 de septiembre de 2026, que aprueba la conformación de la Comisión Académica para el rediseño.</w:t>
      </w:r>
    </w:p>
    <w:p>
      <w:pPr>
        <w:keepNext/>
        <w:spacing w:before="40" w:after="200" w:line="240" w:lineRule="auto"/>
        <w:jc w:val="left"/>
      </w:pPr>
      <w:r>
        <w:rPr>
          <w:rFonts w:ascii="Century Gothic" w:hAnsi="Century Gothic" w:cs="Century Gothic" w:eastAsia="Century Gothic"/>
          <w:b/>
          <w:i w:val="0"/>
          <w:sz w:val="22"/>
        </w:rPr>
        <w:t>Concepto de competencia</w:t>
      </w:r>
    </w:p>
    <w:p>
      <w:pPr>
        <w:spacing w:before="0" w:after="200" w:line="240" w:lineRule="auto"/>
        <w:jc w:val="both"/>
      </w:pPr>
      <w:r>
        <w:rPr>
          <w:rFonts w:ascii="Century Gothic" w:hAnsi="Century Gothic" w:cs="Century Gothic" w:eastAsia="Century Gothic"/>
          <w:b w:val="0"/>
          <w:i w:val="0"/>
          <w:sz w:val="20"/>
        </w:rPr>
        <w:t>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para la cual la competencia profesional es la capacidad de desempeñar un rol conforme a un estándar definido.</w:t>
      </w:r>
    </w:p>
    <w:p>
      <w:pPr>
        <w:keepNext/>
        <w:spacing w:before="40" w:after="200" w:line="240" w:lineRule="auto"/>
        <w:jc w:val="left"/>
      </w:pPr>
      <w:r>
        <w:rPr>
          <w:rFonts w:ascii="Century Gothic" w:hAnsi="Century Gothic" w:cs="Century Gothic" w:eastAsia="Century Gothic"/>
          <w:b/>
          <w:i w:val="0"/>
          <w:sz w:val="22"/>
        </w:rPr>
        <w:t>Tipos de competencias</w:t>
      </w:r>
    </w:p>
    <w:p>
      <w:pPr>
        <w:numPr>
          <w:ilvl w:val="0"/>
          <w:numId w:val="902"/>
        </w:numPr>
        <w:spacing w:before="0" w:after="160" w:line="240" w:lineRule="auto"/>
        <w:jc w:val="both"/>
      </w:pPr>
      <w:r>
        <w:rPr>
          <w:rFonts w:ascii="Century Gothic" w:hAnsi="Century Gothic" w:cs="Century Gothic" w:eastAsia="Century Gothic"/>
          <w:b/>
          <w:i w:val="0"/>
          <w:sz w:val="20"/>
        </w:rPr>
        <w:t>Competencias específicas:</w:t>
      </w:r>
      <w:r>
        <w:rPr>
          <w:rFonts w:ascii="Century Gothic" w:hAnsi="Century Gothic" w:cs="Century Gothic" w:eastAsia="Century Gothic"/>
          <w:b w:val="0"/>
          <w:i w:val="0"/>
          <w:sz w:val="20"/>
        </w:rPr>
        <w:t xml:space="preserve"> propias del ejercicio de la Contaduría Pública: preparación y presentación de información financiera y de sostenibilidad, servicios de aseguramiento y servicios distintos del aseguramiento, en los sectores público y privado.</w:t>
      </w:r>
    </w:p>
    <w:p>
      <w:pPr>
        <w:numPr>
          <w:ilvl w:val="0"/>
          <w:numId w:val="902"/>
        </w:numPr>
        <w:spacing w:before="0" w:after="160" w:line="240" w:lineRule="auto"/>
        <w:jc w:val="both"/>
      </w:pPr>
      <w:r>
        <w:rPr>
          <w:rFonts w:ascii="Century Gothic" w:hAnsi="Century Gothic" w:cs="Century Gothic" w:eastAsia="Century Gothic"/>
          <w:b/>
          <w:i w:val="0"/>
          <w:sz w:val="20"/>
        </w:rPr>
        <w:t>Competencias genéricas o transversales:</w:t>
      </w:r>
      <w:r>
        <w:rPr>
          <w:rFonts w:ascii="Century Gothic" w:hAnsi="Century Gothic" w:cs="Century Gothic" w:eastAsia="Century Gothic"/>
          <w:b w:val="0"/>
          <w:i w:val="0"/>
          <w:sz w:val="20"/>
        </w:rPr>
        <w:t xml:space="preserve"> comunes a toda formación universitaria: pensamiento crítico, comunicación oral y escrita, trabajo en equipo, investigación, uso de tecnologías y aprendizaje autónomo, según el Proyecto Tuning América Latina.</w:t>
      </w:r>
    </w:p>
    <w:p>
      <w:pPr>
        <w:numPr>
          <w:ilvl w:val="0"/>
          <w:numId w:val="902"/>
        </w:numPr>
        <w:spacing w:before="0" w:after="200" w:line="240" w:lineRule="auto"/>
        <w:jc w:val="both"/>
      </w:pPr>
      <w:r>
        <w:rPr>
          <w:rFonts w:ascii="Century Gothic" w:hAnsi="Century Gothic" w:cs="Century Gothic" w:eastAsia="Century Gothic"/>
          <w:b/>
          <w:i w:val="0"/>
          <w:sz w:val="20"/>
        </w:rPr>
        <w:t>Competencias básicas:</w:t>
      </w:r>
      <w:r>
        <w:rPr>
          <w:rFonts w:ascii="Century Gothic" w:hAnsi="Century Gothic" w:cs="Century Gothic" w:eastAsia="Century Gothic"/>
          <w:b w:val="0"/>
          <w:i w:val="0"/>
          <w:sz w:val="20"/>
        </w:rPr>
        <w:t xml:space="preserve"> brindan los fundamentos matemáticos, económicos, jurídicos y administrativos sobre los que se construye la formación profesional.</w:t>
      </w:r>
    </w:p>
    <w:p>
      <w:pPr>
        <w:spacing w:before="0" w:after="200" w:line="240" w:lineRule="auto"/>
        <w:jc w:val="both"/>
      </w:pPr>
      <w:r>
        <w:rPr>
          <w:rFonts w:ascii="Century Gothic" w:hAnsi="Century Gothic" w:cs="Century Gothic" w:eastAsia="Century Gothic"/>
          <w:b w:val="0"/>
          <w:i w:val="0"/>
          <w:sz w:val="20"/>
        </w:rP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pPr>
        <w:keepNext/>
        <w:spacing w:before="40" w:after="200" w:line="240" w:lineRule="auto"/>
        <w:jc w:val="left"/>
      </w:pPr>
      <w:r>
        <w:rPr>
          <w:rFonts w:ascii="Century Gothic" w:hAnsi="Century Gothic" w:cs="Century Gothic" w:eastAsia="Century Gothic"/>
          <w:b/>
          <w:i w:val="0"/>
          <w:sz w:val="22"/>
        </w:rPr>
        <w:t>Estructura de desagregación</w:t>
      </w:r>
    </w:p>
    <w:p>
      <w:pPr>
        <w:spacing w:before="0" w:after="200" w:line="240" w:lineRule="auto"/>
        <w:jc w:val="both"/>
      </w:pPr>
      <w:r>
        <w:rPr>
          <w:rFonts w:ascii="Century Gothic" w:hAnsi="Century Gothic" w:cs="Century Gothic" w:eastAsia="Century Gothic"/>
          <w:b w:val="0"/>
          <w:i w:val="0"/>
          <w:sz w:val="20"/>
        </w:rPr>
        <w:t>El modelo se concreta de lo general a lo particular en cinco niveles:</w:t>
      </w:r>
    </w:p>
    <w:p>
      <w:pPr>
        <w:numPr>
          <w:ilvl w:val="0"/>
          <w:numId w:val="903"/>
        </w:numPr>
        <w:spacing w:before="0" w:after="160" w:line="240" w:lineRule="auto"/>
        <w:jc w:val="both"/>
      </w:pPr>
      <w:r>
        <w:rPr>
          <w:rFonts w:ascii="Century Gothic" w:hAnsi="Century Gothic" w:cs="Century Gothic" w:eastAsia="Century Gothic"/>
          <w:b/>
          <w:i w:val="0"/>
          <w:sz w:val="20"/>
        </w:rPr>
        <w:t>Perfil profesional del Contador Público Autorizado</w:t>
      </w:r>
      <w:r>
        <w:rPr>
          <w:rFonts w:ascii="Century Gothic" w:hAnsi="Century Gothic" w:cs="Century Gothic" w:eastAsia="Century Gothic"/>
          <w:b w:val="0"/>
          <w:i w:val="0"/>
          <w:sz w:val="20"/>
        </w:rPr>
        <w:t>, que expresa el desempeño integral esperado del graduado.</w:t>
      </w:r>
    </w:p>
    <w:p>
      <w:pPr>
        <w:numPr>
          <w:ilvl w:val="0"/>
          <w:numId w:val="903"/>
        </w:numPr>
        <w:spacing w:before="0" w:after="160" w:line="240" w:lineRule="auto"/>
        <w:jc w:val="both"/>
      </w:pPr>
      <w:r>
        <w:rPr>
          <w:rFonts w:ascii="Century Gothic" w:hAnsi="Century Gothic" w:cs="Century Gothic" w:eastAsia="Century Gothic"/>
          <w:b/>
          <w:i w:val="0"/>
          <w:sz w:val="20"/>
        </w:rPr>
        <w:t>Competencias de la Carrera</w:t>
      </w:r>
      <w:r>
        <w:rPr>
          <w:rFonts w:ascii="Century Gothic" w:hAnsi="Century Gothic" w:cs="Century Gothic" w:eastAsia="Century Gothic"/>
          <w:b w:val="0"/>
          <w:i w:val="0"/>
          <w:sz w:val="20"/>
        </w:rPr>
        <w:t>, agrupadas por áreas de formación.</w:t>
      </w:r>
    </w:p>
    <w:p>
      <w:pPr>
        <w:numPr>
          <w:ilvl w:val="0"/>
          <w:numId w:val="903"/>
        </w:numPr>
        <w:spacing w:before="0" w:after="160" w:line="240" w:lineRule="auto"/>
        <w:jc w:val="both"/>
      </w:pPr>
      <w:r>
        <w:rPr>
          <w:rFonts w:ascii="Century Gothic" w:hAnsi="Century Gothic" w:cs="Century Gothic" w:eastAsia="Century Gothic"/>
          <w:b/>
          <w:i w:val="0"/>
          <w:sz w:val="20"/>
        </w:rPr>
        <w:t>Unidad de competencia</w:t>
      </w:r>
      <w:r>
        <w:rPr>
          <w:rFonts w:ascii="Century Gothic" w:hAnsi="Century Gothic" w:cs="Century Gothic" w:eastAsia="Century Gothic"/>
          <w:b w:val="0"/>
          <w:i w:val="0"/>
          <w:sz w:val="20"/>
        </w:rPr>
        <w:t xml:space="preserve"> de cada asignatura, que sintetiza el desempeño que el estudiante logra al concluirla.</w:t>
      </w:r>
    </w:p>
    <w:p>
      <w:pPr>
        <w:numPr>
          <w:ilvl w:val="0"/>
          <w:numId w:val="903"/>
        </w:numPr>
        <w:spacing w:before="0" w:after="160" w:line="240" w:lineRule="auto"/>
        <w:jc w:val="both"/>
      </w:pPr>
      <w:r>
        <w:rPr>
          <w:rFonts w:ascii="Century Gothic" w:hAnsi="Century Gothic" w:cs="Century Gothic" w:eastAsia="Century Gothic"/>
          <w:b/>
          <w:i w:val="0"/>
          <w:sz w:val="20"/>
        </w:rPr>
        <w:t>Elementos de competencia</w:t>
      </w:r>
      <w:r>
        <w:rPr>
          <w:rFonts w:ascii="Century Gothic" w:hAnsi="Century Gothic" w:cs="Century Gothic" w:eastAsia="Century Gothic"/>
          <w:b w:val="0"/>
          <w:i w:val="0"/>
          <w:sz w:val="20"/>
        </w:rPr>
        <w:t>, que desagregan la unidad en desempeños evaluables.</w:t>
      </w:r>
    </w:p>
    <w:p>
      <w:pPr>
        <w:numPr>
          <w:ilvl w:val="0"/>
          <w:numId w:val="903"/>
        </w:numPr>
        <w:spacing w:before="0" w:after="200" w:line="240" w:lineRule="auto"/>
        <w:jc w:val="both"/>
      </w:pPr>
      <w:r>
        <w:rPr>
          <w:rFonts w:ascii="Century Gothic" w:hAnsi="Century Gothic" w:cs="Century Gothic" w:eastAsia="Century Gothic"/>
          <w:b/>
          <w:i w:val="0"/>
          <w:sz w:val="20"/>
        </w:rPr>
        <w:t>Itinerario formativo</w:t>
      </w:r>
      <w:r>
        <w:rPr>
          <w:rFonts w:ascii="Century Gothic" w:hAnsi="Century Gothic" w:cs="Century Gothic" w:eastAsia="Century Gothic"/>
          <w:b w:val="0"/>
          <w:i w:val="0"/>
          <w:sz w:val="20"/>
        </w:rP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pPr>
        <w:keepNext/>
        <w:spacing w:before="40" w:after="200" w:line="240" w:lineRule="auto"/>
        <w:jc w:val="left"/>
      </w:pPr>
      <w:r>
        <w:rPr>
          <w:rFonts w:ascii="Century Gothic" w:hAnsi="Century Gothic" w:cs="Century Gothic" w:eastAsia="Century Gothic"/>
          <w:b/>
          <w:i w:val="0"/>
          <w:sz w:val="22"/>
        </w:rPr>
        <w:t>Áreas de formación y ejes transversales</w:t>
      </w:r>
    </w:p>
    <w:p>
      <w:pPr>
        <w:spacing w:before="0" w:after="200" w:line="240" w:lineRule="auto"/>
        <w:jc w:val="both"/>
      </w:pPr>
      <w:r>
        <w:rPr>
          <w:rFonts w:ascii="Century Gothic" w:hAnsi="Century Gothic" w:cs="Century Gothic" w:eastAsia="Century Gothic"/>
          <w:b w:val="0"/>
          <w:i w:val="0"/>
          <w:sz w:val="20"/>
        </w:rP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contable; y la investigación formativa y la interacción social.</w:t>
      </w:r>
    </w:p>
    <w:p>
      <w:pPr>
        <w:keepNext/>
        <w:spacing w:before="40" w:after="200" w:line="240" w:lineRule="auto"/>
        <w:jc w:val="left"/>
      </w:pPr>
      <w:r>
        <w:rPr>
          <w:rFonts w:ascii="Century Gothic" w:hAnsi="Century Gothic" w:cs="Century Gothic" w:eastAsia="Century Gothic"/>
          <w:b/>
          <w:i w:val="0"/>
          <w:sz w:val="22"/>
        </w:rPr>
        <w:t>Modelo pedagógico y de evaluación</w:t>
      </w:r>
    </w:p>
    <w:p>
      <w:pPr>
        <w:spacing w:before="0" w:after="200" w:line="240" w:lineRule="auto"/>
        <w:jc w:val="both"/>
      </w:pPr>
      <w:r>
        <w:rPr>
          <w:rFonts w:ascii="Century Gothic" w:hAnsi="Century Gothic" w:cs="Century Gothic" w:eastAsia="Century Gothic"/>
          <w:b w:val="0"/>
          <w:i w:val="0"/>
          <w:sz w:val="20"/>
        </w:rPr>
        <w:t>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auténtica y formativa: verifica el logro de cada elemento de competencia mediante evidencias de desempeño, de producto y de conocimiento, con rúbricas, portafolios y sustentación de casos. Las estrategias se desarrollan en los puntos 4.6 y 4.7.</w:t>
      </w:r>
    </w:p>
    <w:p>
      <w:pPr>
        <w:keepNext/>
        <w:spacing w:before="40" w:after="200" w:line="240" w:lineRule="auto"/>
        <w:jc w:val="left"/>
      </w:pPr>
      <w:r>
        <w:rPr>
          <w:rFonts w:ascii="Century Gothic" w:hAnsi="Century Gothic" w:cs="Century Gothic" w:eastAsia="Century Gothic"/>
          <w:b/>
          <w:i w:val="0"/>
          <w:sz w:val="22"/>
        </w:rPr>
        <w:t>Vinculación con el medio</w:t>
      </w:r>
    </w:p>
    <w:p>
      <w:pPr>
        <w:spacing w:before="0" w:after="200" w:line="240" w:lineRule="auto"/>
        <w:jc w:val="both"/>
      </w:pPr>
      <w:r>
        <w:rPr>
          <w:rFonts w:ascii="Century Gothic" w:hAnsi="Century Gothic" w:cs="Century Gothic" w:eastAsia="Century Gothic"/>
          <w:b w:val="0"/>
          <w:i w:val="0"/>
          <w:sz w:val="20"/>
        </w:rP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4.3.2</w:t>
        <w:tab/>
      </w:r>
      <w:r>
        <w:rPr>
          <w:rFonts w:ascii="Century Gothic" w:hAnsi="Century Gothic" w:cs="Century Gothic" w:eastAsia="Century Gothic"/>
          <w:b/>
          <w:i w:val="0"/>
          <w:sz w:val="22"/>
        </w:rPr>
        <w:t>Principios del modelo</w:t>
      </w:r>
    </w:p>
    <w:p>
      <w:pPr>
        <w:spacing w:before="0" w:after="200" w:line="240" w:lineRule="auto"/>
        <w:jc w:val="both"/>
      </w:pPr>
      <w:r>
        <w:rPr>
          <w:rFonts w:ascii="Century Gothic" w:hAnsi="Century Gothic" w:cs="Century Gothic" w:eastAsia="Century Gothic"/>
          <w:b w:val="0"/>
          <w:i w:val="0"/>
          <w:sz w:val="20"/>
        </w:rP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pPr>
        <w:spacing w:before="0" w:after="200" w:line="240" w:lineRule="auto"/>
        <w:jc w:val="both"/>
      </w:pPr>
      <w:r>
        <w:rPr>
          <w:rFonts w:ascii="Century Gothic" w:hAnsi="Century Gothic" w:cs="Century Gothic" w:eastAsia="Century Gothic"/>
          <w:b/>
          <w:i w:val="0"/>
          <w:sz w:val="20"/>
        </w:rPr>
        <w:t>a. Pertinencia.</w:t>
      </w:r>
      <w:r>
        <w:rPr>
          <w:rFonts w:ascii="Century Gothic" w:hAnsi="Century Gothic" w:cs="Century Gothic" w:eastAsia="Century Gothic"/>
          <w:b w:val="0"/>
          <w:i w:val="0"/>
          <w:sz w:val="20"/>
        </w:rP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pPr>
        <w:numPr>
          <w:ilvl w:val="0"/>
          <w:numId w:val="904"/>
        </w:numPr>
        <w:spacing w:before="0" w:after="160" w:line="240" w:lineRule="auto"/>
        <w:jc w:val="both"/>
      </w:pPr>
      <w:r>
        <w:rPr>
          <w:rFonts w:ascii="Century Gothic" w:hAnsi="Century Gothic" w:cs="Century Gothic" w:eastAsia="Century Gothic"/>
          <w:b w:val="0"/>
          <w:i w:val="0"/>
          <w:sz w:val="20"/>
        </w:rPr>
        <w:t>un perfil de egreso orientado al Contador Público Autorizado, que amplía la formación más allá de la auditoría financiera hacia el aseguramiento de información no financiera, la gestión de riesgos, la consultoría y la asesoría tributaria;</w:t>
      </w:r>
    </w:p>
    <w:p>
      <w:pPr>
        <w:numPr>
          <w:ilvl w:val="0"/>
          <w:numId w:val="904"/>
        </w:numPr>
        <w:spacing w:before="0" w:after="160" w:line="240" w:lineRule="auto"/>
        <w:jc w:val="both"/>
      </w:pPr>
      <w:r>
        <w:rPr>
          <w:rFonts w:ascii="Century Gothic" w:hAnsi="Century Gothic" w:cs="Century Gothic" w:eastAsia="Century Gothic"/>
          <w:b w:val="0"/>
          <w:i w:val="0"/>
          <w:sz w:val="20"/>
        </w:rPr>
        <w:t>contenidos actualizados a las normas vigentes: NIIF y NIIF para las PYMES, NIIF de Sostenibilidad, NIA, NIEA, NIAS, ISSAI, Normas de Auditoría Gubernamental y legislación tributaria boliviana;</w:t>
      </w:r>
    </w:p>
    <w:p>
      <w:pPr>
        <w:numPr>
          <w:ilvl w:val="0"/>
          <w:numId w:val="904"/>
        </w:numPr>
        <w:spacing w:before="0" w:after="160" w:line="240" w:lineRule="auto"/>
        <w:jc w:val="both"/>
      </w:pPr>
      <w:r>
        <w:rPr>
          <w:rFonts w:ascii="Century Gothic" w:hAnsi="Century Gothic" w:cs="Century Gothic" w:eastAsia="Century Gothic"/>
          <w:b w:val="0"/>
          <w:i w:val="0"/>
          <w:sz w:val="20"/>
        </w:rPr>
        <w:t>respuesta a los campos reales de inserción de los egresados: auditoría interna, 35 %; contabilidad, 26 %; auditoría externa, 18 %; e impuestos, 11 %, según Ipsos CIESMORI;</w:t>
      </w:r>
    </w:p>
    <w:p>
      <w:pPr>
        <w:numPr>
          <w:ilvl w:val="0"/>
          <w:numId w:val="904"/>
        </w:numPr>
        <w:spacing w:before="0" w:after="200" w:line="240" w:lineRule="auto"/>
        <w:jc w:val="both"/>
      </w:pPr>
      <w:r>
        <w:rPr>
          <w:rFonts w:ascii="Century Gothic" w:hAnsi="Century Gothic" w:cs="Century Gothic" w:eastAsia="Century Gothic"/>
          <w:b w:val="0"/>
          <w:i w:val="0"/>
          <w:sz w:val="20"/>
        </w:rPr>
        <w:t>prácticas preprofesionales y proyectos con entidades públicas, empresas y organizaciones sociales.</w:t>
      </w:r>
    </w:p>
    <w:p>
      <w:pPr>
        <w:spacing w:before="0" w:after="200" w:line="240" w:lineRule="auto"/>
        <w:jc w:val="both"/>
      </w:pPr>
      <w:r>
        <w:rPr>
          <w:rFonts w:ascii="Century Gothic" w:hAnsi="Century Gothic" w:cs="Century Gothic" w:eastAsia="Century Gothic"/>
          <w:b/>
          <w:i w:val="0"/>
          <w:sz w:val="20"/>
        </w:rPr>
        <w:t>b. Flexibilidad.</w:t>
      </w:r>
      <w:r>
        <w:rPr>
          <w:rFonts w:ascii="Century Gothic" w:hAnsi="Century Gothic" w:cs="Century Gothic" w:eastAsia="Century Gothic"/>
          <w:b w:val="0"/>
          <w:i w:val="0"/>
          <w:sz w:val="20"/>
        </w:rP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pPr>
        <w:numPr>
          <w:ilvl w:val="0"/>
          <w:numId w:val="905"/>
        </w:numPr>
        <w:spacing w:before="0" w:after="160" w:line="240" w:lineRule="auto"/>
        <w:jc w:val="both"/>
      </w:pPr>
      <w:r>
        <w:rPr>
          <w:rFonts w:ascii="Century Gothic" w:hAnsi="Century Gothic" w:cs="Century Gothic" w:eastAsia="Century Gothic"/>
          <w:b w:val="0"/>
          <w:i w:val="0"/>
          <w:sz w:val="20"/>
        </w:rPr>
        <w:t>la actualización anual de los planes de asignatura mediante la complementación curricular prevista en el Artículo 7 de la Resolución HCU N.º 032/2025, sin esperar un nuevo rediseño para incorporar cambios normativos o tecnológicos;</w:t>
      </w:r>
    </w:p>
    <w:p>
      <w:pPr>
        <w:numPr>
          <w:ilvl w:val="0"/>
          <w:numId w:val="905"/>
        </w:numPr>
        <w:spacing w:before="0" w:after="160" w:line="240" w:lineRule="auto"/>
        <w:jc w:val="both"/>
      </w:pPr>
      <w:r>
        <w:rPr>
          <w:rFonts w:ascii="Century Gothic" w:hAnsi="Century Gothic" w:cs="Century Gothic" w:eastAsia="Century Gothic"/>
          <w:b w:val="0"/>
          <w:i w:val="0"/>
          <w:sz w:val="20"/>
        </w:rPr>
        <w:t>la oferta en turno diurno y nocturno y el uso de entornos virtuales de apoyo, en atención al 48,9 % de estudiantes que trabaja;</w:t>
      </w:r>
    </w:p>
    <w:p>
      <w:pPr>
        <w:numPr>
          <w:ilvl w:val="0"/>
          <w:numId w:val="905"/>
        </w:numPr>
        <w:spacing w:before="0" w:after="160" w:line="240" w:lineRule="auto"/>
        <w:jc w:val="both"/>
      </w:pPr>
      <w:r>
        <w:rPr>
          <w:rFonts w:ascii="Century Gothic" w:hAnsi="Century Gothic" w:cs="Century Gothic" w:eastAsia="Century Gothic"/>
          <w:b w:val="0"/>
          <w:i w:val="0"/>
          <w:sz w:val="20"/>
        </w:rPr>
        <w:t>los grados intermedios de Técnico Medio y Técnico Superior, y la articulación de la graduación con diplomados de postgrado;</w:t>
      </w:r>
    </w:p>
    <w:p>
      <w:pPr>
        <w:numPr>
          <w:ilvl w:val="0"/>
          <w:numId w:val="905"/>
        </w:numPr>
        <w:spacing w:before="0" w:after="200" w:line="240" w:lineRule="auto"/>
        <w:jc w:val="both"/>
      </w:pPr>
      <w:r>
        <w:rPr>
          <w:rFonts w:ascii="Century Gothic" w:hAnsi="Century Gothic" w:cs="Century Gothic" w:eastAsia="Century Gothic"/>
          <w:b w:val="0"/>
          <w:i w:val="0"/>
          <w:sz w:val="20"/>
        </w:rPr>
        <w:t>las modalidades de graduación diversificadas descritas en el punto 5.4.</w:t>
      </w:r>
    </w:p>
    <w:p>
      <w:pPr>
        <w:spacing w:before="0" w:after="200" w:line="240" w:lineRule="auto"/>
        <w:jc w:val="both"/>
      </w:pPr>
      <w:r>
        <w:rPr>
          <w:rFonts w:ascii="Century Gothic" w:hAnsi="Century Gothic" w:cs="Century Gothic" w:eastAsia="Century Gothic"/>
          <w:b/>
          <w:i w:val="0"/>
          <w:sz w:val="20"/>
        </w:rPr>
        <w:t>c. Integralidad.</w:t>
      </w:r>
      <w:r>
        <w:rPr>
          <w:rFonts w:ascii="Century Gothic" w:hAnsi="Century Gothic" w:cs="Century Gothic" w:eastAsia="Century Gothic"/>
          <w:b w:val="0"/>
          <w:i w:val="0"/>
          <w:sz w:val="20"/>
        </w:rP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pPr>
        <w:spacing w:before="0" w:after="200" w:line="240" w:lineRule="auto"/>
        <w:jc w:val="both"/>
      </w:pPr>
      <w:r>
        <w:rPr>
          <w:rFonts w:ascii="Century Gothic" w:hAnsi="Century Gothic" w:cs="Century Gothic" w:eastAsia="Century Gothic"/>
          <w:b/>
          <w:i w:val="0"/>
          <w:sz w:val="20"/>
        </w:rPr>
        <w:t>d. Interdisciplinariedad.</w:t>
      </w:r>
      <w:r>
        <w:rPr>
          <w:rFonts w:ascii="Century Gothic" w:hAnsi="Century Gothic" w:cs="Century Gothic" w:eastAsia="Century Gothic"/>
          <w:b w:val="0"/>
          <w:i w:val="0"/>
          <w:sz w:val="20"/>
        </w:rP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pPr>
        <w:spacing w:before="0" w:after="200" w:line="240" w:lineRule="auto"/>
        <w:jc w:val="both"/>
      </w:pPr>
      <w:r>
        <w:rPr>
          <w:rFonts w:ascii="Century Gothic" w:hAnsi="Century Gothic" w:cs="Century Gothic" w:eastAsia="Century Gothic"/>
          <w:b/>
          <w:i w:val="0"/>
          <w:sz w:val="20"/>
        </w:rPr>
        <w:t>e. Ética e interés público.</w:t>
      </w:r>
      <w:r>
        <w:rPr>
          <w:rFonts w:ascii="Century Gothic" w:hAnsi="Century Gothic" w:cs="Century Gothic" w:eastAsia="Century Gothic"/>
          <w:b w:val="0"/>
          <w:i w:val="0"/>
          <w:sz w:val="20"/>
        </w:rP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 de estudiantes que percibe un descuido de los valores éticos en la comunidad académica.</w:t>
      </w:r>
    </w:p>
    <w:p>
      <w:pPr>
        <w:spacing w:before="0" w:after="200" w:line="240" w:lineRule="auto"/>
        <w:jc w:val="both"/>
      </w:pPr>
      <w:r>
        <w:rPr>
          <w:rFonts w:ascii="Century Gothic" w:hAnsi="Century Gothic" w:cs="Century Gothic" w:eastAsia="Century Gothic"/>
          <w:b/>
          <w:i w:val="0"/>
          <w:sz w:val="20"/>
        </w:rPr>
        <w:t>f. Mejora continua.</w:t>
      </w:r>
      <w:r>
        <w:rPr>
          <w:rFonts w:ascii="Century Gothic" w:hAnsi="Century Gothic" w:cs="Century Gothic" w:eastAsia="Century Gothic"/>
          <w:b w:val="0"/>
          <w:i w:val="0"/>
          <w:sz w:val="20"/>
        </w:rP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4.3.3</w:t>
        <w:tab/>
      </w:r>
      <w:r>
        <w:rPr>
          <w:rFonts w:ascii="Century Gothic" w:hAnsi="Century Gothic" w:cs="Century Gothic" w:eastAsia="Century Gothic"/>
          <w:b/>
          <w:i w:val="0"/>
          <w:sz w:val="22"/>
        </w:rPr>
        <w:t>Objetivo general del diseño, rediseño o ajuste</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val="0"/>
                <w:i w:val="0"/>
                <w:sz w:val="20"/>
              </w:rP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Autorizados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Alcance de la propuesta</w:t>
      </w:r>
    </w:p>
    <w:p>
      <w:pPr>
        <w:spacing w:before="0" w:after="200" w:line="240" w:lineRule="auto"/>
        <w:jc w:val="both"/>
      </w:pPr>
      <w:r>
        <w:rPr>
          <w:rFonts w:ascii="Century Gothic" w:hAnsi="Century Gothic" w:cs="Century Gothic" w:eastAsia="Century Gothic"/>
          <w:b w:val="0"/>
          <w:i w:val="0"/>
          <w:sz w:val="20"/>
        </w:rPr>
        <w:t>La propuesta concreta el cambio de paradigma profesional de la Carrera, desde un perfil enfocado en el registro contable y la auditoría financiera clásica hacia el modelo del Contador Público Autorizado. Este paradigma mantiene la auditoría financiera como competencia central, pero amplía el ejercicio profesional a cinco campos:</w:t>
      </w:r>
    </w:p>
    <w:p>
      <w:pPr>
        <w:numPr>
          <w:ilvl w:val="0"/>
          <w:numId w:val="906"/>
        </w:numPr>
        <w:spacing w:before="0" w:after="160" w:line="240" w:lineRule="auto"/>
        <w:jc w:val="both"/>
      </w:pPr>
      <w:r>
        <w:rPr>
          <w:rFonts w:ascii="Century Gothic" w:hAnsi="Century Gothic" w:cs="Century Gothic" w:eastAsia="Century Gothic"/>
          <w:b/>
          <w:i w:val="0"/>
          <w:sz w:val="20"/>
        </w:rPr>
        <w:t>Aseguramiento integral de información:</w:t>
      </w:r>
      <w:r>
        <w:rPr>
          <w:rFonts w:ascii="Century Gothic" w:hAnsi="Century Gothic" w:cs="Century Gothic" w:eastAsia="Century Gothic"/>
          <w:b w:val="0"/>
          <w:i w:val="0"/>
          <w:sz w:val="20"/>
        </w:rPr>
        <w:t xml:space="preserve"> informes sobre información financiera y no financiera bajo las NIA, las NIER, las Normas de Auditoría Gubernamental de la Contraloría General del Estado, la NIEA 3000 y la NIAS 5000.</w:t>
      </w:r>
    </w:p>
    <w:p>
      <w:pPr>
        <w:numPr>
          <w:ilvl w:val="0"/>
          <w:numId w:val="906"/>
        </w:numPr>
        <w:spacing w:before="0" w:after="160" w:line="240" w:lineRule="auto"/>
        <w:jc w:val="both"/>
      </w:pPr>
      <w:r>
        <w:rPr>
          <w:rFonts w:ascii="Century Gothic" w:hAnsi="Century Gothic" w:cs="Century Gothic" w:eastAsia="Century Gothic"/>
          <w:b/>
          <w:i w:val="0"/>
          <w:sz w:val="20"/>
        </w:rPr>
        <w:t>Transformación digital e inteligencia de negocios:</w:t>
      </w:r>
      <w:r>
        <w:rPr>
          <w:rFonts w:ascii="Century Gothic" w:hAnsi="Century Gothic" w:cs="Century Gothic" w:eastAsia="Century Gothic"/>
          <w:b w:val="0"/>
          <w:i w:val="0"/>
          <w:sz w:val="20"/>
        </w:rPr>
        <w:t xml:space="preserve"> inteligencia artificial aplicada a la contabilidad y la auditoría, análisis de datos, automatización robótica de procesos, sistemas de gestión empresarial y ciberseguridad.</w:t>
      </w:r>
    </w:p>
    <w:p>
      <w:pPr>
        <w:numPr>
          <w:ilvl w:val="0"/>
          <w:numId w:val="906"/>
        </w:numPr>
        <w:spacing w:before="0" w:after="160" w:line="240" w:lineRule="auto"/>
        <w:jc w:val="both"/>
      </w:pPr>
      <w:r>
        <w:rPr>
          <w:rFonts w:ascii="Century Gothic" w:hAnsi="Century Gothic" w:cs="Century Gothic" w:eastAsia="Century Gothic"/>
          <w:b/>
          <w:i w:val="0"/>
          <w:sz w:val="20"/>
        </w:rPr>
        <w:t>Gestión integral de riesgos y gobernanza:</w:t>
      </w:r>
      <w:r>
        <w:rPr>
          <w:rFonts w:ascii="Century Gothic" w:hAnsi="Century Gothic" w:cs="Century Gothic" w:eastAsia="Century Gothic"/>
          <w:b w:val="0"/>
          <w:i w:val="0"/>
          <w:sz w:val="20"/>
        </w:rPr>
        <w:t xml:space="preserve"> evaluación y diseño de estructuras de control interno bajo el marco COSO y gestión de riesgos en organizaciones públicas, privadas y mixtas.</w:t>
      </w:r>
    </w:p>
    <w:p>
      <w:pPr>
        <w:numPr>
          <w:ilvl w:val="0"/>
          <w:numId w:val="906"/>
        </w:numPr>
        <w:spacing w:before="0" w:after="160" w:line="240" w:lineRule="auto"/>
        <w:jc w:val="both"/>
      </w:pPr>
      <w:r>
        <w:rPr>
          <w:rFonts w:ascii="Century Gothic" w:hAnsi="Century Gothic" w:cs="Century Gothic" w:eastAsia="Century Gothic"/>
          <w:b/>
          <w:i w:val="0"/>
          <w:sz w:val="20"/>
        </w:rPr>
        <w:t>Sostenibilidad:</w:t>
      </w:r>
      <w:r>
        <w:rPr>
          <w:rFonts w:ascii="Century Gothic" w:hAnsi="Century Gothic" w:cs="Century Gothic" w:eastAsia="Century Gothic"/>
          <w:b w:val="0"/>
          <w:i w:val="0"/>
          <w:sz w:val="20"/>
        </w:rPr>
        <w:t xml:space="preserve"> preparación y aseguramiento de reportes de sostenibilidad bajo las NIIF S1 y S2 del ISSB.</w:t>
      </w:r>
    </w:p>
    <w:p>
      <w:pPr>
        <w:numPr>
          <w:ilvl w:val="0"/>
          <w:numId w:val="906"/>
        </w:numPr>
        <w:spacing w:before="0" w:after="200" w:line="240" w:lineRule="auto"/>
        <w:jc w:val="both"/>
      </w:pPr>
      <w:r>
        <w:rPr>
          <w:rFonts w:ascii="Century Gothic" w:hAnsi="Century Gothic" w:cs="Century Gothic" w:eastAsia="Century Gothic"/>
          <w:b/>
          <w:i w:val="0"/>
          <w:sz w:val="20"/>
        </w:rPr>
        <w:t>Ética y responsabilidad pública:</w:t>
      </w:r>
      <w:r>
        <w:rPr>
          <w:rFonts w:ascii="Century Gothic" w:hAnsi="Century Gothic" w:cs="Century Gothic" w:eastAsia="Century Gothic"/>
          <w:b w:val="0"/>
          <w:i w:val="0"/>
          <w:sz w:val="20"/>
        </w:rPr>
        <w:t xml:space="preserve"> adopción del Código Internacional de Ética del IESBA, que garantiza la independencia de criterio y la protección del interés público.</w:t>
      </w:r>
    </w:p>
    <w:p>
      <w:pPr>
        <w:spacing w:before="0" w:after="200" w:line="240" w:lineRule="auto"/>
        <w:jc w:val="both"/>
      </w:pPr>
      <w:r>
        <w:rPr>
          <w:rFonts w:ascii="Century Gothic" w:hAnsi="Century Gothic" w:cs="Century Gothic" w:eastAsia="Century Gothic"/>
          <w:b w:val="0"/>
          <w:i w:val="0"/>
          <w:sz w:val="20"/>
        </w:rP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 29 troncales y 14 contextuales, en compatibilidad con la estructura aprobada por la Reunión Sectorial del Sistema.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4.3.4</w:t>
        <w:tab/>
      </w:r>
      <w:r>
        <w:rPr>
          <w:rFonts w:ascii="Century Gothic" w:hAnsi="Century Gothic" w:cs="Century Gothic" w:eastAsia="Century Gothic"/>
          <w:b/>
          <w:i w:val="0"/>
          <w:sz w:val="22"/>
        </w:rPr>
        <w:t>Objetivos específicos del diseño, rediseño o ajuste</w:t>
      </w:r>
    </w:p>
    <w:p>
      <w:pPr>
        <w:spacing w:before="0" w:after="200" w:line="240" w:lineRule="auto"/>
        <w:jc w:val="both"/>
      </w:pPr>
      <w:r>
        <w:rPr>
          <w:rFonts w:ascii="Century Gothic" w:hAnsi="Century Gothic" w:cs="Century Gothic" w:eastAsia="Century Gothic"/>
          <w:b w:val="0"/>
          <w:i w:val="0"/>
          <w:sz w:val="20"/>
        </w:rPr>
        <w:t>Cada objetivo responde a una brecha identificada en el Diagnóstico del Plan de Estudios 2013 y en la justificación del punto 3:</w:t>
      </w:r>
    </w:p>
    <w:p>
      <w:pPr>
        <w:keepNext/>
        <w:spacing w:before="40" w:after="80" w:line="240" w:lineRule="auto"/>
        <w:jc w:val="center"/>
      </w:pPr>
      <w:r>
        <w:rPr>
          <w:rFonts w:ascii="Century Gothic" w:hAnsi="Century Gothic" w:cs="Century Gothic" w:eastAsia="Century Gothic"/>
          <w:b/>
          <w:i w:val="0"/>
          <w:sz w:val="20"/>
        </w:rPr>
        <w:t>Cuadro 1. Objetivos específicos del rediseño y brechas que atienden</w:t>
      </w:r>
    </w:p>
    <w:tbl>
      <w:tblPr>
        <w:tblW w:type="auto" w:w="0"/>
        <w:jc w:val="center"/>
        <w:tblLayout w:type="fixed"/>
        <w:tblLook w:firstColumn="1" w:firstRow="1" w:lastColumn="0" w:lastRow="0" w:noHBand="0" w:noVBand="1" w:val="04A0"/>
      </w:tblPr>
      <w:tblGrid>
        <w:gridCol w:w="567"/>
        <w:gridCol w:w="5102"/>
        <w:gridCol w:w="3402"/>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 específico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Responde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Reformular el perfil de egreso hacia el modelo del Contador Público Autorizado aprobado por la III-XIII Reunión Sectorial, ampliando la formación en auditoría financiera a los servicios de aseguramiento y distintos del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46 % de los egresados percibe saturado el mercado para el perfil tradicional.</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transferibilidad, valorado como bajo en 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Integrar la transformación digital como eje transversal, con analítica de datos, inteligencia artificial aplicada, sistemas de gestión empresarial, auditoría asistida por tecnología y ciberseguridad.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brecha tecnológica de 43 a 51 puntos porcentuales y el 43 % de egresados que considera actualizada la tecnología enseñada.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Incorporar los contenidos emergentes de mayor demanda: NIIF y NIIF de Sostenibilidad, aseguramiento de información no financiera bajo la NIEA 3000 y la NIAS 5000, gestión integral de riesgos y tributación digital.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cobertura insuficiente de la consultoría, la sostenibilidad y la inteligencia artificial en la matriz de alineación del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Fortalecer la formación ética y las habilidades profesionales, como pensamiento crítico, comunicación, trabajo en equipo, gestión del tiempo e inglés técnico contable, de forma explícita en todas las asignaturas.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Las brechas de 35 puntos en gestión del tiempo y de 25 en pensamiento crítico, y las habilidades blandas como primera barrera de contratación.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Implementar estrategias de aprendizaje activo y evaluación auténtica basadas en proyectos, casos reales y simulación, con evidencias de desempeño, de producto y de conocimiento.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88 % de estudiantes que demanda aprendizaje basado en proyectos reales.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Institucionalizar las prácticas preprofesionales y la interacción social mediante convenios con entidades públicas, firmas de auditoría y empresas.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falta de experiencia práctica como segunda barrera de contratación, con el 25 %.</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Mejorar la eficiencia terminal con modalidades de graduación diversificadas y una organización de la carga horaria compatible con el estudiante que trabaja.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Los 396 estudiantes con siete a nueve años de permanencia y el 69,73 % de titulados por examen de grado.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Articular el grado con el postgrado y la investigación, definiendo competencias de grado que sirvan de base para diplomados y maestrías, y vinculando las modalidades de graduación con las líneas del Instituto de Investigaciones.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articulación, valorado como parcial en el diagnóstico, y el 0,16 % de titulados por tesis.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4.3.5</w:t>
        <w:tab/>
      </w:r>
      <w:r>
        <w:rPr>
          <w:rFonts w:ascii="Century Gothic" w:hAnsi="Century Gothic" w:cs="Century Gothic" w:eastAsia="Century Gothic"/>
          <w:b/>
          <w:i w:val="0"/>
          <w:sz w:val="22"/>
        </w:rPr>
        <w:t>Duración de la carrera en años o semestres</w:t>
      </w:r>
    </w:p>
    <w:p>
      <w:pPr>
        <w:spacing w:before="0" w:after="200" w:line="240" w:lineRule="auto"/>
        <w:jc w:val="both"/>
      </w:pPr>
      <w:r>
        <w:rPr>
          <w:rFonts w:ascii="Century Gothic" w:hAnsi="Century Gothic" w:cs="Century Gothic" w:eastAsia="Century Gothic"/>
          <w:b w:val="0"/>
          <w:i w:val="0"/>
          <w:sz w:val="20"/>
        </w:rPr>
        <w:t xml:space="preserve">La Licenciatura en Contaduría Pública tiene una duración de </w:t>
      </w:r>
      <w:r>
        <w:rPr>
          <w:rFonts w:ascii="Century Gothic" w:hAnsi="Century Gothic" w:cs="Century Gothic" w:eastAsia="Century Gothic"/>
          <w:b/>
          <w:i w:val="0"/>
          <w:sz w:val="20"/>
        </w:rPr>
        <w:t>cinco años académicos</w:t>
      </w:r>
      <w:r>
        <w:rPr>
          <w:rFonts w:ascii="Century Gothic" w:hAnsi="Century Gothic" w:cs="Century Gothic" w:eastAsia="Century Gothic"/>
          <w:b w:val="0"/>
          <w:i w:val="0"/>
          <w:sz w:val="20"/>
        </w:rPr>
        <w:t>, en régimen anual de 40 semanas lectivas por gestión y modalidad presencial con apoyo de entornos virtuales, en turnos diurno y nocturno. Se mantiene la duración del Plan de Estudios 2013, que el diagnóstico no identifica como causa de las brechas detectadas.</w:t>
      </w:r>
    </w:p>
    <w:p>
      <w:pPr>
        <w:spacing w:before="0" w:after="200" w:line="240" w:lineRule="auto"/>
        <w:jc w:val="both"/>
      </w:pPr>
      <w:r>
        <w:rPr>
          <w:rFonts w:ascii="Century Gothic" w:hAnsi="Century Gothic" w:cs="Century Gothic" w:eastAsia="Century Gothic"/>
          <w:b w:val="0"/>
          <w:i w:val="0"/>
          <w:sz w:val="20"/>
        </w:rPr>
        <w:t>Los cinco años se organizan en tres ciclos de formación progresiva:</w:t>
      </w:r>
    </w:p>
    <w:p>
      <w:pPr>
        <w:keepNext/>
        <w:spacing w:before="40" w:after="80" w:line="240" w:lineRule="auto"/>
        <w:jc w:val="center"/>
      </w:pPr>
      <w:r>
        <w:rPr>
          <w:rFonts w:ascii="Century Gothic" w:hAnsi="Century Gothic" w:cs="Century Gothic" w:eastAsia="Century Gothic"/>
          <w:b/>
          <w:i w:val="0"/>
          <w:sz w:val="20"/>
        </w:rPr>
        <w:t>Cuadro 2. Ciclos de formación</w:t>
      </w:r>
    </w:p>
    <w:tbl>
      <w:tblPr>
        <w:tblW w:type="auto" w:w="0"/>
        <w:jc w:val="center"/>
        <w:tblLayout w:type="fixed"/>
        <w:tblLook w:firstColumn="1" w:firstRow="1" w:lastColumn="0" w:lastRow="0" w:noHBand="0" w:noVBand="1" w:val="04A0"/>
      </w:tblPr>
      <w:tblGrid>
        <w:gridCol w:w="1701"/>
        <w:gridCol w:w="1020"/>
        <w:gridCol w:w="3175"/>
        <w:gridCol w:w="3175"/>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Años</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Énfasis formativo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representativas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Básico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 y 2.°</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Fundamentos contables, matemáticos, económicos, jurídicos, administrativos y tecnológicos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Básica e Intermedia, Tecnologías de Información y Herramientas Digitales, Matemáticas, Economía y Derecho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Profesional</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 y 4.°</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especializada, costos, tributos, sistemas, ética, auditoría financiera y control interno</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CPA-302 Contabilidad de Costos y Gestión, CPA-305 Sistemas Contables ERP y Análisis de Datos, CPA-406 Ética e Independencia Profesional, CPA-407 Auditoría Financiera y CPA-408 Auditoría Interna, Control Interno y Gestión de Riesgos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integración y profundización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 especializados, gabinetes integradores, práctica preprofesional y 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CPA-501 Auditoría Operativa, CPA-502 Gabinete de Auditoría Financiera, CPA-504 Auditoría Gubernamental, CPA-508 Auditoría Forense, Peritaje y Prevención de Delitos Económicos y CPA-510 Taller de Grado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Al concluir el segundo año el estudiante puede acceder al grado de Técnico Universitario Medio, y al concluir el tercer año y aprobar el examen de grado, al grado de Técnico Universitario Superior en Contabilidad General con el título en provisión nacional de Contador General. Al concluir el plan y aprobar una modalidad de graduación, obtiene el grado académico de Licenciatura en Contaduría Pública y el título en provisión nacional de Contador Público Autorizado.</w:t>
      </w:r>
    </w:p>
    <w:p>
      <w:pPr>
        <w:keepNext/>
        <w:spacing w:before="40" w:after="200" w:line="240" w:lineRule="auto"/>
        <w:jc w:val="left"/>
      </w:pPr>
      <w:r>
        <w:rPr>
          <w:rFonts w:ascii="Century Gothic" w:hAnsi="Century Gothic" w:cs="Century Gothic" w:eastAsia="Century Gothic"/>
          <w:b/>
          <w:i w:val="0"/>
          <w:sz w:val="22"/>
        </w:rPr>
        <w:t>Sistema de créditos académicos</w:t>
      </w:r>
    </w:p>
    <w:p>
      <w:pPr>
        <w:spacing w:before="0" w:after="200" w:line="240" w:lineRule="auto"/>
        <w:jc w:val="both"/>
      </w:pPr>
      <w:r>
        <w:rPr>
          <w:rFonts w:ascii="Century Gothic" w:hAnsi="Century Gothic" w:cs="Century Gothic" w:eastAsia="Century Gothic"/>
          <w:b w:val="0"/>
          <w:i w:val="0"/>
          <w:sz w:val="20"/>
        </w:rPr>
        <w:t>El plan adopta el Sistema de Créditos Académicos de la Universidad Mayor de San Andrés, de aplicación obligatoria en todas las carreras de pregrado. El crédito académico es la unidad de medida del quehacer académico y representa la cantidad de horas de estudio, en aula y fuera de ella, que el estudiante necesita para cumplir los objetivos de aprendizaje de cada asignatura. Su marco de referencia es el Crédito Latinoamericano de Referencia, la I-XII Reunión Académica Nacional de 2014 y los reglamentos académicos del XII Congreso Nacional de Universidades. Se aplican los siguientes normalizadores:</w:t>
      </w:r>
    </w:p>
    <w:p>
      <w:pPr>
        <w:keepNext/>
        <w:spacing w:before="40" w:after="80" w:line="240" w:lineRule="auto"/>
        <w:jc w:val="center"/>
      </w:pPr>
      <w:r>
        <w:rPr>
          <w:rFonts w:ascii="Century Gothic" w:hAnsi="Century Gothic" w:cs="Century Gothic" w:eastAsia="Century Gothic"/>
          <w:b/>
          <w:i w:val="0"/>
          <w:sz w:val="20"/>
        </w:rPr>
        <w:t>Cuadro 3. Normalizadores del sistema de créditos</w:t>
      </w:r>
    </w:p>
    <w:tbl>
      <w:tblPr>
        <w:tblW w:type="auto" w:w="0"/>
        <w:jc w:val="center"/>
        <w:tblLayout w:type="fixed"/>
        <w:tblLook w:firstColumn="1" w:firstRow="1" w:lastColumn="0" w:lastRow="0" w:noHBand="0" w:noVBand="1" w:val="04A0"/>
      </w:tblPr>
      <w:tblGrid>
        <w:gridCol w:w="5102"/>
        <w:gridCol w:w="3969"/>
      </w:tblGrid>
      <w:tr>
        <w:trPr>
          <w:tblHeader/>
        </w:trPr>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Parámetro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 del crédito académico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horas de trabajo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Semanas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Horas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Créditos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Duración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años</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 de créditos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Tiempo total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9.000 horas de trabajo</w:t>
            </w:r>
          </w:p>
        </w:tc>
      </w:tr>
    </w:tbl>
    <w:p>
      <w:pPr>
        <w:spacing w:before="40" w:after="200" w:line="240" w:lineRule="auto"/>
        <w:jc w:val="left"/>
      </w:pPr>
      <w:r>
        <w:rPr>
          <w:rFonts w:ascii="Century Gothic" w:hAnsi="Century Gothic" w:cs="Century Gothic" w:eastAsia="Century Gothic"/>
          <w:b w:val="0"/>
          <w:i w:val="0"/>
          <w:sz w:val="16"/>
        </w:rPr>
        <w:t>Fuente: Reglamento del Sistema de Asignación de Créditos Académicos de la UMSA.</w:t>
      </w:r>
    </w:p>
    <w:p>
      <w:pPr>
        <w:spacing w:before="0" w:after="200" w:line="240" w:lineRule="auto"/>
        <w:jc w:val="both"/>
      </w:pPr>
      <w:r>
        <w:rPr>
          <w:rFonts w:ascii="Century Gothic" w:hAnsi="Century Gothic" w:cs="Century Gothic" w:eastAsia="Century Gothic"/>
          <w:b w:val="0"/>
          <w:i w:val="0"/>
          <w:sz w:val="20"/>
        </w:rPr>
        <w:t>Las horas de trabajo comprenden la carga total del estudiante. Las horas presenciales son las actividades bajo supervisión docente: clases, laboratorios, seminarios, talleres, investigación, interacción social, auxiliaturas y visitas de campo. Las horas no presenciales son el trabajo autónomo: lectura, búsqueda de información, ensayos, trabajos monográficos, preparación de evaluaciones e informes. Las 1.800 horas anuales en 40 semanas suponen una dedicación de 45 horas de trabajo por semana.</w:t>
      </w:r>
    </w:p>
    <w:p>
      <w:pPr>
        <w:spacing w:before="0" w:after="200" w:line="240" w:lineRule="auto"/>
        <w:jc w:val="both"/>
      </w:pPr>
      <w:r>
        <w:rPr>
          <w:rFonts w:ascii="Century Gothic" w:hAnsi="Century Gothic" w:cs="Century Gothic" w:eastAsia="Century Gothic"/>
          <w:b w:val="0"/>
          <w:i w:val="0"/>
          <w:sz w:val="20"/>
        </w:rPr>
        <w:t>Los créditos de cada asignatura resultan de dividir su carga horaria total entre 30, con mayor asignación a las asignaturas troncales según su complejidad. Las 6.000 horas académicas del plan, de 45 minutos, equivalen a 4.500 horas reloj presenciales; si se reconoce una hora de trabajo autónomo por cada hora reloj presencial, la carga total llega a 9.000 horas de trabajo y a 300 créditos, equivalentes a 300 créditos del Crédito Latinoamericano de Referencia, lo que favorece la homologación y la movilidad estudiantil. La asignación de créditos por asignatura y por año se presenta en los puntos 4.4.3 y 4.4.4.</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2"/>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