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Implementación del Proyecto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11.</w:t>
        <w:tab/>
      </w:r>
      <w:r>
        <w:rPr>
          <w:rFonts w:ascii="Century Gothic" w:hAnsi="Century Gothic" w:cs="Century Gothic" w:eastAsia="Century Gothic"/>
          <w:b/>
          <w:i w:val="0"/>
          <w:sz w:val="24"/>
        </w:rPr>
        <w:t>Implementación del proyecto curricular</w:t>
      </w:r>
    </w:p>
    <w:p>
      <w:pPr>
        <w:keepNext/>
        <w:spacing w:before="40" w:after="200" w:line="240" w:lineRule="auto"/>
        <w:jc w:val="left"/>
      </w:pPr>
      <w:r>
        <w:rPr>
          <w:rFonts w:ascii="Century Gothic" w:hAnsi="Century Gothic" w:cs="Century Gothic" w:eastAsia="Century Gothic"/>
          <w:b/>
          <w:i w:val="0"/>
          <w:sz w:val="22"/>
        </w:rPr>
        <w:t>ANÁLISIS DE DIAGNÓSTICO SITUACIONAL</w:t>
      </w:r>
    </w:p>
    <w:p>
      <w:pPr>
        <w:spacing w:before="0" w:after="200" w:line="240" w:lineRule="auto"/>
        <w:jc w:val="both"/>
      </w:pPr>
      <w:r>
        <w:rPr>
          <w:rFonts w:ascii="Century Gothic" w:hAnsi="Century Gothic" w:cs="Century Gothic" w:eastAsia="Century Gothic"/>
          <w:b/>
          <w:i w:val="0"/>
          <w:sz w:val="20"/>
        </w:rPr>
        <w:t>INTRODUCCIÓN</w:t>
      </w:r>
    </w:p>
    <w:p>
      <w:pPr>
        <w:spacing w:before="0" w:after="200" w:line="240" w:lineRule="auto"/>
        <w:jc w:val="both"/>
      </w:pPr>
      <w:r>
        <w:rPr>
          <w:rFonts w:ascii="Century Gothic" w:hAnsi="Century Gothic" w:cs="Century Gothic" w:eastAsia="Century Gothic"/>
          <w:b w:val="0"/>
          <w:i w:val="0"/>
          <w:sz w:val="20"/>
        </w:rPr>
        <w:t>El presente diagnóstico situacional constituye el cimiento empírico y analítico indispensable para el proceso de revisión y rediseño curricular de la Carrera de Contaduría Pública de la Facultad de Ciencias Económicas y Financieras, de la Universidad Mayor de San Andrés. Su propósito fundamental trasciende la mera descripción cuantitativa, porque busca contrastar con rigor los registros estadísticos institucionales con la vivencia académica cotidiana de los estamentos docente–estudiantil, visibilizando los “nudos críticos” que condicionan actualmente el proceso de enseñanza-aprendizaje.</w:t>
      </w:r>
    </w:p>
    <w:p>
      <w:pPr>
        <w:spacing w:before="0" w:after="200" w:line="240" w:lineRule="auto"/>
        <w:jc w:val="both"/>
      </w:pPr>
      <w:r>
        <w:rPr>
          <w:rFonts w:ascii="Century Gothic" w:hAnsi="Century Gothic" w:cs="Century Gothic" w:eastAsia="Century Gothic"/>
          <w:b w:val="0"/>
          <w:i w:val="0"/>
          <w:sz w:val="20"/>
        </w:rPr>
        <w:t>Frente al inminente tránsito hacia un modelo curricular basado en competencias, metodologías activas y literacidad tecnológica —en consonancia con visión global e internacional de la profesión del Contador Público Autorizado, las directrices académicas sectoriales del nivel central y las propias de la Universidad, así como las exigencias del mercado laboral contemporáneo —, la Carrera requiere una evaluación integral de sus capacidades operativas.</w:t>
      </w:r>
    </w:p>
    <w:p>
      <w:pPr>
        <w:spacing w:before="0" w:after="200" w:line="240" w:lineRule="auto"/>
        <w:jc w:val="both"/>
      </w:pPr>
      <w:r>
        <w:rPr>
          <w:rFonts w:ascii="Century Gothic" w:hAnsi="Century Gothic" w:cs="Century Gothic" w:eastAsia="Century Gothic"/>
          <w:b w:val="0"/>
          <w:i w:val="0"/>
          <w:sz w:val="20"/>
        </w:rPr>
        <w:t>Asimismo, el diagnóstico incorpora una lectura comparativa frente al entorno universitario regional y nacional, donde tanto instituciones públicas como privadas han dinamizado su oferta académica con mallas curriculares orientadas a la transformación digital, uso de inteligencia artificial, certificaciones internacionales y modelos de titulación ágiles. En consecuencia, evaluar el posicionamiento institucional ante este escenario resulta crucial para identificar ventajas competitivas, mitigar la fuga de estudiantes hacia opciones de mayor flexibilidad y asegurar que la Carrera de Contaduría Pública recupere y consolide su rol de liderazgo y referencia formativa en el área de las ciencias contables y financieras.</w:t>
      </w:r>
    </w:p>
    <w:p>
      <w:pPr>
        <w:spacing w:before="0" w:after="200" w:line="240" w:lineRule="auto"/>
        <w:jc w:val="both"/>
      </w:pPr>
      <w:r>
        <w:rPr>
          <w:rFonts w:ascii="Century Gothic" w:hAnsi="Century Gothic" w:cs="Century Gothic" w:eastAsia="Century Gothic"/>
          <w:b w:val="0"/>
          <w:i w:val="0"/>
          <w:sz w:val="20"/>
        </w:rPr>
        <w:t>Para lograr una lectura sistémica y estructurada del contexto, el presente diagnóstico se articula en torno a tres ejes estratégicos:</w:t>
      </w:r>
    </w:p>
    <w:p>
      <w:pPr>
        <w:spacing w:before="0" w:after="200" w:line="240" w:lineRule="auto"/>
        <w:jc w:val="both"/>
      </w:pPr>
      <w:r>
        <w:rPr>
          <w:rFonts w:ascii="Century Gothic" w:hAnsi="Century Gothic" w:cs="Century Gothic" w:eastAsia="Century Gothic"/>
          <w:b/>
          <w:i w:val="0"/>
          <w:sz w:val="20"/>
        </w:rPr>
        <w:t>a) Infraestructura física, equipamiento y sistemas informáticos</w:t>
      </w:r>
    </w:p>
    <w:p>
      <w:pPr>
        <w:spacing w:before="0" w:after="200" w:line="240" w:lineRule="auto"/>
        <w:jc w:val="both"/>
      </w:pPr>
      <w:r>
        <w:rPr>
          <w:rFonts w:ascii="Century Gothic" w:hAnsi="Century Gothic" w:cs="Century Gothic" w:eastAsia="Century Gothic"/>
          <w:b w:val="0"/>
          <w:i w:val="0"/>
          <w:sz w:val="20"/>
        </w:rPr>
        <w:t>Evalúa la suficiencia, capacidad real y estado de conservación de los espacios de docencia (Edificio Nava Morales en la Av. Montes y Monoblock Central), así como de la biblioteca y laboratorios de cómputo. También, pondera las condiciones de conectividad y la disponibilidad de software especializado e infraestructura tecnológica, identificando la saturación de aulas o la insuficiencia de predios como barreras materiales que inciden directamente en el rendimiento académico.</w:t>
      </w:r>
    </w:p>
    <w:p>
      <w:pPr>
        <w:spacing w:before="0" w:after="200" w:line="240" w:lineRule="auto"/>
        <w:jc w:val="both"/>
      </w:pPr>
      <w:r>
        <w:rPr>
          <w:rFonts w:ascii="Century Gothic" w:hAnsi="Century Gothic" w:cs="Century Gothic" w:eastAsia="Century Gothic"/>
          <w:b/>
          <w:i w:val="0"/>
          <w:sz w:val="20"/>
        </w:rPr>
        <w:t>b) Recursos humanos y capacidad docente</w:t>
      </w:r>
    </w:p>
    <w:p>
      <w:pPr>
        <w:spacing w:before="0" w:after="200" w:line="240" w:lineRule="auto"/>
        <w:jc w:val="both"/>
      </w:pPr>
      <w:r>
        <w:rPr>
          <w:rFonts w:ascii="Century Gothic" w:hAnsi="Century Gothic" w:cs="Century Gothic" w:eastAsia="Century Gothic"/>
          <w:b w:val="0"/>
          <w:i w:val="0"/>
          <w:sz w:val="20"/>
        </w:rPr>
        <w:t>Examina la dinámica de la demanda estudiantil por asignatura y paralelo (ratio estudiante-docente) y su incidencia directa en la calidad del proceso formativo. Esta valoración no solo evidencia el impacto pedagógico de la masificación en aulas —incompatible con las metodologías activas y la evaluación continua que exige un modelo por competencias—, sino también la urgencia de reestructurar la asignación de carga horaria, promover la actualización disciplinar del cuerpo docente y consolidar un equipo idóneo de soporte técnico y académico que haga viable un acompañamiento riguroso y personalizado.</w:t>
      </w:r>
    </w:p>
    <w:p>
      <w:pPr>
        <w:spacing w:before="0" w:after="200" w:line="240" w:lineRule="auto"/>
        <w:jc w:val="both"/>
      </w:pPr>
      <w:r>
        <w:rPr>
          <w:rFonts w:ascii="Century Gothic" w:hAnsi="Century Gothic" w:cs="Century Gothic" w:eastAsia="Century Gothic"/>
          <w:b/>
          <w:i w:val="0"/>
          <w:sz w:val="20"/>
        </w:rPr>
        <w:t>c) Gestión presupuestaria y sostenibilidad institucional</w:t>
      </w:r>
    </w:p>
    <w:p>
      <w:pPr>
        <w:spacing w:before="0" w:after="200" w:line="240" w:lineRule="auto"/>
        <w:jc w:val="both"/>
      </w:pPr>
      <w:r>
        <w:rPr>
          <w:rFonts w:ascii="Century Gothic" w:hAnsi="Century Gothic" w:cs="Century Gothic" w:eastAsia="Century Gothic"/>
          <w:b w:val="0"/>
          <w:i w:val="0"/>
          <w:sz w:val="20"/>
        </w:rPr>
        <w:t>Determina la viabilidad económico-financiera que condiciona la implementación efectiva del rediseño curricular, reconociendo que ninguna innovación académica prospera sin respaldo material garantizado. El análisis fundamenta la urgencia de abandonar la asignación inercial y fragmentada de recursos para transitar hacia un modelo de programación y planificación plurianual sostenible y con resultados. Esto implica asegurar partidas sostenibles para la renovación o mantenimiento de infraestructura y la capacitación docente, complementando el presupuesto ordinario con alianzas interinstitucionales, convenios con diferentes sectores y mecanismos rigurosos de rendición de cuentas que garanticen la continuidad del proyecto formativo a mediano y largo plazo.</w:t>
      </w:r>
    </w:p>
    <w:p>
      <w:pPr>
        <w:spacing w:before="0" w:after="200" w:line="240" w:lineRule="auto"/>
        <w:jc w:val="both"/>
      </w:pPr>
      <w:r>
        <w:rPr>
          <w:rFonts w:ascii="Century Gothic" w:hAnsi="Century Gothic" w:cs="Century Gothic" w:eastAsia="Century Gothic"/>
          <w:b w:val="0"/>
          <w:i w:val="0"/>
          <w:sz w:val="20"/>
        </w:rPr>
        <w:t>El presente diagnóstico situacional constituye el cimiento empírico y analítico indispensable para el proceso de revisión y rediseño del proyecto curricular de la Carrera de Contaduría Pública. Su propósito fundamental trasciende la mera descripción cuantitativa; busca contrastar rigurosamente los registros estadísticos institucionales con la vivencia académica cotidiana del estamento estudiantil, visibilizando los nudos críticos que condicionan actualmente el proceso de enseñanza-aprendizaje.</w:t>
      </w:r>
    </w:p>
    <w:p>
      <w:pPr>
        <w:spacing w:before="0" w:after="200" w:line="240" w:lineRule="auto"/>
        <w:jc w:val="both"/>
      </w:pPr>
      <w:r>
        <w:rPr>
          <w:rFonts w:ascii="Century Gothic" w:hAnsi="Century Gothic" w:cs="Century Gothic" w:eastAsia="Century Gothic"/>
          <w:b w:val="0"/>
          <w:i w:val="0"/>
          <w:sz w:val="20"/>
        </w:rPr>
        <w:t>Frente al inminente tránsito hacia un modelo curricular basado en “competencias, metodologías activas y literacidad tecnológica —en consonancia con las directrices académicas sectoriales y las exigencias del mercado laboral contemporáneo—, la Carrera requiere una evaluación integral de sus capacidades operativas.</w:t>
      </w:r>
    </w:p>
    <w:p>
      <w:pPr>
        <w:spacing w:before="0" w:after="200" w:line="240" w:lineRule="auto"/>
        <w:jc w:val="both"/>
      </w:pPr>
      <w:r>
        <w:rPr>
          <w:rFonts w:ascii="Century Gothic" w:hAnsi="Century Gothic" w:cs="Century Gothic" w:eastAsia="Century Gothic"/>
          <w:b w:val="0"/>
          <w:i w:val="0"/>
          <w:sz w:val="20"/>
        </w:rPr>
        <w:t>A partir de esta lectura integral por componentes, el presente diagnóstico no se limita a visibilizar las brechas del escenario vigente, sino que fundamenta cursos de acción concretos orientados a resolver los cuellos de botella identificados. De este modo, establece las condiciones de factibilidad académica, material y financiera indispensables para que el rediseño curricular se traduzca en una transformación real, medible y duradera del proceso formativo.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11.1</w:t>
        <w:tab/>
      </w:r>
      <w:r>
        <w:rPr>
          <w:rFonts w:ascii="Century Gothic" w:hAnsi="Century Gothic" w:cs="Century Gothic" w:eastAsia="Century Gothic"/>
          <w:b/>
          <w:i w:val="0"/>
          <w:sz w:val="24"/>
        </w:rPr>
        <w:t>Infraestructura, equipamiento y sistemas de soporte informático</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11.1.1</w:t>
        <w:tab/>
      </w:r>
      <w:r>
        <w:rPr>
          <w:rFonts w:ascii="Century Gothic" w:hAnsi="Century Gothic" w:cs="Century Gothic" w:eastAsia="Century Gothic"/>
          <w:b/>
          <w:i w:val="0"/>
          <w:sz w:val="22"/>
        </w:rPr>
        <w:t>COMPONENTE 1: INFRAESTRUCTURA, EQUIPAMIENTO Y SISTEMAS DE SOPORTE INFORMÁTICO Y GESTIÓN INSTITUCIONAL</w:t>
      </w:r>
    </w:p>
    <w:p>
      <w:pPr>
        <w:spacing w:before="0" w:after="200" w:line="240" w:lineRule="auto"/>
        <w:jc w:val="both"/>
      </w:pPr>
      <w:r>
        <w:rPr>
          <w:rFonts w:ascii="Century Gothic" w:hAnsi="Century Gothic" w:cs="Century Gothic" w:eastAsia="Century Gothic"/>
          <w:b/>
          <w:i w:val="0"/>
          <w:sz w:val="20"/>
        </w:rPr>
        <w:t>1. INVENTARIO Y BALANCE DE CAPACIDAD FÍSICA</w:t>
      </w:r>
    </w:p>
    <w:p>
      <w:pPr>
        <w:spacing w:before="0" w:after="200" w:line="240" w:lineRule="auto"/>
        <w:jc w:val="both"/>
      </w:pPr>
      <w:r>
        <w:rPr>
          <w:rFonts w:ascii="Century Gothic" w:hAnsi="Century Gothic" w:cs="Century Gothic" w:eastAsia="Century Gothic"/>
          <w:b w:val="0"/>
          <w:i w:val="0"/>
          <w:sz w:val="20"/>
        </w:rPr>
        <w:t>Este análisis parte de la contrastación entre los datos oficiales provistos por la Dirección de Carrera y la vivencia académica cotidiana del estamento estudiantil.</w:t>
      </w:r>
    </w:p>
    <w:p>
      <w:pPr>
        <w:spacing w:before="0" w:after="200" w:line="240" w:lineRule="auto"/>
        <w:jc w:val="both"/>
      </w:pPr>
      <w:r>
        <w:rPr>
          <w:rFonts w:ascii="Century Gothic" w:hAnsi="Century Gothic" w:cs="Century Gothic" w:eastAsia="Century Gothic"/>
          <w:b/>
          <w:i w:val="0"/>
          <w:sz w:val="20"/>
        </w:rPr>
        <w:t>1.1. Evolución de la Población Estudiantil (2021–2025)</w:t>
      </w:r>
    </w:p>
    <w:p>
      <w:pPr>
        <w:spacing w:before="0" w:after="200" w:line="240" w:lineRule="auto"/>
        <w:jc w:val="both"/>
      </w:pPr>
      <w:r>
        <w:rPr>
          <w:rFonts w:ascii="Century Gothic" w:hAnsi="Century Gothic" w:cs="Century Gothic" w:eastAsia="Century Gothic"/>
          <w:b w:val="0"/>
          <w:i w:val="0"/>
          <w:sz w:val="20"/>
        </w:rPr>
        <w:t>De acuerdo con la información contenida en el Sistema de Registro Universitario (SSA) y el Sistema de Seguimiento Académico (SSAC), se establece el comportamiento de la matrícula y la inscripción en el Cuadro No. 9:</w:t>
      </w:r>
    </w:p>
    <w:p>
      <w:pPr>
        <w:spacing w:before="0" w:after="200" w:line="240" w:lineRule="auto"/>
        <w:jc w:val="both"/>
      </w:pPr>
      <w:r>
        <w:rPr>
          <w:rFonts w:ascii="Century Gothic" w:hAnsi="Century Gothic" w:cs="Century Gothic" w:eastAsia="Century Gothic"/>
          <w:b/>
          <w:i w:val="0"/>
          <w:sz w:val="20"/>
        </w:rPr>
        <w:t>Cuadro No. 1: Cantidad de Estudiantes Matriculados e Inscritos</w:t>
      </w:r>
    </w:p>
    <w:p>
      <w:pPr>
        <w:spacing w:before="0" w:after="200" w:line="240" w:lineRule="auto"/>
        <w:jc w:val="both"/>
      </w:pPr>
      <w:r>
        <w:rPr>
          <w:rFonts w:ascii="Century Gothic" w:hAnsi="Century Gothic" w:cs="Century Gothic" w:eastAsia="Century Gothic"/>
          <w:b w:val="0"/>
          <w:i/>
          <w:sz w:val="20"/>
        </w:rPr>
        <w:t>(Expresado en cantidad de estudiantes)</w:t>
      </w:r>
    </w:p>
    <w:tbl>
      <w:tblPr>
        <w:tblW w:type="auto" w:w="0"/>
        <w:jc w:val="center"/>
        <w:tblLayout w:type="fixed"/>
        <w:tblLook w:firstColumn="1" w:firstRow="1" w:lastColumn="0" w:lastRow="0" w:noHBand="0" w:noVBand="1" w:val="04A0"/>
      </w:tblPr>
      <w:tblGrid>
        <w:gridCol w:w="2747"/>
        <w:gridCol w:w="1265"/>
        <w:gridCol w:w="1265"/>
        <w:gridCol w:w="1265"/>
        <w:gridCol w:w="1265"/>
        <w:gridCol w:w="1265"/>
      </w:tblGrid>
      <w:tr>
        <w:trPr>
          <w:tblHeader/>
        </w:trPr>
        <w:tc>
          <w:tcPr>
            <w:tcW w:type="dxa" w:w="27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 / Años</w:t>
            </w:r>
          </w:p>
        </w:tc>
        <w:tc>
          <w:tcPr>
            <w:tcW w:type="dxa" w:w="12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2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2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2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2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r>
      <w:tr>
        <w:tc>
          <w:tcPr>
            <w:tcW w:type="dxa" w:w="27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Estudiantes Matriculados</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4.705</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4.545</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4.644</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4.365</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4.283</w:t>
            </w:r>
          </w:p>
        </w:tc>
      </w:tr>
      <w:tr>
        <w:tc>
          <w:tcPr>
            <w:tcW w:type="dxa" w:w="27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Estudiantes Inscritos</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3.152</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3.231</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3.214</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3.182</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3.143</w:t>
            </w:r>
          </w:p>
        </w:tc>
      </w:tr>
      <w:tr>
        <w:tc>
          <w:tcPr>
            <w:tcW w:type="dxa" w:w="27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Diferencia (Matriculados - Inscritos)</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1.553</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1.314</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1.430</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1.183</w:t>
            </w:r>
          </w:p>
        </w:tc>
        <w:tc>
          <w:tcPr>
            <w:tcW w:type="dxa" w:w="12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1.140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Sistema de Registro Universitario – SSA y Sistema de Seguimiento Académico - SSAC.</w:t>
      </w:r>
    </w:p>
    <w:p>
      <w:pPr>
        <w:spacing w:before="0" w:after="200" w:line="240" w:lineRule="auto"/>
        <w:jc w:val="both"/>
      </w:pPr>
      <w:r>
        <w:rPr>
          <w:rFonts w:ascii="Century Gothic" w:hAnsi="Century Gothic" w:cs="Century Gothic" w:eastAsia="Century Gothic"/>
          <w:b/>
          <w:i w:val="0"/>
          <w:sz w:val="20"/>
        </w:rPr>
        <w:t>Análisis del Cuadro No. 1:</w:t>
      </w:r>
    </w:p>
    <w:p>
      <w:pPr>
        <w:numPr>
          <w:ilvl w:val="0"/>
          <w:numId w:val="901"/>
        </w:numPr>
        <w:spacing w:before="0" w:after="160" w:line="240" w:lineRule="auto"/>
        <w:jc w:val="both"/>
      </w:pPr>
      <w:r>
        <w:rPr>
          <w:rFonts w:ascii="Century Gothic" w:hAnsi="Century Gothic" w:cs="Century Gothic" w:eastAsia="Century Gothic"/>
          <w:b w:val="0"/>
          <w:i w:val="0"/>
          <w:sz w:val="20"/>
        </w:rPr>
        <w:t xml:space="preserve">Los estudiantes matriculados en la Carrera de Contaduría Pública presentan un decremento del </w:t>
      </w:r>
      <w:r>
        <w:rPr>
          <w:rFonts w:ascii="Century Gothic" w:hAnsi="Century Gothic" w:cs="Century Gothic" w:eastAsia="Century Gothic"/>
          <w:b/>
          <w:i w:val="0"/>
          <w:sz w:val="20"/>
        </w:rPr>
        <w:t>8.97%</w:t>
      </w:r>
      <w:r>
        <w:rPr>
          <w:rFonts w:ascii="Century Gothic" w:hAnsi="Century Gothic" w:cs="Century Gothic" w:eastAsia="Century Gothic"/>
          <w:b w:val="0"/>
          <w:i w:val="0"/>
          <w:sz w:val="20"/>
        </w:rPr>
        <w:t xml:space="preserve"> entre 2021 (año base) y 2025.</w:t>
      </w:r>
    </w:p>
    <w:p>
      <w:pPr>
        <w:numPr>
          <w:ilvl w:val="0"/>
          <w:numId w:val="901"/>
        </w:numPr>
        <w:spacing w:before="0" w:after="160" w:line="240" w:lineRule="auto"/>
        <w:jc w:val="both"/>
      </w:pPr>
      <w:r>
        <w:rPr>
          <w:rFonts w:ascii="Century Gothic" w:hAnsi="Century Gothic" w:cs="Century Gothic" w:eastAsia="Century Gothic"/>
          <w:b w:val="0"/>
          <w:i w:val="0"/>
          <w:sz w:val="20"/>
        </w:rPr>
        <w:t xml:space="preserve">Los estudiantes efectivamente inscritos se incrementaron levemente en 378 alumnos, equivalentes al </w:t>
      </w:r>
      <w:r>
        <w:rPr>
          <w:rFonts w:ascii="Century Gothic" w:hAnsi="Century Gothic" w:cs="Century Gothic" w:eastAsia="Century Gothic"/>
          <w:b/>
          <w:i w:val="0"/>
          <w:sz w:val="20"/>
        </w:rPr>
        <w:t>13.32%</w:t>
      </w:r>
      <w:r>
        <w:rPr>
          <w:rFonts w:ascii="Century Gothic" w:hAnsi="Century Gothic" w:cs="Century Gothic" w:eastAsia="Century Gothic"/>
          <w:b w:val="0"/>
          <w:i w:val="0"/>
          <w:sz w:val="20"/>
        </w:rPr>
        <w:t xml:space="preserve"> en el mismo periodo.</w:t>
      </w:r>
    </w:p>
    <w:p>
      <w:pPr>
        <w:numPr>
          <w:ilvl w:val="0"/>
          <w:numId w:val="901"/>
        </w:numPr>
        <w:spacing w:before="0" w:after="200" w:line="240" w:lineRule="auto"/>
        <w:jc w:val="both"/>
      </w:pPr>
      <w:r>
        <w:rPr>
          <w:rFonts w:ascii="Century Gothic" w:hAnsi="Century Gothic" w:cs="Century Gothic" w:eastAsia="Century Gothic"/>
          <w:b w:val="0"/>
          <w:i w:val="0"/>
          <w:sz w:val="20"/>
        </w:rPr>
        <w:t xml:space="preserve">La diferencia representa a estudiantes que adquieren la matrícula, pero no cursan asignaturas. Aunque ha disminuido de 1.553 a </w:t>
      </w:r>
      <w:r>
        <w:rPr>
          <w:rFonts w:ascii="Century Gothic" w:hAnsi="Century Gothic" w:cs="Century Gothic" w:eastAsia="Century Gothic"/>
          <w:b/>
          <w:i w:val="0"/>
          <w:sz w:val="20"/>
        </w:rPr>
        <w:t>1.140 estudiantes</w:t>
      </w:r>
      <w:r>
        <w:rPr>
          <w:rFonts w:ascii="Century Gothic" w:hAnsi="Century Gothic" w:cs="Century Gothic" w:eastAsia="Century Gothic"/>
          <w:b w:val="0"/>
          <w:i w:val="0"/>
          <w:sz w:val="20"/>
        </w:rPr>
        <w:t xml:space="preserve"> (26.61% del total de matriculados en 2025), sigue siendo un indicador crítico que demanda políticas institucionales de retención.</w:t>
      </w:r>
    </w:p>
    <w:p>
      <w:pPr>
        <w:spacing w:before="0" w:after="200" w:line="240" w:lineRule="auto"/>
        <w:jc w:val="both"/>
      </w:pPr>
      <w:r>
        <w:rPr>
          <w:rFonts w:ascii="Century Gothic" w:hAnsi="Century Gothic" w:cs="Century Gothic" w:eastAsia="Century Gothic"/>
          <w:b/>
          <w:i w:val="0"/>
          <w:sz w:val="20"/>
        </w:rPr>
        <w:t>1.2. Demanda Académica por Paralelo (CEIPAP y PEIPAP)</w:t>
      </w:r>
    </w:p>
    <w:p>
      <w:pPr>
        <w:spacing w:before="0" w:after="200" w:line="240" w:lineRule="auto"/>
        <w:jc w:val="both"/>
      </w:pPr>
      <w:r>
        <w:rPr>
          <w:rFonts w:ascii="Century Gothic" w:hAnsi="Century Gothic" w:cs="Century Gothic" w:eastAsia="Century Gothic"/>
          <w:b w:val="0"/>
          <w:i w:val="0"/>
          <w:sz w:val="20"/>
        </w:rPr>
        <w:t>Conforme a la información del Centro de Cómputo de la Carrera, se detalla el comportamiento de inscritos y paralelos en el Cuadro No. 10:</w:t>
      </w:r>
    </w:p>
    <w:p>
      <w:pPr>
        <w:spacing w:before="0" w:after="200" w:line="240" w:lineRule="auto"/>
        <w:jc w:val="both"/>
      </w:pPr>
      <w:r>
        <w:rPr>
          <w:rFonts w:ascii="Century Gothic" w:hAnsi="Century Gothic" w:cs="Century Gothic" w:eastAsia="Century Gothic"/>
          <w:b/>
          <w:i w:val="0"/>
          <w:sz w:val="20"/>
        </w:rPr>
        <w:t>Cuadro No. 2: Cantidad de Estudiantes Inscritos por Asignaturas y Paralelos</w:t>
      </w:r>
    </w:p>
    <w:p>
      <w:pPr>
        <w:spacing w:before="0" w:after="200" w:line="240" w:lineRule="auto"/>
        <w:jc w:val="both"/>
      </w:pPr>
      <w:r>
        <w:rPr>
          <w:rFonts w:ascii="Century Gothic" w:hAnsi="Century Gothic" w:cs="Century Gothic" w:eastAsia="Century Gothic"/>
          <w:b w:val="0"/>
          <w:i/>
          <w:sz w:val="20"/>
        </w:rPr>
        <w:t>(Expresado en cantidad de estudiantes)</w:t>
      </w:r>
    </w:p>
    <w:tbl>
      <w:tblPr>
        <w:tblW w:type="auto" w:w="0"/>
        <w:jc w:val="center"/>
        <w:tblLayout w:type="fixed"/>
        <w:tblLook w:firstColumn="1" w:firstRow="1" w:lastColumn="0" w:lastRow="0" w:noHBand="0" w:noVBand="1" w:val="04A0"/>
      </w:tblPr>
      <w:tblGrid>
        <w:gridCol w:w="3398"/>
        <w:gridCol w:w="1418"/>
        <w:gridCol w:w="1418"/>
        <w:gridCol w:w="1418"/>
        <w:gridCol w:w="1418"/>
      </w:tblGrid>
      <w:tr>
        <w:trPr>
          <w:tblHeader/>
        </w:trPr>
        <w:tc>
          <w:tcPr>
            <w:tcW w:type="dxa" w:w="33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 / Años</w:t>
            </w:r>
          </w:p>
        </w:tc>
        <w:tc>
          <w:tcPr>
            <w:tcW w:type="dxa" w:w="14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4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4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c>
          <w:tcPr>
            <w:tcW w:type="dxa" w:w="14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2026</w:t>
            </w:r>
          </w:p>
        </w:tc>
      </w:tr>
      <w:tr>
        <w:tc>
          <w:tcPr>
            <w:tcW w:type="dxa" w:w="3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CEIPAP </w:t>
            </w:r>
            <w:r>
              <w:rPr>
                <w:rFonts w:ascii="Century Gothic" w:hAnsi="Century Gothic" w:cs="Century Gothic" w:eastAsia="Century Gothic"/>
                <w:b w:val="0"/>
                <w:i/>
                <w:sz w:val="20"/>
              </w:rPr>
              <w:t>(Cantidad de Estudiantes Inscritos)</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22.636</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23.811</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23.983</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24.117</w:t>
            </w:r>
          </w:p>
        </w:tc>
      </w:tr>
      <w:tr>
        <w:tc>
          <w:tcPr>
            <w:tcW w:type="dxa" w:w="3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xml:space="preserve">PEIPAP </w:t>
            </w:r>
            <w:r>
              <w:rPr>
                <w:rFonts w:ascii="Century Gothic" w:hAnsi="Century Gothic" w:cs="Century Gothic" w:eastAsia="Century Gothic"/>
                <w:b w:val="0"/>
                <w:i/>
                <w:sz w:val="20"/>
              </w:rPr>
              <w:t>(Promedio de Estudiantes por Paralelo)</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109</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104</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108</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106</w:t>
            </w:r>
          </w:p>
        </w:tc>
      </w:tr>
      <w:tr>
        <w:tc>
          <w:tcPr>
            <w:tcW w:type="dxa" w:w="33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Paralelos habilitados</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208</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229</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222</w:t>
            </w:r>
          </w:p>
        </w:tc>
        <w:tc>
          <w:tcPr>
            <w:tcW w:type="dxa" w:w="14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227</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Centro de Cómputo Carrera de Contaduría Pública. CEIPAP: Cantidad de Estudiantes Inscritos por Asignatura y paralelo. PEIPAP: Promedio de Estudiantes Inscritos por Asignatura y Paralelo.</w:t>
      </w:r>
    </w:p>
    <w:p>
      <w:pPr>
        <w:spacing w:before="0" w:after="200" w:line="240" w:lineRule="auto"/>
        <w:jc w:val="both"/>
      </w:pPr>
      <w:r>
        <w:rPr>
          <w:rFonts w:ascii="Century Gothic" w:hAnsi="Century Gothic" w:cs="Century Gothic" w:eastAsia="Century Gothic"/>
          <w:b/>
          <w:i w:val="0"/>
          <w:sz w:val="20"/>
        </w:rPr>
        <w:t>Análisis del Cuadro No. 2:</w:t>
      </w:r>
    </w:p>
    <w:p>
      <w:pPr>
        <w:spacing w:before="0" w:after="200" w:line="240" w:lineRule="auto"/>
        <w:jc w:val="both"/>
      </w:pPr>
      <w:r>
        <w:rPr>
          <w:rFonts w:ascii="Century Gothic" w:hAnsi="Century Gothic" w:cs="Century Gothic" w:eastAsia="Century Gothic"/>
          <w:b w:val="0"/>
          <w:i w:val="0"/>
          <w:sz w:val="20"/>
        </w:rPr>
        <w:t>El Promedio de Estudiantes Inscritos por Asignatura y Paralelo se mantiene en un rango elevado y constante con pequeñas fluctuaciones (</w:t>
      </w:r>
      <w:r>
        <w:rPr>
          <w:rFonts w:ascii="Century Gothic" w:hAnsi="Century Gothic" w:cs="Century Gothic" w:eastAsia="Century Gothic"/>
          <w:b/>
          <w:i w:val="0"/>
          <w:sz w:val="20"/>
        </w:rPr>
        <w:t>109, 104, 108 y 106</w:t>
      </w:r>
      <w:r>
        <w:rPr>
          <w:rFonts w:ascii="Century Gothic" w:hAnsi="Century Gothic" w:cs="Century Gothic" w:eastAsia="Century Gothic"/>
          <w:b w:val="0"/>
          <w:i w:val="0"/>
          <w:sz w:val="20"/>
        </w:rPr>
        <w:t xml:space="preserve"> estudiantes por docente en cada curso o paralelo). Este volumen masivo supera los estándares pedagógicos modernos, evidenciando que la Carrera requiere urgentemente mayor asignación de carga horaria y apertura de paralelos adicionales.</w:t>
      </w:r>
    </w:p>
    <w:p>
      <w:pPr>
        <w:spacing w:before="0" w:after="200" w:line="240" w:lineRule="auto"/>
        <w:jc w:val="both"/>
      </w:pPr>
      <w:r>
        <w:rPr>
          <w:rFonts w:ascii="Century Gothic" w:hAnsi="Century Gothic" w:cs="Century Gothic" w:eastAsia="Century Gothic"/>
          <w:b/>
          <w:i w:val="0"/>
          <w:sz w:val="20"/>
        </w:rPr>
        <w:t>2. INFRAESTRUCTURA FÍSICA Y TECNOLÓGICA DISPONIBLE</w:t>
      </w:r>
    </w:p>
    <w:p>
      <w:pPr>
        <w:spacing w:before="0" w:after="200" w:line="240" w:lineRule="auto"/>
        <w:jc w:val="both"/>
      </w:pPr>
      <w:r>
        <w:rPr>
          <w:rFonts w:ascii="Century Gothic" w:hAnsi="Century Gothic" w:cs="Century Gothic" w:eastAsia="Century Gothic"/>
          <w:b w:val="0"/>
          <w:i w:val="0"/>
          <w:sz w:val="20"/>
        </w:rPr>
        <w:t xml:space="preserve">La Carrera centraliza sus actividades en dos sedes: el </w:t>
      </w:r>
      <w:r>
        <w:rPr>
          <w:rFonts w:ascii="Century Gothic" w:hAnsi="Century Gothic" w:cs="Century Gothic" w:eastAsia="Century Gothic"/>
          <w:b/>
          <w:i w:val="0"/>
          <w:sz w:val="20"/>
        </w:rPr>
        <w:t>Edificio Nava Morales</w:t>
      </w:r>
      <w:r>
        <w:rPr>
          <w:rFonts w:ascii="Century Gothic" w:hAnsi="Century Gothic" w:cs="Century Gothic" w:eastAsia="Century Gothic"/>
          <w:b w:val="0"/>
          <w:i w:val="0"/>
          <w:sz w:val="20"/>
        </w:rPr>
        <w:t xml:space="preserve"> (Av. Montes esq. Pando) y el </w:t>
      </w:r>
      <w:r>
        <w:rPr>
          <w:rFonts w:ascii="Century Gothic" w:hAnsi="Century Gothic" w:cs="Century Gothic" w:eastAsia="Century Gothic"/>
          <w:b/>
          <w:i w:val="0"/>
          <w:sz w:val="20"/>
        </w:rPr>
        <w:t>Edificio Monoblock Central</w:t>
      </w:r>
      <w:r>
        <w:rPr>
          <w:rFonts w:ascii="Century Gothic" w:hAnsi="Century Gothic" w:cs="Century Gothic" w:eastAsia="Century Gothic"/>
          <w:b w:val="0"/>
          <w:i w:val="0"/>
          <w:sz w:val="20"/>
        </w:rPr>
        <w:t xml:space="preserve"> (Av. Villazón).</w:t>
      </w:r>
    </w:p>
    <w:p>
      <w:pPr>
        <w:spacing w:before="0" w:after="200" w:line="240" w:lineRule="auto"/>
        <w:jc w:val="both"/>
      </w:pPr>
      <w:r>
        <w:rPr>
          <w:rFonts w:ascii="Century Gothic" w:hAnsi="Century Gothic" w:cs="Century Gothic" w:eastAsia="Century Gothic"/>
          <w:b/>
          <w:i w:val="0"/>
          <w:sz w:val="20"/>
        </w:rPr>
        <w:t>2.1. Edificio Nava Morales (Ciclo Básico - 1° y 2° año)</w:t>
      </w:r>
    </w:p>
    <w:p>
      <w:pPr>
        <w:spacing w:before="0" w:after="200" w:line="240" w:lineRule="auto"/>
        <w:jc w:val="both"/>
      </w:pPr>
      <w:r>
        <w:rPr>
          <w:rFonts w:ascii="Century Gothic" w:hAnsi="Century Gothic" w:cs="Century Gothic" w:eastAsia="Century Gothic"/>
          <w:b w:val="0"/>
          <w:i w:val="0"/>
          <w:sz w:val="20"/>
        </w:rPr>
        <w:t>Cuenta con 8 aulas teóricas y 1 aula multipropósito equipadas con proyectores multimedia, ecrán, ventiladores, extractores de aire, cámaras de seguridad, pizarras acrílicas, atriles, tarimas y pupitres bipersonales.</w:t>
      </w:r>
    </w:p>
    <w:p>
      <w:pPr>
        <w:spacing w:before="0" w:after="200" w:line="240" w:lineRule="auto"/>
        <w:jc w:val="both"/>
      </w:pPr>
      <w:r>
        <w:rPr>
          <w:rFonts w:ascii="Century Gothic" w:hAnsi="Century Gothic" w:cs="Century Gothic" w:eastAsia="Century Gothic"/>
          <w:b/>
          <w:i w:val="0"/>
          <w:sz w:val="20"/>
        </w:rPr>
        <w:t>Cuadro No. 3:</w:t>
      </w:r>
      <w:r>
        <w:rPr>
          <w:rFonts w:ascii="Century Gothic" w:hAnsi="Century Gothic" w:cs="Century Gothic" w:eastAsia="Century Gothic"/>
          <w:b w:val="0"/>
          <w:i w:val="0"/>
          <w:sz w:val="20"/>
        </w:rPr>
        <w:t xml:space="preserve"> Cantidad de Aulas (Edificio: Nava Morales, Av. Montes)</w:t>
      </w:r>
    </w:p>
    <w:tbl>
      <w:tblPr>
        <w:tblW w:type="auto" w:w="0"/>
        <w:jc w:val="center"/>
        <w:tblLayout w:type="fixed"/>
        <w:tblLook w:firstColumn="1" w:firstRow="1" w:lastColumn="0" w:lastRow="0" w:noHBand="0" w:noVBand="1" w:val="04A0"/>
      </w:tblPr>
      <w:tblGrid>
        <w:gridCol w:w="1270"/>
        <w:gridCol w:w="1978"/>
        <w:gridCol w:w="1270"/>
        <w:gridCol w:w="1361"/>
        <w:gridCol w:w="1435"/>
        <w:gridCol w:w="1757"/>
      </w:tblGrid>
      <w:tr>
        <w:trPr>
          <w:tblHeader/>
        </w:trPr>
        <w:tc>
          <w:tcPr>
            <w:tcW w:type="dxa" w:w="12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w:t>
            </w:r>
          </w:p>
        </w:tc>
        <w:tc>
          <w:tcPr>
            <w:tcW w:type="dxa" w:w="197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Denominación</w:t>
            </w:r>
          </w:p>
        </w:tc>
        <w:tc>
          <w:tcPr>
            <w:tcW w:type="dxa" w:w="12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Piso</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w:t>
            </w:r>
          </w:p>
        </w:tc>
        <w:tc>
          <w:tcPr>
            <w:tcW w:type="dxa" w:w="14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Superficie</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Capacidad</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Multipropósito</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1er.</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54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1</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73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102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2</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124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142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3</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4</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103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130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5</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59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6</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49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78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7</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99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150 Estudiantes</w:t>
            </w:r>
          </w:p>
        </w:tc>
      </w:tr>
      <w:tr>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w:t>
            </w:r>
          </w:p>
        </w:tc>
        <w:tc>
          <w:tcPr>
            <w:tcW w:type="dxa" w:w="19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8</w:t>
            </w:r>
          </w:p>
        </w:tc>
        <w:tc>
          <w:tcPr>
            <w:tcW w:type="dxa" w:w="12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94 m2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138 Estudiantes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Centro de Cómputo Carrera de Contaduría Pública.</w:t>
      </w:r>
    </w:p>
    <w:p>
      <w:pPr>
        <w:spacing w:before="0" w:after="200" w:line="240" w:lineRule="auto"/>
        <w:jc w:val="both"/>
      </w:pPr>
      <w:r>
        <w:rPr>
          <w:rFonts w:ascii="Century Gothic" w:hAnsi="Century Gothic" w:cs="Century Gothic" w:eastAsia="Century Gothic"/>
          <w:b/>
          <w:i w:val="0"/>
          <w:sz w:val="20"/>
        </w:rPr>
        <w:t>2.2. Edificio Monoblock Central (Ciclo Superior - 3.° año en adelante)</w:t>
      </w:r>
    </w:p>
    <w:p>
      <w:pPr>
        <w:spacing w:before="0" w:after="200" w:line="240" w:lineRule="auto"/>
        <w:jc w:val="both"/>
      </w:pPr>
      <w:r>
        <w:rPr>
          <w:rFonts w:ascii="Century Gothic" w:hAnsi="Century Gothic" w:cs="Century Gothic" w:eastAsia="Century Gothic"/>
          <w:b w:val="0"/>
          <w:i w:val="0"/>
          <w:sz w:val="20"/>
        </w:rPr>
        <w:t>Ambientes de uso exclusivo y administración propia de la Carrera (Pabellones A, B, C y D) con proyectores multimedia, ecrán, cámaras de seguridad, pizarras acrílicas, atriles, tarimas y equipos de sonido.</w:t>
      </w:r>
    </w:p>
    <w:p>
      <w:pPr>
        <w:spacing w:before="0" w:after="200" w:line="240" w:lineRule="auto"/>
        <w:jc w:val="both"/>
      </w:pPr>
      <w:r>
        <w:rPr>
          <w:rFonts w:ascii="Century Gothic" w:hAnsi="Century Gothic" w:cs="Century Gothic" w:eastAsia="Century Gothic"/>
          <w:b/>
          <w:i w:val="0"/>
          <w:sz w:val="20"/>
        </w:rPr>
        <w:t>Cuadro No. 4:</w:t>
      </w:r>
      <w:r>
        <w:rPr>
          <w:rFonts w:ascii="Century Gothic" w:hAnsi="Century Gothic" w:cs="Century Gothic" w:eastAsia="Century Gothic"/>
          <w:b w:val="0"/>
          <w:i w:val="0"/>
          <w:sz w:val="20"/>
        </w:rPr>
        <w:t xml:space="preserve"> Cantidad de Aulas (Edificio: Monoblock, Edificio Central UMSA</w:t>
      </w:r>
    </w:p>
    <w:tbl>
      <w:tblPr>
        <w:tblW w:type="auto" w:w="0"/>
        <w:jc w:val="center"/>
        <w:tblLayout w:type="fixed"/>
        <w:tblLook w:firstColumn="1" w:firstRow="1" w:lastColumn="0" w:lastRow="0" w:noHBand="0" w:noVBand="1" w:val="04A0"/>
      </w:tblPr>
      <w:tblGrid>
        <w:gridCol w:w="1268"/>
        <w:gridCol w:w="1754"/>
        <w:gridCol w:w="1502"/>
        <w:gridCol w:w="1359"/>
        <w:gridCol w:w="1432"/>
        <w:gridCol w:w="1754"/>
      </w:tblGrid>
      <w:tr>
        <w:trPr>
          <w:tblHeader/>
        </w:trPr>
        <w:tc>
          <w:tcPr>
            <w:tcW w:type="dxa" w:w="1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w:t>
            </w:r>
          </w:p>
        </w:tc>
        <w:tc>
          <w:tcPr>
            <w:tcW w:type="dxa" w:w="17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Denominación</w:t>
            </w:r>
          </w:p>
        </w:tc>
        <w:tc>
          <w:tcPr>
            <w:tcW w:type="dxa" w:w="15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Piso</w:t>
            </w:r>
          </w:p>
        </w:tc>
        <w:tc>
          <w:tcPr>
            <w:tcW w:type="dxa" w:w="13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w:t>
            </w:r>
          </w:p>
        </w:tc>
        <w:tc>
          <w:tcPr>
            <w:tcW w:type="dxa" w:w="143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Superficie</w:t>
            </w:r>
          </w:p>
        </w:tc>
        <w:tc>
          <w:tcPr>
            <w:tcW w:type="dxa" w:w="17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Capacidad</w:t>
            </w:r>
          </w:p>
        </w:tc>
      </w:tr>
      <w:tr>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Pabellón A</w:t>
            </w:r>
          </w:p>
        </w:tc>
        <w:tc>
          <w:tcPr>
            <w:tcW w:type="dxa" w:w="15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Planta Baja</w:t>
            </w:r>
          </w:p>
        </w:tc>
        <w:tc>
          <w:tcPr>
            <w:tcW w:type="dxa" w:w="13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320 m2</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320 Estudiantes</w:t>
            </w:r>
          </w:p>
        </w:tc>
      </w:tr>
      <w:tr>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Pabellón B</w:t>
            </w:r>
          </w:p>
        </w:tc>
        <w:tc>
          <w:tcPr>
            <w:tcW w:type="dxa" w:w="15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Planta Baja</w:t>
            </w:r>
          </w:p>
        </w:tc>
        <w:tc>
          <w:tcPr>
            <w:tcW w:type="dxa" w:w="13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330 m2</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320 Estudiantes</w:t>
            </w:r>
          </w:p>
        </w:tc>
      </w:tr>
      <w:tr>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Pabellón C</w:t>
            </w:r>
          </w:p>
        </w:tc>
        <w:tc>
          <w:tcPr>
            <w:tcW w:type="dxa" w:w="15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Planta Baja</w:t>
            </w:r>
          </w:p>
        </w:tc>
        <w:tc>
          <w:tcPr>
            <w:tcW w:type="dxa" w:w="13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310 m2</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240 Estudiantes</w:t>
            </w:r>
          </w:p>
        </w:tc>
      </w:tr>
      <w:tr>
        <w:tc>
          <w:tcPr>
            <w:tcW w:type="dxa" w:w="1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Aula Pabellón D</w:t>
            </w:r>
          </w:p>
        </w:tc>
        <w:tc>
          <w:tcPr>
            <w:tcW w:type="dxa" w:w="15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Planta Baja</w:t>
            </w:r>
          </w:p>
        </w:tc>
        <w:tc>
          <w:tcPr>
            <w:tcW w:type="dxa" w:w="13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Exclusivo</w:t>
            </w:r>
          </w:p>
        </w:tc>
        <w:tc>
          <w:tcPr>
            <w:tcW w:type="dxa" w:w="14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310 m2</w:t>
            </w:r>
          </w:p>
        </w:tc>
        <w:tc>
          <w:tcPr>
            <w:tcW w:type="dxa" w:w="17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220 Estudiantes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Centro de Cómputo Carrera de Contaduría Pública.</w:t>
      </w:r>
    </w:p>
    <w:p>
      <w:pPr>
        <w:spacing w:before="0" w:after="200" w:line="240" w:lineRule="auto"/>
        <w:jc w:val="both"/>
      </w:pPr>
      <w:r>
        <w:rPr>
          <w:rFonts w:ascii="Century Gothic" w:hAnsi="Century Gothic" w:cs="Century Gothic" w:eastAsia="Century Gothic"/>
          <w:b/>
          <w:i w:val="0"/>
          <w:sz w:val="20"/>
        </w:rPr>
        <w:t>2.3. Biblioteca, Sistemas y Recursos Académicos</w:t>
      </w:r>
    </w:p>
    <w:p>
      <w:pPr>
        <w:numPr>
          <w:ilvl w:val="0"/>
          <w:numId w:val="902"/>
        </w:numPr>
        <w:spacing w:before="0" w:after="160" w:line="240" w:lineRule="auto"/>
        <w:jc w:val="both"/>
      </w:pPr>
      <w:r>
        <w:rPr>
          <w:rFonts w:ascii="Century Gothic" w:hAnsi="Century Gothic" w:cs="Century Gothic" w:eastAsia="Century Gothic"/>
          <w:b/>
          <w:i w:val="0"/>
          <w:sz w:val="20"/>
        </w:rPr>
        <w:t>Biblioteca:</w:t>
      </w:r>
      <w:r>
        <w:rPr>
          <w:rFonts w:ascii="Century Gothic" w:hAnsi="Century Gothic" w:cs="Century Gothic" w:eastAsia="Century Gothic"/>
          <w:b w:val="0"/>
          <w:i w:val="0"/>
          <w:sz w:val="20"/>
        </w:rPr>
        <w:t xml:space="preserve"> Ubicada en el Edificio Nava Morales, cuenta con sala de lectura para </w:t>
      </w:r>
      <w:r>
        <w:rPr>
          <w:rFonts w:ascii="Century Gothic" w:hAnsi="Century Gothic" w:cs="Century Gothic" w:eastAsia="Century Gothic"/>
          <w:b/>
          <w:i w:val="0"/>
          <w:sz w:val="20"/>
        </w:rPr>
        <w:t>90 estudiantes</w:t>
      </w:r>
      <w:r>
        <w:rPr>
          <w:rFonts w:ascii="Century Gothic" w:hAnsi="Century Gothic" w:cs="Century Gothic" w:eastAsia="Century Gothic"/>
          <w:b w:val="0"/>
          <w:i w:val="0"/>
          <w:sz w:val="20"/>
        </w:rPr>
        <w:t>; dotada con 6.173 libros de texto, 108 tesis de maestría, 87 de grado, 668 proyectos de grado, 1.530 trabajos dirigidos y 1.951 memorias (PETAENG 428). Integrada con el sistema KOHA y control biométrico.</w:t>
      </w:r>
    </w:p>
    <w:p>
      <w:pPr>
        <w:numPr>
          <w:ilvl w:val="0"/>
          <w:numId w:val="902"/>
        </w:numPr>
        <w:spacing w:before="0" w:after="160" w:line="240" w:lineRule="auto"/>
        <w:jc w:val="both"/>
      </w:pPr>
      <w:r>
        <w:rPr>
          <w:rFonts w:ascii="Century Gothic" w:hAnsi="Century Gothic" w:cs="Century Gothic" w:eastAsia="Century Gothic"/>
          <w:b/>
          <w:i w:val="0"/>
          <w:sz w:val="20"/>
        </w:rPr>
        <w:t>Bases de Datos Digitales y Repositorios:</w:t>
      </w:r>
      <w:r>
        <w:rPr>
          <w:rFonts w:ascii="Century Gothic" w:hAnsi="Century Gothic" w:cs="Century Gothic" w:eastAsia="Century Gothic"/>
          <w:b w:val="0"/>
          <w:i w:val="0"/>
          <w:sz w:val="20"/>
        </w:rPr>
        <w:t xml:space="preserve"> Acceso al Repositorio UMSA, Research4Life, SciELO, Scopus y Dialnet.</w:t>
      </w:r>
    </w:p>
    <w:p>
      <w:pPr>
        <w:numPr>
          <w:ilvl w:val="0"/>
          <w:numId w:val="902"/>
        </w:numPr>
        <w:spacing w:before="0" w:after="200" w:line="240" w:lineRule="auto"/>
        <w:jc w:val="both"/>
      </w:pPr>
      <w:r>
        <w:rPr>
          <w:rFonts w:ascii="Century Gothic" w:hAnsi="Century Gothic" w:cs="Century Gothic" w:eastAsia="Century Gothic"/>
          <w:b/>
          <w:i w:val="0"/>
          <w:sz w:val="20"/>
        </w:rPr>
        <w:t>Infraestructura Tecnológica de Apoyo:</w:t>
      </w:r>
    </w:p>
    <w:p>
      <w:pPr>
        <w:spacing w:before="0" w:after="200" w:line="240" w:lineRule="auto"/>
        <w:jc w:val="both"/>
      </w:pPr>
      <w:r>
        <w:rPr>
          <w:rFonts w:ascii="Century Gothic" w:hAnsi="Century Gothic" w:cs="Century Gothic" w:eastAsia="Century Gothic"/>
          <w:b w:val="0"/>
          <w:i w:val="0"/>
          <w:sz w:val="20"/>
        </w:rPr>
        <w:t xml:space="preserve">Laboratorios de computación con </w:t>
      </w:r>
      <w:r>
        <w:rPr>
          <w:rFonts w:ascii="Century Gothic" w:hAnsi="Century Gothic" w:cs="Century Gothic" w:eastAsia="Century Gothic"/>
          <w:b/>
          <w:i w:val="0"/>
          <w:sz w:val="20"/>
        </w:rPr>
        <w:t>70 equipos</w:t>
      </w:r>
      <w:r>
        <w:rPr>
          <w:rFonts w:ascii="Century Gothic" w:hAnsi="Century Gothic" w:cs="Century Gothic" w:eastAsia="Century Gothic"/>
          <w:b w:val="0"/>
          <w:i w:val="0"/>
          <w:sz w:val="20"/>
        </w:rPr>
        <w:t xml:space="preserve"> (Nava Morales) y </w:t>
      </w:r>
      <w:r>
        <w:rPr>
          <w:rFonts w:ascii="Century Gothic" w:hAnsi="Century Gothic" w:cs="Century Gothic" w:eastAsia="Century Gothic"/>
          <w:b/>
          <w:i w:val="0"/>
          <w:sz w:val="20"/>
        </w:rPr>
        <w:t>39 equipos</w:t>
      </w:r>
      <w:r>
        <w:rPr>
          <w:rFonts w:ascii="Century Gothic" w:hAnsi="Century Gothic" w:cs="Century Gothic" w:eastAsia="Century Gothic"/>
          <w:b w:val="0"/>
          <w:i w:val="0"/>
          <w:sz w:val="20"/>
        </w:rPr>
        <w:t xml:space="preserve"> (Monoblock).</w:t>
      </w:r>
    </w:p>
    <w:p>
      <w:pPr>
        <w:spacing w:before="0" w:after="200" w:line="240" w:lineRule="auto"/>
        <w:jc w:val="both"/>
      </w:pPr>
      <w:r>
        <w:rPr>
          <w:rFonts w:ascii="Century Gothic" w:hAnsi="Century Gothic" w:cs="Century Gothic" w:eastAsia="Century Gothic"/>
          <w:b w:val="0"/>
          <w:i w:val="0"/>
          <w:sz w:val="20"/>
        </w:rPr>
        <w:t>Centro de Cómputo (distribución de internet), pool de servidores centralizado UMSA con respaldo autónomo de energía, sistema de seguimiento académico, plataforma virtual institucional y control biométrico docente.</w:t>
      </w:r>
    </w:p>
    <w:p>
      <w:pPr>
        <w:spacing w:before="0" w:after="200" w:line="240" w:lineRule="auto"/>
        <w:jc w:val="both"/>
      </w:pPr>
      <w:r>
        <w:rPr>
          <w:rFonts w:ascii="Century Gothic" w:hAnsi="Century Gothic" w:cs="Century Gothic" w:eastAsia="Century Gothic"/>
          <w:b/>
          <w:i w:val="0"/>
          <w:sz w:val="20"/>
        </w:rPr>
        <w:t>2.4. Infraestructura Tecnológica Especializada (Requerida por el Rediseño)</w:t>
      </w:r>
    </w:p>
    <w:p>
      <w:pPr>
        <w:spacing w:before="0" w:after="200" w:line="240" w:lineRule="auto"/>
        <w:jc w:val="both"/>
      </w:pPr>
      <w:r>
        <w:rPr>
          <w:rFonts w:ascii="Century Gothic" w:hAnsi="Century Gothic" w:cs="Century Gothic" w:eastAsia="Century Gothic"/>
          <w:b w:val="0"/>
          <w:i w:val="0"/>
          <w:sz w:val="20"/>
        </w:rPr>
        <w:t>Conforme a directrices del SUB (2024), WEF (2025) e Ipsos CIESMORI (2025), el nuevo perfil curricular exige:</w:t>
      </w:r>
    </w:p>
    <w:p>
      <w:pPr>
        <w:spacing w:before="0" w:after="200" w:line="240" w:lineRule="auto"/>
        <w:jc w:val="both"/>
      </w:pPr>
      <w:r>
        <w:rPr>
          <w:rFonts w:ascii="Century Gothic" w:hAnsi="Century Gothic" w:cs="Century Gothic" w:eastAsia="Century Gothic"/>
          <w:b/>
          <w:i w:val="0"/>
          <w:sz w:val="20"/>
        </w:rPr>
        <w:t>Cuadro No. 5:</w:t>
      </w:r>
      <w:r>
        <w:rPr>
          <w:rFonts w:ascii="Century Gothic" w:hAnsi="Century Gothic" w:cs="Century Gothic" w:eastAsia="Century Gothic"/>
          <w:b w:val="0"/>
          <w:i w:val="0"/>
          <w:sz w:val="20"/>
        </w:rPr>
        <w:t xml:space="preserve"> Infraestructura Tecnológica de la Carrera Contaduría Pública</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 técnica requerida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Laboratorios de cómputo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Software de auditoría (ACL/IDEA/CAATT), ERP (SAP, Oracle/Netsuite), análisis de datos (Power BI, Tableau, Python básico).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Plataformas virtuales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LMS para metodologías activas, repositorio de casos empresariales, acceso a normas IFAC e IASB en línea.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Bases de datos académicas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Revistas especializadas en Contabilidad Internacional, acceso NIIF Foundation, IES-IFAC, WEF Reports.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Espacios colaborativos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Salas de trabajo en equipo para aprendizaje basado en proyectos, simulación de firmas de auditoría y consultoría.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Centro de Cómputo Carrera de Contaduría Pública.</w:t>
      </w:r>
    </w:p>
    <w:p>
      <w:pPr>
        <w:spacing w:before="0" w:after="200" w:line="240" w:lineRule="auto"/>
        <w:jc w:val="both"/>
      </w:pPr>
      <w:r>
        <w:rPr>
          <w:rFonts w:ascii="Century Gothic" w:hAnsi="Century Gothic" w:cs="Century Gothic" w:eastAsia="Century Gothic"/>
          <w:b/>
          <w:i w:val="0"/>
          <w:sz w:val="20"/>
        </w:rPr>
        <w:t>2.5 Instrumento de diagnóstico situacional (Matriz estudiantil)</w:t>
      </w:r>
    </w:p>
    <w:p>
      <w:pPr>
        <w:spacing w:before="0" w:after="200" w:line="240" w:lineRule="auto"/>
        <w:jc w:val="both"/>
      </w:pPr>
      <w:r>
        <w:rPr>
          <w:rFonts w:ascii="Century Gothic" w:hAnsi="Century Gothic" w:cs="Century Gothic" w:eastAsia="Century Gothic"/>
          <w:b/>
          <w:i w:val="0"/>
          <w:sz w:val="20"/>
        </w:rPr>
        <w:t>Componente 1: Infraestructura, Equipamiento y Sistemas Informáticos</w:t>
      </w:r>
    </w:p>
    <w:p>
      <w:pPr>
        <w:spacing w:before="0" w:after="200" w:line="240" w:lineRule="auto"/>
        <w:jc w:val="both"/>
      </w:pPr>
      <w:r>
        <w:rPr>
          <w:rFonts w:ascii="Century Gothic" w:hAnsi="Century Gothic" w:cs="Century Gothic" w:eastAsia="Century Gothic"/>
          <w:b/>
          <w:i w:val="0"/>
          <w:sz w:val="20"/>
        </w:rPr>
        <w:t>Cuadro No. 6:</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Cuadro de evaluación del estado actual de aulas, espacios físicos y tecnología disponible.</w:t>
      </w:r>
    </w:p>
    <w:tbl>
      <w:tblPr>
        <w:tblW w:type="auto" w:w="0"/>
        <w:jc w:val="center"/>
        <w:tblLayout w:type="fixed"/>
        <w:tblLook w:firstColumn="1" w:firstRow="1" w:lastColumn="0" w:lastRow="0" w:noHBand="0" w:noVBand="1" w:val="04A0"/>
      </w:tblPr>
      <w:tblGrid>
        <w:gridCol w:w="618"/>
        <w:gridCol w:w="2194"/>
        <w:gridCol w:w="909"/>
        <w:gridCol w:w="2466"/>
        <w:gridCol w:w="2884"/>
      </w:tblGrid>
      <w:tr>
        <w:trPr>
          <w:tblHeader/>
        </w:trPr>
        <w:tc>
          <w:tcPr>
            <w:tcW w:type="dxa" w:w="6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w:t>
            </w:r>
          </w:p>
        </w:tc>
        <w:tc>
          <w:tcPr>
            <w:tcW w:type="dxa" w:w="21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Ítem a evaluar / Pregunta clave</w:t>
            </w:r>
          </w:p>
        </w:tc>
        <w:tc>
          <w:tcPr>
            <w:tcW w:type="dxa" w:w="9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Sí / No / Parcial</w:t>
            </w:r>
          </w:p>
        </w:tc>
        <w:tc>
          <w:tcPr>
            <w:tcW w:type="dxa" w:w="246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 cuantitativo o detalle (2021 - 2026)</w:t>
            </w:r>
          </w:p>
        </w:tc>
        <w:tc>
          <w:tcPr>
            <w:tcW w:type="dxa" w:w="28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Observaciones / Problema crítico detectado</w:t>
            </w:r>
          </w:p>
        </w:tc>
      </w:tr>
      <w:tr>
        <w:tc>
          <w:tcPr>
            <w:tcW w:type="dxa" w:w="6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1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 cuenta con un inventario actualizado de aulas teóricas y su capacidad real?</w:t>
            </w:r>
          </w:p>
        </w:tc>
        <w:tc>
          <w:tcPr>
            <w:tcW w:type="dxa" w:w="9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Parcial</w:t>
            </w:r>
          </w:p>
        </w:tc>
        <w:tc>
          <w:tcPr>
            <w:tcW w:type="dxa" w:w="24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4.283 matriculados y 3.143 inscritos. Capacidad prom. Nava Morales: 120 est. Biblioteca: 90 plazas.</w:t>
            </w:r>
          </w:p>
        </w:tc>
        <w:tc>
          <w:tcPr>
            <w:tcW w:type="dxa" w:w="28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Saturación crítica en 1.° y 2.° año: paralelos superan el límite; estudiantes piden bancas prestadas o se sientan en el suelo, afectando la dignidad y el aprendizaje.</w:t>
            </w:r>
          </w:p>
        </w:tc>
      </w:tr>
      <w:tr>
        <w:tc>
          <w:tcPr>
            <w:tcW w:type="dxa" w:w="6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21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¿Existen espacios o laboratorios de cómputo suficientes para la práctica estudiantil?</w:t>
            </w:r>
          </w:p>
        </w:tc>
        <w:tc>
          <w:tcPr>
            <w:tcW w:type="dxa" w:w="9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Parcial</w:t>
            </w:r>
          </w:p>
        </w:tc>
        <w:tc>
          <w:tcPr>
            <w:tcW w:type="dxa" w:w="24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Equipos físicamente conservados en laboratorios (70 en Nava Morales, 39 en Monoblock).</w:t>
            </w:r>
          </w:p>
        </w:tc>
        <w:tc>
          <w:tcPr>
            <w:tcW w:type="dxa" w:w="28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Obsolescencia operativa: rendimiento notablemente ralentizado, insuficientes para soportar auditoría de datos y metodologías activas del rediseño.</w:t>
            </w:r>
          </w:p>
        </w:tc>
      </w:tr>
      <w:tr>
        <w:tc>
          <w:tcPr>
            <w:tcW w:type="dxa" w:w="6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21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 dispone de software especializado instalado y licenciado (ERP, sistemas tributarios/contables)?</w:t>
            </w:r>
          </w:p>
        </w:tc>
        <w:tc>
          <w:tcPr>
            <w:tcW w:type="dxa" w:w="9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c>
          <w:tcPr>
            <w:tcW w:type="dxa" w:w="24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Inexistencia de sistemas ERP o herramientas de auditoría integradas en estaciones de trabajo.</w:t>
            </w:r>
          </w:p>
        </w:tc>
        <w:tc>
          <w:tcPr>
            <w:tcW w:type="dxa" w:w="28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Los estudiantes no pueden practicar con herramientas informáticas reales del ejercicio profesional, constituyendo una brecha crítica para el nuevo diseño por competencias.</w:t>
            </w:r>
          </w:p>
        </w:tc>
      </w:tr>
      <w:tr>
        <w:tc>
          <w:tcPr>
            <w:tcW w:type="dxa" w:w="6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21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estado actual del mobiliario y la conectividad (internet/redes) es óptimo para las clases?</w:t>
            </w:r>
          </w:p>
        </w:tc>
        <w:tc>
          <w:tcPr>
            <w:tcW w:type="dxa" w:w="9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c>
          <w:tcPr>
            <w:tcW w:type="dxa" w:w="24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Calor/frío extremo; ventiladores ineficientes; proyectores que fallan; pantallas de alambre manuales; limitaciones en Moodle.</w:t>
            </w:r>
          </w:p>
        </w:tc>
        <w:tc>
          <w:tcPr>
            <w:tcW w:type="dxa" w:w="28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Las condiciones ambientales y fallas técnicas constantes contrastan con una carrera que apunta a la literacidad tecnológica y entorpecen el desarrollo de clases.</w:t>
            </w:r>
          </w:p>
        </w:tc>
      </w:tr>
      <w:tr>
        <w:tc>
          <w:tcPr>
            <w:tcW w:type="dxa" w:w="6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21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 distribución física entre sedes es funcional para la dinámica académica?</w:t>
            </w:r>
          </w:p>
        </w:tc>
        <w:tc>
          <w:tcPr>
            <w:tcW w:type="dxa" w:w="9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c>
          <w:tcPr>
            <w:tcW w:type="dxa" w:w="24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Ciclo básico (Nava Morales, Av. Montes) y Ciclo superior (Monoblock, Av. Villazón).</w:t>
            </w:r>
          </w:p>
        </w:tc>
        <w:tc>
          <w:tcPr>
            <w:tcW w:type="dxa" w:w="28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Dispersión física: traslados con clases seguidas provocan retrasos y pérdidas de tiempo tanto a estudiantes como a docentes.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Elaboración propia, con base en la información obtenida de la Carrera de Contaduría Pública.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11.1.2</w:t>
        <w:tab/>
      </w:r>
      <w:r>
        <w:rPr>
          <w:rFonts w:ascii="Century Gothic" w:hAnsi="Century Gothic" w:cs="Century Gothic" w:eastAsia="Century Gothic"/>
          <w:b/>
          <w:i w:val="0"/>
          <w:sz w:val="22"/>
        </w:rPr>
        <w:t>ANÁLISIS PROSPECTIVO Y PROPUESTA DE MEJORA</w:t>
      </w:r>
    </w:p>
    <w:p>
      <w:pPr>
        <w:spacing w:before="0" w:after="200" w:line="240" w:lineRule="auto"/>
        <w:jc w:val="both"/>
      </w:pPr>
      <w:r>
        <w:rPr>
          <w:rFonts w:ascii="Century Gothic" w:hAnsi="Century Gothic" w:cs="Century Gothic" w:eastAsia="Century Gothic"/>
          <w:b w:val="0"/>
          <w:i w:val="0"/>
          <w:sz w:val="20"/>
        </w:rPr>
        <w:t>Dado que el nuevo diseño curricular se orientará al desarrollo de competencias profesionales, alfabetización tecnológica y metodologías activas de aprendizaje, la estructura de la carrera no puede sostenerse bajo los parámetros operativos actuales. A continuación, se proyecta el análisis y las propuestas de mejora por componente:</w:t>
      </w:r>
    </w:p>
    <w:p>
      <w:pPr>
        <w:keepNext/>
        <w:spacing w:before="40" w:after="200" w:line="240" w:lineRule="auto"/>
        <w:jc w:val="left"/>
      </w:pPr>
      <w:r>
        <w:rPr>
          <w:rFonts w:ascii="Century Gothic" w:hAnsi="Century Gothic" w:cs="Century Gothic" w:eastAsia="Century Gothic"/>
          <w:b/>
          <w:i w:val="0"/>
          <w:sz w:val="22"/>
        </w:rPr>
        <w:t>COMPONENTE: INFRAESTRUCTURA Y TECNOLOGÍA</w:t>
      </w:r>
    </w:p>
    <w:p>
      <w:pPr>
        <w:spacing w:before="0" w:after="200" w:line="240" w:lineRule="auto"/>
        <w:jc w:val="both"/>
      </w:pPr>
      <w:r>
        <w:rPr>
          <w:rFonts w:ascii="Century Gothic" w:hAnsi="Century Gothic" w:cs="Century Gothic" w:eastAsia="Century Gothic"/>
          <w:b/>
          <w:i/>
          <w:sz w:val="20"/>
        </w:rPr>
        <w:t>Análisis prospectivo (Brecha entre el diagnóstico y el nuevo currículo)</w:t>
      </w:r>
    </w:p>
    <w:p>
      <w:pPr>
        <w:spacing w:before="0" w:after="200" w:line="240" w:lineRule="auto"/>
        <w:jc w:val="both"/>
      </w:pPr>
      <w:r>
        <w:rPr>
          <w:rFonts w:ascii="Century Gothic" w:hAnsi="Century Gothic" w:cs="Century Gothic" w:eastAsia="Century Gothic"/>
          <w:b w:val="0"/>
          <w:i w:val="0"/>
          <w:sz w:val="20"/>
        </w:rPr>
        <w:t>El diagnóstico evidencia una población activa que supera los 4.200 estudiantes matriculados, caracterizada por una severa sobrepoblación en las aulas de los primeros ciclos (primer y segundo año) en el Edificio Nava Morales y una fragmentación logística derivada de la dispersión respecto de los predios en el Edificio Monoblock Central. En el plano tecnológico, el parque informático presenta una marcada obsolescencia técnica, brechas de rendimiento en los entornos virtuales (Moodle) y una carencia crítica de software contable corporativo (ERP) y herramientas de auditoría asistida por computadora (como ACL o IDEA). Este rezago infraestructural resulta incompatible con un modelo curricular por competencias, el cual demanda ineludiblemente la simulación de entornos profesionales reales, el procesamiento masivo de datos financieros y la literacidad digital aplicada.</w:t>
      </w:r>
    </w:p>
    <w:p>
      <w:pPr>
        <w:spacing w:before="0" w:after="200" w:line="240" w:lineRule="auto"/>
        <w:jc w:val="both"/>
      </w:pPr>
      <w:r>
        <w:rPr>
          <w:rFonts w:ascii="Century Gothic" w:hAnsi="Century Gothic" w:cs="Century Gothic" w:eastAsia="Century Gothic"/>
          <w:b/>
          <w:i/>
          <w:sz w:val="20"/>
        </w:rPr>
        <w:t>Propuestas de mejora prospectivas</w:t>
      </w:r>
    </w:p>
    <w:p>
      <w:pPr>
        <w:spacing w:before="0" w:after="200" w:line="240" w:lineRule="auto"/>
        <w:jc w:val="both"/>
      </w:pPr>
      <w:r>
        <w:rPr>
          <w:rFonts w:ascii="Century Gothic" w:hAnsi="Century Gothic" w:cs="Century Gothic" w:eastAsia="Century Gothic"/>
          <w:b/>
          <w:i w:val="0"/>
          <w:sz w:val="20"/>
        </w:rPr>
        <w:t>A corto plazo:</w:t>
      </w:r>
    </w:p>
    <w:p>
      <w:pPr>
        <w:numPr>
          <w:ilvl w:val="0"/>
          <w:numId w:val="902"/>
        </w:numPr>
        <w:spacing w:before="0" w:after="160" w:line="240" w:lineRule="auto"/>
        <w:jc w:val="both"/>
      </w:pPr>
      <w:r>
        <w:rPr>
          <w:rFonts w:ascii="Century Gothic" w:hAnsi="Century Gothic" w:cs="Century Gothic" w:eastAsia="Century Gothic"/>
          <w:b/>
          <w:i w:val="0"/>
          <w:sz w:val="20"/>
        </w:rPr>
        <w:t>Optimización y zonificación de la malla horaria:</w:t>
      </w:r>
      <w:r>
        <w:rPr>
          <w:rFonts w:ascii="Century Gothic" w:hAnsi="Century Gothic" w:cs="Century Gothic" w:eastAsia="Century Gothic"/>
          <w:b w:val="0"/>
          <w:i w:val="0"/>
          <w:sz w:val="20"/>
        </w:rPr>
        <w:t xml:space="preserve"> Implementación de criterios estrictos de programación académica que concentren las asignaturas por sede o jornada, eliminando los desplazamientos intempestivos de docentes y estudiantes entre el Edificio Nava Morales y el Monoblock Central, reduciendo la deserción horaria y optimizando los tiempos pedagógicos efectivos.</w:t>
      </w:r>
    </w:p>
    <w:p>
      <w:pPr>
        <w:numPr>
          <w:ilvl w:val="0"/>
          <w:numId w:val="902"/>
        </w:numPr>
        <w:spacing w:before="0" w:after="200" w:line="240" w:lineRule="auto"/>
        <w:jc w:val="both"/>
      </w:pPr>
      <w:r>
        <w:rPr>
          <w:rFonts w:ascii="Century Gothic" w:hAnsi="Century Gothic" w:cs="Century Gothic" w:eastAsia="Century Gothic"/>
          <w:b/>
          <w:i w:val="0"/>
          <w:sz w:val="20"/>
        </w:rPr>
        <w:t>Canalización y gestión digital del mantenimiento de infraestructura:</w:t>
      </w:r>
      <w:r>
        <w:rPr>
          <w:rFonts w:ascii="Century Gothic" w:hAnsi="Century Gothic" w:cs="Century Gothic" w:eastAsia="Century Gothic"/>
          <w:b w:val="0"/>
          <w:i w:val="0"/>
          <w:sz w:val="20"/>
        </w:rPr>
        <w:t xml:space="preserve"> Implementación de una plataforma digital centralizada de reporte y trazabilidad de incidencias (fallas en proyectores multimedia, iluminación, conectividad y deterioro de mobiliario), articulada directamente con la unidad de infraestructura para garantizar tiempos de respuesta oportunos y condiciones óptimas en aula.</w:t>
      </w:r>
    </w:p>
    <w:p>
      <w:pPr>
        <w:spacing w:before="0" w:after="200" w:line="240" w:lineRule="auto"/>
        <w:jc w:val="both"/>
      </w:pPr>
      <w:r>
        <w:rPr>
          <w:rFonts w:ascii="Century Gothic" w:hAnsi="Century Gothic" w:cs="Century Gothic" w:eastAsia="Century Gothic"/>
          <w:b/>
          <w:i w:val="0"/>
          <w:sz w:val="20"/>
        </w:rPr>
        <w:t>A mediano plazo:</w:t>
      </w:r>
    </w:p>
    <w:p>
      <w:pPr>
        <w:numPr>
          <w:ilvl w:val="0"/>
          <w:numId w:val="902"/>
        </w:numPr>
        <w:spacing w:before="0" w:after="160" w:line="240" w:lineRule="auto"/>
        <w:jc w:val="both"/>
      </w:pPr>
      <w:r>
        <w:rPr>
          <w:rFonts w:ascii="Century Gothic" w:hAnsi="Century Gothic" w:cs="Century Gothic" w:eastAsia="Century Gothic"/>
          <w:b/>
          <w:i w:val="0"/>
          <w:sz w:val="20"/>
        </w:rPr>
        <w:t>Modernización tecnológica y escalonada de laboratorios de cómputo:</w:t>
      </w:r>
      <w:r>
        <w:rPr>
          <w:rFonts w:ascii="Century Gothic" w:hAnsi="Century Gothic" w:cs="Century Gothic" w:eastAsia="Century Gothic"/>
          <w:b w:val="0"/>
          <w:i w:val="0"/>
          <w:sz w:val="20"/>
        </w:rPr>
        <w:t xml:space="preserve"> Renovación integral y ampliación de la capacidad de procesamiento de las estaciones de trabajo existentes (70 equipos en el Edificio Nava Morales y 39 en el Monoblock Central), complementada con la gestión de convenios y licencias académicas de sistemas de gestión empresarial (ERP de clase mundial como SAP u Oracle), software contable integral y herramientas de auditoría asistida por computadora (CAATs) y analítica de datos.</w:t>
      </w:r>
    </w:p>
    <w:p>
      <w:pPr>
        <w:numPr>
          <w:ilvl w:val="0"/>
          <w:numId w:val="902"/>
        </w:numPr>
        <w:spacing w:before="0" w:after="200" w:line="240" w:lineRule="auto"/>
        <w:jc w:val="both"/>
      </w:pPr>
      <w:r>
        <w:rPr>
          <w:rFonts w:ascii="Century Gothic" w:hAnsi="Century Gothic" w:cs="Century Gothic" w:eastAsia="Century Gothic"/>
          <w:b/>
          <w:i w:val="0"/>
          <w:sz w:val="20"/>
        </w:rPr>
        <w:t>Implementación de salas de práctica profesional y aprendizaje colaborativo:</w:t>
      </w:r>
      <w:r>
        <w:rPr>
          <w:rFonts w:ascii="Century Gothic" w:hAnsi="Century Gothic" w:cs="Century Gothic" w:eastAsia="Century Gothic"/>
          <w:b w:val="0"/>
          <w:i w:val="0"/>
          <w:sz w:val="20"/>
        </w:rPr>
        <w:t xml:space="preserve"> Diseño y adecuación de espacios modulares orientados al aprendizaje basado en proyectos (ABP) y a la simulación de firmas de auditoría y consultoría tributaria/financiera, dotados de tecnología interactiva y mobiliario dinámico que reproduzcan la dinámica operativa del mercado laboral contemporáneo.</w:t>
      </w:r>
    </w:p>
    <w:p>
      <w:pPr>
        <w:spacing w:before="0" w:after="200" w:line="240" w:lineRule="auto"/>
        <w:jc w:val="both"/>
      </w:pPr>
      <w:r>
        <w:rPr>
          <w:rFonts w:ascii="Century Gothic" w:hAnsi="Century Gothic" w:cs="Century Gothic" w:eastAsia="Century Gothic"/>
          <w:b/>
          <w:i w:val="0"/>
          <w:sz w:val="20"/>
        </w:rPr>
        <w:t>A largo plazo:</w:t>
      </w:r>
    </w:p>
    <w:p>
      <w:pPr>
        <w:spacing w:before="0" w:after="200" w:line="240" w:lineRule="auto"/>
        <w:jc w:val="both"/>
      </w:pPr>
      <w:r>
        <w:rPr>
          <w:rFonts w:ascii="Century Gothic" w:hAnsi="Century Gothic" w:cs="Century Gothic" w:eastAsia="Century Gothic"/>
          <w:b/>
          <w:i w:val="0"/>
          <w:sz w:val="20"/>
        </w:rPr>
        <w:t>Gestión y consolidación de una infraestructura centralizada propia:</w:t>
      </w:r>
      <w:r>
        <w:rPr>
          <w:rFonts w:ascii="Century Gothic" w:hAnsi="Century Gothic" w:cs="Century Gothic" w:eastAsia="Century Gothic"/>
          <w:b w:val="0"/>
          <w:i w:val="0"/>
          <w:sz w:val="20"/>
        </w:rPr>
        <w:t xml:space="preserve"> Priorización institucional del proyecto de construcción o asignación en exclusividad de un predio centralizado para la Carrera de Contaduría Pública. Esta medida estratégica resolverá de forma definitiva la fragmentación geográfica entre sedes, superará el déficit crónico de capacidad instalada y optimizará la gobernanza académica, fortaleciendo al mismo tiempo el sentido de pertenencia y la cohesión estamentaria.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11.2</w:t>
        <w:tab/>
      </w:r>
      <w:r>
        <w:rPr>
          <w:rFonts w:ascii="Century Gothic" w:hAnsi="Century Gothic" w:cs="Century Gothic" w:eastAsia="Century Gothic"/>
          <w:b/>
          <w:i w:val="0"/>
          <w:sz w:val="24"/>
        </w:rPr>
        <w:t>Recursos humanos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11.2.1</w:t>
        <w:tab/>
      </w:r>
      <w:r>
        <w:rPr>
          <w:rFonts w:ascii="Century Gothic" w:hAnsi="Century Gothic" w:cs="Century Gothic" w:eastAsia="Century Gothic"/>
          <w:b/>
          <w:i w:val="0"/>
          <w:sz w:val="22"/>
        </w:rPr>
        <w:t>COMPONENTE: RECURSOS HUMANOS (DOCENTE Y SOPORTE TÉCNICO)</w:t>
      </w:r>
    </w:p>
    <w:p>
      <w:pPr>
        <w:spacing w:before="0" w:after="200" w:line="240" w:lineRule="auto"/>
        <w:jc w:val="both"/>
      </w:pPr>
      <w:r>
        <w:rPr>
          <w:rFonts w:ascii="Century Gothic" w:hAnsi="Century Gothic" w:cs="Century Gothic" w:eastAsia="Century Gothic"/>
          <w:b/>
          <w:i/>
          <w:sz w:val="20"/>
        </w:rPr>
        <w:t>Análisis prospectivo (Brecha entre el diagnóstico y el nuevo currículo)</w:t>
      </w:r>
    </w:p>
    <w:p>
      <w:pPr>
        <w:spacing w:before="0" w:after="200" w:line="240" w:lineRule="auto"/>
        <w:jc w:val="both"/>
      </w:pPr>
      <w:r>
        <w:rPr>
          <w:rFonts w:ascii="Century Gothic" w:hAnsi="Century Gothic" w:cs="Century Gothic" w:eastAsia="Century Gothic"/>
          <w:b w:val="0"/>
          <w:i w:val="0"/>
          <w:sz w:val="20"/>
        </w:rPr>
        <w:t>El contraste entre la situación actual y las directrices del nuevo diseño formativo evidencia dos asimetrías determinantes:</w:t>
      </w:r>
    </w:p>
    <w:p>
      <w:pPr>
        <w:numPr>
          <w:ilvl w:val="0"/>
          <w:numId w:val="902"/>
        </w:numPr>
        <w:spacing w:before="0" w:after="160" w:line="240" w:lineRule="auto"/>
        <w:jc w:val="both"/>
      </w:pPr>
      <w:r>
        <w:rPr>
          <w:rFonts w:ascii="Century Gothic" w:hAnsi="Century Gothic" w:cs="Century Gothic" w:eastAsia="Century Gothic"/>
          <w:b/>
          <w:i w:val="0"/>
          <w:sz w:val="20"/>
        </w:rPr>
        <w:t>Brecha en el ratio pedagógica:</w:t>
      </w:r>
      <w:r>
        <w:rPr>
          <w:rFonts w:ascii="Century Gothic" w:hAnsi="Century Gothic" w:cs="Century Gothic" w:eastAsia="Century Gothic"/>
          <w:b w:val="0"/>
          <w:i w:val="0"/>
          <w:sz w:val="20"/>
        </w:rPr>
        <w:t xml:space="preserve"> La concentración promedio de 104 a 109 estudiantes por docente y paralelo compromete la interacción didáctica y anula la posibilidad de una evaluación auténtica y continua, indispensables en un enfoque por competencias.</w:t>
      </w:r>
    </w:p>
    <w:p>
      <w:pPr>
        <w:numPr>
          <w:ilvl w:val="0"/>
          <w:numId w:val="902"/>
        </w:numPr>
        <w:spacing w:before="0" w:after="200" w:line="240" w:lineRule="auto"/>
        <w:jc w:val="both"/>
      </w:pPr>
      <w:r>
        <w:rPr>
          <w:rFonts w:ascii="Century Gothic" w:hAnsi="Century Gothic" w:cs="Century Gothic" w:eastAsia="Century Gothic"/>
          <w:b/>
          <w:i w:val="0"/>
          <w:sz w:val="20"/>
        </w:rPr>
        <w:t>Brecha de capacidades docentes y soporte operativo:</w:t>
      </w:r>
      <w:r>
        <w:rPr>
          <w:rFonts w:ascii="Century Gothic" w:hAnsi="Century Gothic" w:cs="Century Gothic" w:eastAsia="Century Gothic"/>
          <w:b w:val="0"/>
          <w:i w:val="0"/>
          <w:sz w:val="20"/>
        </w:rPr>
        <w:t xml:space="preserve"> El nuevo perfil profesional demanda competencias avanzadas en literacidad digital aplicada a la contabilidad y finanzas. Esto exige un programa sistemático de cualificación docente en el uso formativo y participativo de la tecnología (TIC, TAC, TEP), articulado a un soporte técnico institucional permanente que resuelva la vulnerabilidad operativa de la infraestructura digital.</w:t>
      </w:r>
    </w:p>
    <w:p>
      <w:pPr>
        <w:spacing w:before="0" w:after="200" w:line="240" w:lineRule="auto"/>
        <w:jc w:val="both"/>
      </w:pPr>
      <w:r>
        <w:rPr>
          <w:rFonts w:ascii="Century Gothic" w:hAnsi="Century Gothic" w:cs="Century Gothic" w:eastAsia="Century Gothic"/>
          <w:b/>
          <w:i/>
          <w:sz w:val="20"/>
        </w:rPr>
        <w:t>Propuestas de mejora prospectivas</w:t>
      </w:r>
    </w:p>
    <w:p>
      <w:pPr>
        <w:spacing w:before="0" w:after="200" w:line="240" w:lineRule="auto"/>
        <w:jc w:val="both"/>
      </w:pPr>
      <w:r>
        <w:rPr>
          <w:rFonts w:ascii="Century Gothic" w:hAnsi="Century Gothic" w:cs="Century Gothic" w:eastAsia="Century Gothic"/>
          <w:b/>
          <w:i w:val="0"/>
          <w:sz w:val="20"/>
        </w:rPr>
        <w:t>A corto plazo:</w:t>
      </w:r>
    </w:p>
    <w:p>
      <w:pPr>
        <w:numPr>
          <w:ilvl w:val="0"/>
          <w:numId w:val="902"/>
        </w:numPr>
        <w:spacing w:before="0" w:after="160" w:line="240" w:lineRule="auto"/>
        <w:jc w:val="both"/>
      </w:pPr>
      <w:r>
        <w:rPr>
          <w:rFonts w:ascii="Century Gothic" w:hAnsi="Century Gothic" w:cs="Century Gothic" w:eastAsia="Century Gothic"/>
          <w:b/>
          <w:i w:val="0"/>
          <w:sz w:val="20"/>
        </w:rPr>
        <w:t>Desdoblamiento y creación de paralelos en ciclos iniciales:</w:t>
      </w:r>
      <w:r>
        <w:rPr>
          <w:rFonts w:ascii="Century Gothic" w:hAnsi="Century Gothic" w:cs="Century Gothic" w:eastAsia="Century Gothic"/>
          <w:b w:val="0"/>
          <w:i w:val="0"/>
          <w:sz w:val="20"/>
        </w:rPr>
        <w:t xml:space="preserve"> Apertura estratégica de nuevos paralelos y reasignación de carga horaria en las asignaturas de alta concentración de primer y segundo año, orientada a descomprimir la saturación de las aulas y aproximar la ratio estudiante-docente a parámetros pedagógicos viables para el trabajo por competencias.</w:t>
      </w:r>
    </w:p>
    <w:p>
      <w:pPr>
        <w:numPr>
          <w:ilvl w:val="0"/>
          <w:numId w:val="902"/>
        </w:numPr>
        <w:spacing w:before="0" w:after="200" w:line="240" w:lineRule="auto"/>
        <w:jc w:val="both"/>
      </w:pPr>
      <w:r>
        <w:rPr>
          <w:rFonts w:ascii="Century Gothic" w:hAnsi="Century Gothic" w:cs="Century Gothic" w:eastAsia="Century Gothic"/>
          <w:b/>
          <w:i w:val="0"/>
          <w:sz w:val="20"/>
        </w:rPr>
        <w:t>Programa institucional de inducción y alfabetización digital continua:</w:t>
      </w:r>
      <w:r>
        <w:rPr>
          <w:rFonts w:ascii="Century Gothic" w:hAnsi="Century Gothic" w:cs="Century Gothic" w:eastAsia="Century Gothic"/>
          <w:b w:val="0"/>
          <w:i w:val="0"/>
          <w:sz w:val="20"/>
        </w:rPr>
        <w:t xml:space="preserve"> Implementación obligatoria, al inicio de cada gestión académica, de jornadas formativas dirigidas a docentes y estudiantes enfocadas en el dominio avanzado del ecosistema virtual de aprendizaje, entornos tecno-pedagógicos y herramientas de gestión académica institucional.</w:t>
      </w:r>
    </w:p>
    <w:p>
      <w:pPr>
        <w:spacing w:before="0" w:after="200" w:line="240" w:lineRule="auto"/>
        <w:jc w:val="both"/>
      </w:pPr>
      <w:r>
        <w:rPr>
          <w:rFonts w:ascii="Century Gothic" w:hAnsi="Century Gothic" w:cs="Century Gothic" w:eastAsia="Century Gothic"/>
          <w:b/>
          <w:i w:val="0"/>
          <w:sz w:val="20"/>
        </w:rPr>
        <w:t>A mediano plazo:</w:t>
      </w:r>
    </w:p>
    <w:p>
      <w:pPr>
        <w:numPr>
          <w:ilvl w:val="0"/>
          <w:numId w:val="902"/>
        </w:numPr>
        <w:spacing w:before="0" w:after="160" w:line="240" w:lineRule="auto"/>
        <w:jc w:val="both"/>
      </w:pPr>
      <w:r>
        <w:rPr>
          <w:rFonts w:ascii="Century Gothic" w:hAnsi="Century Gothic" w:cs="Century Gothic" w:eastAsia="Century Gothic"/>
          <w:b/>
          <w:i w:val="0"/>
          <w:sz w:val="20"/>
        </w:rPr>
        <w:t>Actualización y pertinencia de los perfiles de selección docente:</w:t>
      </w:r>
      <w:r>
        <w:rPr>
          <w:rFonts w:ascii="Century Gothic" w:hAnsi="Century Gothic" w:cs="Century Gothic" w:eastAsia="Century Gothic"/>
          <w:b w:val="0"/>
          <w:i w:val="0"/>
          <w:sz w:val="20"/>
        </w:rPr>
        <w:t xml:space="preserve"> Adecuación de los términos de referencia y convocatorias docentes a los requerimientos del modelo por competencias, priorizando la producción científica, la suficiencia en mediación tecno-pedagógica y una probada trayectoria profesional que vincule la teoría contable y de auditoría con la práctica laboral contemporánea.</w:t>
      </w:r>
    </w:p>
    <w:p>
      <w:pPr>
        <w:numPr>
          <w:ilvl w:val="0"/>
          <w:numId w:val="902"/>
        </w:numPr>
        <w:spacing w:before="0" w:after="160" w:line="240" w:lineRule="auto"/>
        <w:jc w:val="both"/>
      </w:pPr>
      <w:r>
        <w:rPr>
          <w:rFonts w:ascii="Century Gothic" w:hAnsi="Century Gothic" w:cs="Century Gothic" w:eastAsia="Century Gothic"/>
          <w:b/>
          <w:i w:val="0"/>
          <w:sz w:val="20"/>
        </w:rPr>
        <w:t>Institucionalización de una unidad técnica de soporte informático académico:</w:t>
      </w:r>
      <w:r>
        <w:rPr>
          <w:rFonts w:ascii="Century Gothic" w:hAnsi="Century Gothic" w:cs="Century Gothic" w:eastAsia="Century Gothic"/>
          <w:b w:val="0"/>
          <w:i w:val="0"/>
          <w:sz w:val="20"/>
        </w:rPr>
        <w:t xml:space="preserve"> Creación de un área técnica especializada y con dedicación exclusiva, orientada a la administración integral de la infraestructura de redes, la gobernanza de las plataformas virtuales de aprendizaje (LMS) y el soporte lógico y operativo continuo de los laboratorios de cómputo.</w:t>
      </w:r>
    </w:p>
    <w:p>
      <w:pPr>
        <w:numPr>
          <w:ilvl w:val="0"/>
          <w:numId w:val="902"/>
        </w:numPr>
        <w:spacing w:before="0" w:after="160" w:line="240" w:lineRule="auto"/>
        <w:jc w:val="both"/>
      </w:pPr>
      <w:r>
        <w:rPr>
          <w:rFonts w:ascii="Century Gothic" w:hAnsi="Century Gothic" w:cs="Century Gothic" w:eastAsia="Century Gothic"/>
          <w:b/>
          <w:i w:val="0"/>
          <w:sz w:val="20"/>
        </w:rPr>
        <w:t>Fortalecimiento e institucionalización del estamento de auxiliaturas de docencia e investigación:</w:t>
      </w:r>
      <w:r>
        <w:rPr>
          <w:rFonts w:ascii="Century Gothic" w:hAnsi="Century Gothic" w:cs="Century Gothic" w:eastAsia="Century Gothic"/>
          <w:b w:val="0"/>
          <w:i w:val="0"/>
          <w:sz w:val="20"/>
        </w:rPr>
        <w:t xml:space="preserve"> Reestructuración del sistema de auxiliares de docencia para materias troncales y prácticas de laboratorio, transitando de un rol meramente administrativo a uno de apoyo pedagógico activo y tutoría entre pares, clave para aliviar la carga del docente en grupos numerosos.</w:t>
      </w:r>
    </w:p>
    <w:p>
      <w:pPr>
        <w:numPr>
          <w:ilvl w:val="0"/>
          <w:numId w:val="902"/>
        </w:numPr>
        <w:spacing w:before="0" w:after="160" w:line="240" w:lineRule="auto"/>
        <w:jc w:val="both"/>
      </w:pPr>
      <w:r>
        <w:rPr>
          <w:rFonts w:ascii="Century Gothic" w:hAnsi="Century Gothic" w:cs="Century Gothic" w:eastAsia="Century Gothic"/>
          <w:b/>
          <w:i w:val="0"/>
          <w:sz w:val="20"/>
        </w:rPr>
        <w:t>Evaluación del desempeño docente con enfoque formativo y retroalimentación multidimensional:</w:t>
      </w:r>
      <w:r>
        <w:rPr>
          <w:rFonts w:ascii="Century Gothic" w:hAnsi="Century Gothic" w:cs="Century Gothic" w:eastAsia="Century Gothic"/>
          <w:b w:val="0"/>
          <w:i w:val="0"/>
          <w:sz w:val="20"/>
        </w:rPr>
        <w:t xml:space="preserve"> Implementación de un sistema integral y periódico de evaluación del desempeño que combine la valoración estudiantil, la autoevaluación y la observación de pares, orientado a identificar necesidades reales de actualización disciplinar y pedagógica más que a fines punitivos.</w:t>
      </w:r>
    </w:p>
    <w:p>
      <w:pPr>
        <w:numPr>
          <w:ilvl w:val="0"/>
          <w:numId w:val="902"/>
        </w:numPr>
        <w:spacing w:before="0" w:after="200" w:line="240" w:lineRule="auto"/>
        <w:jc w:val="both"/>
      </w:pPr>
      <w:r>
        <w:rPr>
          <w:rFonts w:ascii="Century Gothic" w:hAnsi="Century Gothic" w:cs="Century Gothic" w:eastAsia="Century Gothic"/>
          <w:b/>
          <w:i w:val="0"/>
          <w:sz w:val="20"/>
        </w:rPr>
        <w:t>Programa de actualización profesional y pasantías docentes en otras Universidades:</w:t>
      </w:r>
      <w:r>
        <w:rPr>
          <w:rFonts w:ascii="Century Gothic" w:hAnsi="Century Gothic" w:cs="Century Gothic" w:eastAsia="Century Gothic"/>
          <w:b w:val="0"/>
          <w:i w:val="0"/>
          <w:sz w:val="20"/>
        </w:rPr>
        <w:t xml:space="preserve"> Creación de mecanismos de vinculación e intercambio profesional que permitan a los docentes participar en estancias cortas, proyectos de consultoría o talleres en Universidades del exterior, asegurando la transferencia directa de cambios normativos y tecnológicos al aula.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11.3</w:t>
        <w:tab/>
      </w:r>
      <w:r>
        <w:rPr>
          <w:rFonts w:ascii="Century Gothic" w:hAnsi="Century Gothic" w:cs="Century Gothic" w:eastAsia="Century Gothic"/>
          <w:b/>
          <w:i w:val="0"/>
          <w:sz w:val="24"/>
        </w:rPr>
        <w:t>Política presupuestaria y financiera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11.3.1</w:t>
        <w:tab/>
      </w:r>
      <w:r>
        <w:rPr>
          <w:rFonts w:ascii="Century Gothic" w:hAnsi="Century Gothic" w:cs="Century Gothic" w:eastAsia="Century Gothic"/>
          <w:b/>
          <w:i w:val="0"/>
          <w:sz w:val="22"/>
        </w:rPr>
        <w:t>Política presupuestaria y financiera</w:t>
      </w:r>
    </w:p>
    <w:p>
      <w:pPr>
        <w:spacing w:before="0" w:after="200" w:line="240" w:lineRule="auto"/>
        <w:jc w:val="both"/>
      </w:pPr>
      <w:r>
        <w:rPr>
          <w:rFonts w:ascii="Century Gothic" w:hAnsi="Century Gothic" w:cs="Century Gothic" w:eastAsia="Century Gothic"/>
          <w:b w:val="0"/>
          <w:i w:val="0"/>
          <w:sz w:val="20"/>
        </w:rPr>
        <w:t>Con el propósito de evaluar la capacidad operativa y académica de la Carrera Contaduría Pública, asociada a su realidad financiera, que respaldará la implementación del nuevo diseño curricular, se procedió al examen del comportamiento presupuestario de la Carrera. A partir de los estados y registros de ejecución oficial correspondientes al periodo 2020 a la fecha, se presenta a continuación la relación cuantitativa entre los techos programados (Presupuesto Inicial y Vigente) y los recursos efectivamente devengados, evidenciando el grado de eficacia y disciplina fiscal en el manejo de las fuentes de financiamiento institucional:</w:t>
      </w:r>
    </w:p>
    <w:p>
      <w:pPr>
        <w:spacing w:before="0" w:after="200" w:line="240" w:lineRule="auto"/>
        <w:jc w:val="both"/>
      </w:pPr>
      <w:r>
        <w:rPr>
          <w:rFonts w:ascii="Century Gothic" w:hAnsi="Century Gothic" w:cs="Century Gothic" w:eastAsia="Century Gothic"/>
          <w:b/>
          <w:i w:val="0"/>
          <w:sz w:val="20"/>
        </w:rPr>
        <w:t>Cuadro No. 7:</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Cuadro de ejecución presupuestaria de gastos: 2020 – 2026</w:t>
      </w:r>
    </w:p>
    <w:p>
      <w:pPr>
        <w:spacing w:before="0" w:after="200" w:line="240" w:lineRule="auto"/>
        <w:jc w:val="both"/>
      </w:pPr>
      <w:r>
        <w:rPr>
          <w:rFonts w:ascii="Century Gothic" w:hAnsi="Century Gothic" w:cs="Century Gothic" w:eastAsia="Century Gothic"/>
          <w:b w:val="0"/>
          <w:i/>
          <w:sz w:val="20"/>
        </w:rPr>
        <w:t>(Expresado en Bolivianos)</w:t>
      </w:r>
    </w:p>
    <w:tbl>
      <w:tblPr>
        <w:tblW w:type="auto" w:w="0"/>
        <w:jc w:val="center"/>
        <w:tblLayout w:type="fixed"/>
        <w:tblLook w:firstColumn="1" w:firstRow="1" w:lastColumn="0" w:lastRow="0" w:noHBand="0" w:noVBand="1" w:val="04A0"/>
      </w:tblPr>
      <w:tblGrid>
        <w:gridCol w:w="1059"/>
        <w:gridCol w:w="1773"/>
        <w:gridCol w:w="1464"/>
        <w:gridCol w:w="1691"/>
        <w:gridCol w:w="1310"/>
        <w:gridCol w:w="1773"/>
      </w:tblGrid>
      <w:tr>
        <w:trPr>
          <w:tblHeader/>
        </w:trPr>
        <w:tc>
          <w:tcPr>
            <w:tcW w:type="dxa" w:w="10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Gestión</w:t>
            </w:r>
          </w:p>
        </w:tc>
        <w:tc>
          <w:tcPr>
            <w:tcW w:type="dxa" w:w="17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Presupuesto Inicial Bs</w:t>
            </w:r>
          </w:p>
        </w:tc>
        <w:tc>
          <w:tcPr>
            <w:tcW w:type="dxa" w:w="14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Modificación Bs</w:t>
            </w:r>
          </w:p>
        </w:tc>
        <w:tc>
          <w:tcPr>
            <w:tcW w:type="dxa" w:w="16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Presupuesto Final Bs</w:t>
            </w:r>
          </w:p>
        </w:tc>
        <w:tc>
          <w:tcPr>
            <w:tcW w:type="dxa" w:w="13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Ejecución Bs</w:t>
            </w:r>
          </w:p>
        </w:tc>
        <w:tc>
          <w:tcPr>
            <w:tcW w:type="dxa" w:w="17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Nivel de Ejecución (%)</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2020</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741,710</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128,458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870,168</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430,809</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50</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2021</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739,714</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-424,582</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315,132</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227,188</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72</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2022</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631,506</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-92,253</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539,253</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340,545</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63</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2023</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485,456</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250,451</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735,907</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425,012</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58</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2024</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381,339</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293,474</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674,813</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515,074</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76</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2025</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1.045.923</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1.644.717</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2.690.640</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1.685.921</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63</w:t>
            </w:r>
          </w:p>
        </w:tc>
      </w:tr>
      <w:tr>
        <w:tc>
          <w:tcPr>
            <w:tcW w:type="dxa" w:w="10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2026</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938.362</w:t>
            </w:r>
          </w:p>
        </w:tc>
        <w:tc>
          <w:tcPr>
            <w:tcW w:type="dxa" w:w="14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1.416.418</w:t>
            </w:r>
          </w:p>
        </w:tc>
        <w:tc>
          <w:tcPr>
            <w:tcW w:type="dxa" w:w="16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2.354.780</w:t>
            </w:r>
          </w:p>
        </w:tc>
        <w:tc>
          <w:tcPr>
            <w:tcW w:type="dxa" w:w="13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1.913.411</w:t>
            </w:r>
          </w:p>
        </w:tc>
        <w:tc>
          <w:tcPr>
            <w:tcW w:type="dxa" w:w="17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81</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Elaboración propia, con base en la información obtenida de la Carrera de Contaduría Pública.</w:t>
      </w:r>
    </w:p>
    <w:p>
      <w:pPr>
        <w:spacing w:before="0" w:after="200" w:line="240" w:lineRule="auto"/>
        <w:jc w:val="both"/>
      </w:pPr>
      <w:r>
        <w:rPr>
          <w:rFonts w:ascii="Century Gothic" w:hAnsi="Century Gothic" w:cs="Century Gothic" w:eastAsia="Century Gothic"/>
          <w:b w:val="0"/>
          <w:i w:val="0"/>
          <w:sz w:val="20"/>
        </w:rPr>
        <w:t>Cabe indicar que a partir de la gestión 2025, se ha fusionado las actividades de los Programas: PETAENG, Curso de Temporada y las actividades de la Dirección de Carrera, por lo cual, los montos de programación y de ejecución se incrementaron.</w:t>
      </w:r>
    </w:p>
    <w:p>
      <w:pPr>
        <w:spacing w:before="0" w:after="200" w:line="240" w:lineRule="auto"/>
        <w:jc w:val="both"/>
      </w:pPr>
      <w:r>
        <w:rPr>
          <w:rFonts w:ascii="Century Gothic" w:hAnsi="Century Gothic" w:cs="Century Gothic" w:eastAsia="Century Gothic"/>
          <w:b/>
          <w:i w:val="0"/>
          <w:sz w:val="20"/>
        </w:rPr>
        <w:t>Análisis de programación y ejecución del presupuesto:</w:t>
      </w:r>
    </w:p>
    <w:p>
      <w:pPr>
        <w:numPr>
          <w:ilvl w:val="0"/>
          <w:numId w:val="902"/>
        </w:numPr>
        <w:spacing w:before="0" w:after="160" w:line="240" w:lineRule="auto"/>
        <w:jc w:val="both"/>
      </w:pPr>
      <w:r>
        <w:rPr>
          <w:rFonts w:ascii="Century Gothic" w:hAnsi="Century Gothic" w:cs="Century Gothic" w:eastAsia="Century Gothic"/>
          <w:b/>
          <w:i w:val="0"/>
          <w:sz w:val="20"/>
        </w:rPr>
        <w:t>Tendencia contractiva y vulnerabilidad operativa:</w:t>
      </w:r>
      <w:r>
        <w:rPr>
          <w:rFonts w:ascii="Century Gothic" w:hAnsi="Century Gothic" w:cs="Century Gothic" w:eastAsia="Century Gothic"/>
          <w:b w:val="0"/>
          <w:i w:val="0"/>
          <w:sz w:val="20"/>
        </w:rPr>
        <w:t xml:space="preserve"> Se evidencia una reducción sostenida en la asignación presupuestaria histórica de la Carrera, lo que restringe el margen de operación financiera, que está asociado y comprometido directamente al cumplimiento de las metas estratégicas y los objetivos operativos del Plan Estratégico Institucional (PEI).</w:t>
      </w:r>
    </w:p>
    <w:p>
      <w:pPr>
        <w:numPr>
          <w:ilvl w:val="0"/>
          <w:numId w:val="902"/>
        </w:numPr>
        <w:spacing w:before="0" w:after="160" w:line="240" w:lineRule="auto"/>
        <w:jc w:val="both"/>
      </w:pPr>
      <w:r>
        <w:rPr>
          <w:rFonts w:ascii="Century Gothic" w:hAnsi="Century Gothic" w:cs="Century Gothic" w:eastAsia="Century Gothic"/>
          <w:b/>
          <w:i w:val="0"/>
          <w:sz w:val="20"/>
        </w:rPr>
        <w:t>Modificaciones presupuestarias a la baja y debilidad en la programación:</w:t>
      </w:r>
      <w:r>
        <w:rPr>
          <w:rFonts w:ascii="Century Gothic" w:hAnsi="Century Gothic" w:cs="Century Gothic" w:eastAsia="Century Gothic"/>
          <w:b w:val="0"/>
          <w:i w:val="0"/>
          <w:sz w:val="20"/>
        </w:rPr>
        <w:t xml:space="preserve"> Durante las gestiones 2021 y 2022, el presupuesto vigente experimentó sucesivas reducciones respecto al presupuesto inicial aprobado, reflejando falencias en la formulación presupuestaria inicial y una escasa capacidad de defensa y consolidación de los techos asignados.</w:t>
      </w:r>
    </w:p>
    <w:p>
      <w:pPr>
        <w:numPr>
          <w:ilvl w:val="0"/>
          <w:numId w:val="902"/>
        </w:numPr>
        <w:spacing w:before="0" w:after="200" w:line="240" w:lineRule="auto"/>
        <w:jc w:val="both"/>
      </w:pPr>
      <w:r>
        <w:rPr>
          <w:rFonts w:ascii="Century Gothic" w:hAnsi="Century Gothic" w:cs="Century Gothic" w:eastAsia="Century Gothic"/>
          <w:b/>
          <w:i w:val="0"/>
          <w:sz w:val="20"/>
        </w:rPr>
        <w:t>Baja capacidad de absorción y ejecución deficitaria:</w:t>
      </w:r>
      <w:r>
        <w:rPr>
          <w:rFonts w:ascii="Century Gothic" w:hAnsi="Century Gothic" w:cs="Century Gothic" w:eastAsia="Century Gothic"/>
          <w:b w:val="0"/>
          <w:i w:val="0"/>
          <w:sz w:val="20"/>
        </w:rPr>
        <w:t xml:space="preserve"> La ejecución presupuestaria de gastos devengados registró niveles críticos de baja ejecución (alcanzando únicamente el 31%, 50% y 54% respecto al presupuesto programado), lo que demuestra rigidez administrativa, demoras en contrataciones y una brecha sustantiva entre la previsión de recursos y su efectiva materialización operativa.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11.3.2</w:t>
        <w:tab/>
      </w:r>
      <w:r>
        <w:rPr>
          <w:rFonts w:ascii="Century Gothic" w:hAnsi="Century Gothic" w:cs="Century Gothic" w:eastAsia="Century Gothic"/>
          <w:b/>
          <w:i w:val="0"/>
          <w:sz w:val="22"/>
        </w:rPr>
        <w:t>COMPONENTE: GESTIÓN PRESUPUESTARIA Y FINANCIAMIENTO</w:t>
      </w:r>
    </w:p>
    <w:p>
      <w:pPr>
        <w:spacing w:before="0" w:after="200" w:line="240" w:lineRule="auto"/>
        <w:jc w:val="both"/>
      </w:pPr>
      <w:r>
        <w:rPr>
          <w:rFonts w:ascii="Century Gothic" w:hAnsi="Century Gothic" w:cs="Century Gothic" w:eastAsia="Century Gothic"/>
          <w:b w:val="0"/>
          <w:i w:val="0"/>
          <w:sz w:val="20"/>
        </w:rPr>
        <w:t>La modernización curricular —que demanda partidas recurrentes para software especializado, actualización de laboratorios y ampliación de carga horaria docente— resulta inviable bajo las actuales condiciones de administración financiera. El diagnóstico histórico no solo revela una reducción sistemática de los techos presupuestarios asignados a la Carrera y ajustes regresivos en las gestiones 2021 y 2022, sino un problema estructural de baja capacidad de absorción (ejecución) del gasto, evidenciado en niveles críticos de ejecución devengada que apenas oscilaron entre el 31% y el 54%. Por tanto, el nuevo diseño curricular no puede sustentarse en prácticas reactivas ni en el gasto inercial; exige transitar hacia una presupuestación plurianual por resultados y una rigurosa eficiencia operativa que garantice que los recursos comprometidos se traduzcan en inversión académica tangible y sostenible.</w:t>
      </w:r>
    </w:p>
    <w:p>
      <w:pPr>
        <w:spacing w:before="0" w:after="200" w:line="240" w:lineRule="auto"/>
        <w:jc w:val="both"/>
      </w:pPr>
      <w:r>
        <w:rPr>
          <w:rFonts w:ascii="Century Gothic" w:hAnsi="Century Gothic" w:cs="Century Gothic" w:eastAsia="Century Gothic"/>
          <w:b/>
          <w:i w:val="0"/>
          <w:sz w:val="20"/>
        </w:rPr>
        <w:t>Propuestas de mejora prospectivas</w:t>
      </w:r>
    </w:p>
    <w:p>
      <w:pPr>
        <w:spacing w:before="0" w:after="200" w:line="240" w:lineRule="auto"/>
        <w:jc w:val="both"/>
      </w:pPr>
      <w:r>
        <w:rPr>
          <w:rFonts w:ascii="Century Gothic" w:hAnsi="Century Gothic" w:cs="Century Gothic" w:eastAsia="Century Gothic"/>
          <w:b/>
          <w:i w:val="0"/>
          <w:sz w:val="20"/>
        </w:rPr>
        <w:t>A corto plazo:</w:t>
      </w:r>
    </w:p>
    <w:p>
      <w:pPr>
        <w:numPr>
          <w:ilvl w:val="0"/>
          <w:numId w:val="902"/>
        </w:numPr>
        <w:spacing w:before="0" w:after="160" w:line="240" w:lineRule="auto"/>
        <w:jc w:val="both"/>
      </w:pPr>
      <w:r>
        <w:rPr>
          <w:rFonts w:ascii="Century Gothic" w:hAnsi="Century Gothic" w:cs="Century Gothic" w:eastAsia="Century Gothic"/>
          <w:b/>
          <w:i w:val="0"/>
          <w:sz w:val="20"/>
        </w:rPr>
        <w:t>Asignación presupuestaria garantizada para sostenibilidad física y tecnológica:</w:t>
      </w:r>
      <w:r>
        <w:rPr>
          <w:rFonts w:ascii="Century Gothic" w:hAnsi="Century Gothic" w:cs="Century Gothic" w:eastAsia="Century Gothic"/>
          <w:b w:val="0"/>
          <w:i w:val="0"/>
          <w:sz w:val="20"/>
        </w:rPr>
        <w:t xml:space="preserve"> Estructuración de asignaciones específicas en el POA para mantenimiento preventivo y correctivo integral (equipos informáticos, conectividad y aulas), dotadas de cronogramas ágiles de adquisición y ejecución para prevenir la degradación de los recursos de enseñanza y evitar la paralización operativa de laboratorios y predios.</w:t>
      </w:r>
    </w:p>
    <w:p>
      <w:pPr>
        <w:numPr>
          <w:ilvl w:val="0"/>
          <w:numId w:val="902"/>
        </w:numPr>
        <w:spacing w:before="0" w:after="160" w:line="240" w:lineRule="auto"/>
        <w:jc w:val="both"/>
      </w:pPr>
      <w:r>
        <w:rPr>
          <w:rFonts w:ascii="Century Gothic" w:hAnsi="Century Gothic" w:cs="Century Gothic" w:eastAsia="Century Gothic"/>
          <w:b/>
          <w:i w:val="0"/>
          <w:sz w:val="20"/>
        </w:rPr>
        <w:t>Implementación de un comité de seguimiento, control y aceleración del gasto devengado:</w:t>
      </w:r>
      <w:r>
        <w:rPr>
          <w:rFonts w:ascii="Century Gothic" w:hAnsi="Century Gothic" w:cs="Century Gothic" w:eastAsia="Century Gothic"/>
          <w:b w:val="0"/>
          <w:i w:val="0"/>
          <w:sz w:val="20"/>
        </w:rPr>
        <w:t xml:space="preserve"> Creación de una instancia técnica operativa al interior de la Carrera para el monitoreo mensual de la ejecución presupuestaria física y financiera, orientada a detectar cuellos de botella en los procesos de compras y contrataciones, mitigar la subejecución histórica y asegurar la absorción oportuna de los techos asignados.</w:t>
      </w:r>
    </w:p>
    <w:p>
      <w:pPr>
        <w:numPr>
          <w:ilvl w:val="0"/>
          <w:numId w:val="902"/>
        </w:numPr>
        <w:spacing w:before="0" w:after="160" w:line="240" w:lineRule="auto"/>
        <w:jc w:val="both"/>
      </w:pPr>
      <w:r>
        <w:rPr>
          <w:rFonts w:ascii="Century Gothic" w:hAnsi="Century Gothic" w:cs="Century Gothic" w:eastAsia="Century Gothic"/>
          <w:b/>
          <w:i w:val="0"/>
          <w:sz w:val="20"/>
        </w:rPr>
        <w:t>Diversificación del financiamiento mediante convenios interinstitucionales y captación de recursos propios:</w:t>
      </w:r>
      <w:r>
        <w:rPr>
          <w:rFonts w:ascii="Century Gothic" w:hAnsi="Century Gothic" w:cs="Century Gothic" w:eastAsia="Century Gothic"/>
          <w:b w:val="0"/>
          <w:i w:val="0"/>
          <w:sz w:val="20"/>
        </w:rPr>
        <w:t xml:space="preserve"> Generación de ingresos complementarios a través de alianzas estratégicas con colegios de profesionales, firmas de auditoría y entidades públicas/privadas, mediante programas de formación continua, consultoría especializada y diplomados, reinvirtiendo dichos fondos directamente en la modernización de infraestructura y laboratorios.</w:t>
      </w:r>
    </w:p>
    <w:p>
      <w:pPr>
        <w:numPr>
          <w:ilvl w:val="0"/>
          <w:numId w:val="902"/>
        </w:numPr>
        <w:spacing w:before="0" w:after="200" w:line="240" w:lineRule="auto"/>
        <w:jc w:val="both"/>
      </w:pPr>
      <w:r>
        <w:rPr>
          <w:rFonts w:ascii="Century Gothic" w:hAnsi="Century Gothic" w:cs="Century Gothic" w:eastAsia="Century Gothic"/>
          <w:b/>
          <w:i w:val="0"/>
          <w:sz w:val="20"/>
        </w:rPr>
        <w:t>Articulación técnica entre el Plan de Estudios y el Presupuesto por Programas (Presupuesto por Resultados):</w:t>
      </w:r>
      <w:r>
        <w:rPr>
          <w:rFonts w:ascii="Century Gothic" w:hAnsi="Century Gothic" w:cs="Century Gothic" w:eastAsia="Century Gothic"/>
          <w:b w:val="0"/>
          <w:i w:val="0"/>
          <w:sz w:val="20"/>
        </w:rPr>
        <w:t xml:space="preserve"> Reestructuración de la metodología de formulación presupuestaria de la Carrera para vincular de forma directa cada requerimiento pedagógico (horas docentes para desdoblamiento de paralelos, prácticas de campo y talleres) con metas e indicadores de desempeño medibles en el POA y PEI, justificando técnicamente la asignación y defensa de los techos presupuestarios ante las instancias universitarias centrales.</w:t>
      </w:r>
    </w:p>
    <w:p>
      <w:pPr>
        <w:spacing w:before="0" w:after="200" w:line="240" w:lineRule="auto"/>
        <w:jc w:val="both"/>
      </w:pPr>
      <w:r>
        <w:rPr>
          <w:rFonts w:ascii="Century Gothic" w:hAnsi="Century Gothic" w:cs="Century Gothic" w:eastAsia="Century Gothic"/>
          <w:b/>
          <w:i w:val="0"/>
          <w:sz w:val="20"/>
        </w:rPr>
        <w:t>A mediano plazo:</w:t>
      </w:r>
    </w:p>
    <w:p>
      <w:pPr>
        <w:numPr>
          <w:ilvl w:val="0"/>
          <w:numId w:val="902"/>
        </w:numPr>
        <w:spacing w:before="0" w:after="160" w:line="240" w:lineRule="auto"/>
        <w:jc w:val="both"/>
      </w:pPr>
      <w:r>
        <w:rPr>
          <w:rFonts w:ascii="Century Gothic" w:hAnsi="Century Gothic" w:cs="Century Gothic" w:eastAsia="Century Gothic"/>
          <w:b/>
          <w:i w:val="0"/>
          <w:sz w:val="20"/>
        </w:rPr>
        <w:t>Alianzas estratégicas para licenciamiento y transferencia tecnológica:</w:t>
      </w:r>
      <w:r>
        <w:rPr>
          <w:rFonts w:ascii="Century Gothic" w:hAnsi="Century Gothic" w:cs="Century Gothic" w:eastAsia="Century Gothic"/>
          <w:b w:val="0"/>
          <w:i w:val="0"/>
          <w:sz w:val="20"/>
        </w:rPr>
        <w:t xml:space="preserve"> Formalización de convenios de cooperación interinstitucional con corporaciones desarrolladoras de software empresarial, colegios profesionales y firmas globales de auditoría (</w:t>
      </w:r>
      <w:r>
        <w:rPr>
          <w:rFonts w:ascii="Century Gothic" w:hAnsi="Century Gothic" w:cs="Century Gothic" w:eastAsia="Century Gothic"/>
          <w:b w:val="0"/>
          <w:i/>
          <w:sz w:val="20"/>
        </w:rPr>
        <w:t>Big Four</w:t>
      </w:r>
      <w:r>
        <w:rPr>
          <w:rFonts w:ascii="Century Gothic" w:hAnsi="Century Gothic" w:cs="Century Gothic" w:eastAsia="Century Gothic"/>
          <w:b w:val="0"/>
          <w:i w:val="0"/>
          <w:sz w:val="20"/>
        </w:rPr>
        <w:t xml:space="preserve"> y pares locales), orientados a la incorporación de la Carrera en programas de membresía académica (</w:t>
      </w:r>
      <w:r>
        <w:rPr>
          <w:rFonts w:ascii="Century Gothic" w:hAnsi="Century Gothic" w:cs="Century Gothic" w:eastAsia="Century Gothic"/>
          <w:b w:val="0"/>
          <w:i/>
          <w:sz w:val="20"/>
        </w:rPr>
        <w:t>University Alliances</w:t>
      </w:r>
      <w:r>
        <w:rPr>
          <w:rFonts w:ascii="Century Gothic" w:hAnsi="Century Gothic" w:cs="Century Gothic" w:eastAsia="Century Gothic"/>
          <w:b w:val="0"/>
          <w:i w:val="0"/>
          <w:sz w:val="20"/>
        </w:rPr>
        <w:t xml:space="preserve">) que viabilicen el acceso preferencial, subsidiado o en modalidad educativa a sistemas ERP, herramientas de </w:t>
      </w:r>
      <w:r>
        <w:rPr>
          <w:rFonts w:ascii="Century Gothic" w:hAnsi="Century Gothic" w:cs="Century Gothic" w:eastAsia="Century Gothic"/>
          <w:b w:val="0"/>
          <w:i/>
          <w:sz w:val="20"/>
        </w:rPr>
        <w:t>Business Intelligence</w:t>
      </w:r>
      <w:r>
        <w:rPr>
          <w:rFonts w:ascii="Century Gothic" w:hAnsi="Century Gothic" w:cs="Century Gothic" w:eastAsia="Century Gothic"/>
          <w:b w:val="0"/>
          <w:i w:val="0"/>
          <w:sz w:val="20"/>
        </w:rPr>
        <w:t xml:space="preserve"> (BI) y analítica de datos contables.</w:t>
      </w:r>
    </w:p>
    <w:p>
      <w:pPr>
        <w:numPr>
          <w:ilvl w:val="0"/>
          <w:numId w:val="902"/>
        </w:numPr>
        <w:spacing w:before="0" w:after="160" w:line="240" w:lineRule="auto"/>
        <w:jc w:val="both"/>
      </w:pPr>
      <w:r>
        <w:rPr>
          <w:rFonts w:ascii="Century Gothic" w:hAnsi="Century Gothic" w:cs="Century Gothic" w:eastAsia="Century Gothic"/>
          <w:b/>
          <w:i w:val="0"/>
          <w:sz w:val="20"/>
        </w:rPr>
        <w:t>Captación y apalancamiento de fondos concursables y recursos extraordinarios:</w:t>
      </w:r>
      <w:r>
        <w:rPr>
          <w:rFonts w:ascii="Century Gothic" w:hAnsi="Century Gothic" w:cs="Century Gothic" w:eastAsia="Century Gothic"/>
          <w:b w:val="0"/>
          <w:i w:val="0"/>
          <w:sz w:val="20"/>
        </w:rPr>
        <w:t xml:space="preserve"> Postulación sistemática a convocatorias competitivas de financiamiento, recursos departamentales o fondos específicos de inversión universitaria (como partidas IDH orientadas a modernización académica e investigación), canalizándolos prioritariamente al reequipamiento tecnológico integral y a la infraestructura digital del área económico-financiera.</w:t>
      </w:r>
    </w:p>
    <w:p>
      <w:pPr>
        <w:numPr>
          <w:ilvl w:val="0"/>
          <w:numId w:val="902"/>
        </w:numPr>
        <w:spacing w:before="0" w:after="160" w:line="240" w:lineRule="auto"/>
        <w:jc w:val="both"/>
      </w:pPr>
      <w:r>
        <w:rPr>
          <w:rFonts w:ascii="Century Gothic" w:hAnsi="Century Gothic" w:cs="Century Gothic" w:eastAsia="Century Gothic"/>
          <w:b/>
          <w:i w:val="0"/>
          <w:sz w:val="20"/>
        </w:rPr>
        <w:t>Estructuración de una cartera de servicios de consultoría y peritaje contable-tributario:</w:t>
      </w:r>
      <w:r>
        <w:rPr>
          <w:rFonts w:ascii="Century Gothic" w:hAnsi="Century Gothic" w:cs="Century Gothic" w:eastAsia="Century Gothic"/>
          <w:b w:val="0"/>
          <w:i w:val="0"/>
          <w:sz w:val="20"/>
        </w:rPr>
        <w:t xml:space="preserve"> Constitución formal de un gabinete o centro de servicios especializados de la Carrera para brindar asesoramiento contable, fiscal y de auditoría a pequeñas y medianas empresas (PyMEs), generando recursos propios (recursos específicos) destinados exclusivamente a una cuenta rotatoria para el mantenimiento y actualización de laboratorios informáticos.</w:t>
      </w:r>
    </w:p>
    <w:p>
      <w:pPr>
        <w:numPr>
          <w:ilvl w:val="0"/>
          <w:numId w:val="902"/>
        </w:numPr>
        <w:spacing w:before="0" w:after="160" w:line="240" w:lineRule="auto"/>
        <w:jc w:val="both"/>
      </w:pPr>
      <w:r>
        <w:rPr>
          <w:rFonts w:ascii="Century Gothic" w:hAnsi="Century Gothic" w:cs="Century Gothic" w:eastAsia="Century Gothic"/>
          <w:b/>
          <w:i w:val="0"/>
          <w:sz w:val="20"/>
        </w:rPr>
        <w:t>Concurrencia a fondos de cooperación internacional para educación superior e innovación:</w:t>
      </w:r>
      <w:r>
        <w:rPr>
          <w:rFonts w:ascii="Century Gothic" w:hAnsi="Century Gothic" w:cs="Century Gothic" w:eastAsia="Century Gothic"/>
          <w:b w:val="0"/>
          <w:i w:val="0"/>
          <w:sz w:val="20"/>
        </w:rPr>
        <w:t xml:space="preserve"> Formulación y postulación de proyectos en convocatorias de agencias de cooperación multilateral y bilateral orientadas al fortalecimiento de capacidades técnicas, la transformación digital de la enseñanza y la estandarización formativa bajo normas internacionales (IFRS/NIIF y NIA), atrayendo financiamiento no reembolsable para equipamiento de vanguardia.</w:t>
      </w:r>
    </w:p>
    <w:p>
      <w:pPr>
        <w:numPr>
          <w:ilvl w:val="0"/>
          <w:numId w:val="902"/>
        </w:numPr>
        <w:spacing w:before="0" w:after="160" w:line="240" w:lineRule="auto"/>
        <w:jc w:val="both"/>
      </w:pPr>
      <w:r>
        <w:rPr>
          <w:rFonts w:ascii="Century Gothic" w:hAnsi="Century Gothic" w:cs="Century Gothic" w:eastAsia="Century Gothic"/>
          <w:b/>
          <w:i w:val="0"/>
          <w:sz w:val="20"/>
        </w:rPr>
        <w:t>Programa de vinculación con la comunidad de egresados y colegios profesionales:</w:t>
      </w:r>
      <w:r>
        <w:rPr>
          <w:rFonts w:ascii="Century Gothic" w:hAnsi="Century Gothic" w:cs="Century Gothic" w:eastAsia="Century Gothic"/>
          <w:b w:val="0"/>
          <w:i w:val="0"/>
          <w:sz w:val="20"/>
        </w:rPr>
        <w:t xml:space="preserve"> Creación de una red de graduados y patronazgo profesional que articule fondos semilla, auspicios o dotación directa de infraestructura tecnológica para aulas temáticas y salas de simulación, bajo esquemas de reconocimiento institucional y responsabilidad social profesional.</w:t>
      </w:r>
    </w:p>
    <w:p>
      <w:pPr>
        <w:numPr>
          <w:ilvl w:val="0"/>
          <w:numId w:val="902"/>
        </w:numPr>
        <w:spacing w:before="0" w:after="200" w:line="240" w:lineRule="auto"/>
        <w:jc w:val="both"/>
      </w:pPr>
      <w:r>
        <w:rPr>
          <w:rFonts w:ascii="Century Gothic" w:hAnsi="Century Gothic" w:cs="Century Gothic" w:eastAsia="Century Gothic"/>
          <w:b/>
          <w:i w:val="0"/>
          <w:sz w:val="20"/>
        </w:rPr>
        <w:t>Convenios de doble beneficio mediante bolsas de trabajo y prácticas pre-profesionales con el sector financiero:</w:t>
      </w:r>
      <w:r>
        <w:rPr>
          <w:rFonts w:ascii="Century Gothic" w:hAnsi="Century Gothic" w:cs="Century Gothic" w:eastAsia="Century Gothic"/>
          <w:b w:val="0"/>
          <w:i w:val="0"/>
          <w:sz w:val="20"/>
        </w:rPr>
        <w:t xml:space="preserve"> Negociación de acuerdos marco con la banca comercial, entidades reguladoras y cámaras empresariales, en los cuales la provisión de talento humano calificado en pasantías se retribuya mediante el financiamiento de programas de certificación digital, seminarios de alta especialización o soporte a plataformas tecnológicas de la Carrera.</w:t>
      </w:r>
    </w:p>
    <w:p>
      <w:pPr>
        <w:spacing w:before="0" w:after="200" w:line="240" w:lineRule="auto"/>
        <w:jc w:val="both"/>
      </w:pPr>
      <w:r>
        <w:rPr>
          <w:rFonts w:ascii="Century Gothic" w:hAnsi="Century Gothic" w:cs="Century Gothic" w:eastAsia="Century Gothic"/>
          <w:b/>
          <w:i w:val="0"/>
          <w:sz w:val="20"/>
        </w:rPr>
        <w:t>A largo plazo:</w:t>
      </w:r>
    </w:p>
    <w:p>
      <w:pPr>
        <w:numPr>
          <w:ilvl w:val="0"/>
          <w:numId w:val="902"/>
        </w:numPr>
        <w:spacing w:before="0" w:after="160" w:line="240" w:lineRule="auto"/>
        <w:jc w:val="both"/>
      </w:pPr>
      <w:r>
        <w:rPr>
          <w:rFonts w:ascii="Century Gothic" w:hAnsi="Century Gothic" w:cs="Century Gothic" w:eastAsia="Century Gothic"/>
          <w:b/>
          <w:i w:val="0"/>
          <w:sz w:val="20"/>
        </w:rPr>
        <w:t>Institucionalización de un comité paritario de seguimiento presupuestaria:</w:t>
      </w:r>
      <w:r>
        <w:rPr>
          <w:rFonts w:ascii="Century Gothic" w:hAnsi="Century Gothic" w:cs="Century Gothic" w:eastAsia="Century Gothic"/>
          <w:b w:val="0"/>
          <w:i w:val="0"/>
          <w:sz w:val="20"/>
        </w:rPr>
        <w:t xml:space="preserve"> Conformación de una instancia de seguimiento financiero de base paritaria (representación docente y delegados estudiantiles), encargada de fiscalizar el devengamiento oportuno de los recursos, verificar el cumplimiento de los hitos de inversión por fases y garantizar la rendición periódica y transparente de cuentas en la implementación del nuevo diseño curricular.</w:t>
      </w:r>
    </w:p>
    <w:p>
      <w:pPr>
        <w:numPr>
          <w:ilvl w:val="0"/>
          <w:numId w:val="902"/>
        </w:numPr>
        <w:spacing w:before="0" w:after="160" w:line="240" w:lineRule="auto"/>
        <w:jc w:val="both"/>
      </w:pPr>
      <w:r>
        <w:rPr>
          <w:rFonts w:ascii="Century Gothic" w:hAnsi="Century Gothic" w:cs="Century Gothic" w:eastAsia="Century Gothic"/>
          <w:b/>
          <w:i w:val="0"/>
          <w:sz w:val="20"/>
        </w:rPr>
        <w:t>Implementación de un portal digital de acceso abierto para la trazabilidad y ejecución del gasto curricular:</w:t>
      </w:r>
      <w:r>
        <w:rPr>
          <w:rFonts w:ascii="Century Gothic" w:hAnsi="Century Gothic" w:cs="Century Gothic" w:eastAsia="Century Gothic"/>
          <w:b w:val="0"/>
          <w:i w:val="0"/>
          <w:sz w:val="20"/>
        </w:rPr>
        <w:t xml:space="preserve"> Desarrollo de un tablero de control (</w:t>
      </w:r>
      <w:r>
        <w:rPr>
          <w:rFonts w:ascii="Century Gothic" w:hAnsi="Century Gothic" w:cs="Century Gothic" w:eastAsia="Century Gothic"/>
          <w:b w:val="0"/>
          <w:i/>
          <w:sz w:val="20"/>
        </w:rPr>
        <w:t>dashboard</w:t>
      </w:r>
      <w:r>
        <w:rPr>
          <w:rFonts w:ascii="Century Gothic" w:hAnsi="Century Gothic" w:cs="Century Gothic" w:eastAsia="Century Gothic"/>
          <w:b w:val="0"/>
          <w:i w:val="0"/>
          <w:sz w:val="20"/>
        </w:rPr>
        <w:t>) o repositorio web de consulta pública donde se publiquen periódicamente los avances físicos y financieros, las adquisiciones de licencias y el estado de los procesos de contratación vinculados a la reforma formativa, facilitando la auditoría social de la comunidad facultativa.</w:t>
      </w:r>
    </w:p>
    <w:p>
      <w:pPr>
        <w:numPr>
          <w:ilvl w:val="0"/>
          <w:numId w:val="902"/>
        </w:numPr>
        <w:spacing w:before="0" w:after="160" w:line="240" w:lineRule="auto"/>
        <w:jc w:val="both"/>
      </w:pPr>
      <w:r>
        <w:rPr>
          <w:rFonts w:ascii="Century Gothic" w:hAnsi="Century Gothic" w:cs="Century Gothic" w:eastAsia="Century Gothic"/>
          <w:b/>
          <w:i w:val="0"/>
          <w:sz w:val="20"/>
        </w:rPr>
        <w:t>Institucionalización de audiencias públicas semestrales de rendición de cuentas pedagógico-financiera:</w:t>
      </w:r>
      <w:r>
        <w:rPr>
          <w:rFonts w:ascii="Century Gothic" w:hAnsi="Century Gothic" w:cs="Century Gothic" w:eastAsia="Century Gothic"/>
          <w:b w:val="0"/>
          <w:i w:val="0"/>
          <w:sz w:val="20"/>
        </w:rPr>
        <w:t xml:space="preserve"> Establecimiento de jornadas institucionales obligatorias al cierre de cada semestre donde las autoridades de la Carrera y los responsables de comisiones presenten ante asambleas docentes y estudiantiles los resultados de ejecución presupuestaria, contrastando el gasto devengado frente a los hitos académicos alcanzados.</w:t>
      </w:r>
    </w:p>
    <w:p>
      <w:pPr>
        <w:numPr>
          <w:ilvl w:val="0"/>
          <w:numId w:val="902"/>
        </w:numPr>
        <w:spacing w:before="0" w:after="200" w:line="240" w:lineRule="auto"/>
        <w:jc w:val="both"/>
      </w:pPr>
      <w:r>
        <w:rPr>
          <w:rFonts w:ascii="Century Gothic" w:hAnsi="Century Gothic" w:cs="Century Gothic" w:eastAsia="Century Gothic"/>
          <w:b/>
          <w:i w:val="0"/>
          <w:sz w:val="20"/>
        </w:rPr>
        <w:t>Mecanismo de alertas tempranas y buzón de veeduría ante cuellos de botella en adquisiciones:</w:t>
      </w:r>
      <w:r>
        <w:rPr>
          <w:rFonts w:ascii="Century Gothic" w:hAnsi="Century Gothic" w:cs="Century Gothic" w:eastAsia="Century Gothic"/>
          <w:b w:val="0"/>
          <w:i w:val="0"/>
          <w:sz w:val="20"/>
        </w:rPr>
        <w:t xml:space="preserve"> Habilitación de un protocolo ágil de fiscalización que permita al comité paritario emitir advertencias formales ante retrasos administrativos, licitaciones desiertas o riesgos de subejecución presupuestaria, acelerando la toma de decisiones correctivas antes del cierre de cada gestión fiscal.</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