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Evaluación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12.</w:t>
        <w:tab/>
      </w:r>
      <w:r>
        <w:rPr>
          <w:rFonts w:ascii="Century Gothic" w:hAnsi="Century Gothic" w:cs="Century Gothic" w:eastAsia="Century Gothic"/>
          <w:b/>
          <w:i w:val="0"/>
          <w:sz w:val="24"/>
        </w:rPr>
        <w:t>Evaluación curricular</w:t>
      </w:r>
    </w:p>
    <w:p>
      <w:pPr>
        <w:spacing w:before="0" w:after="200" w:line="240" w:lineRule="auto"/>
        <w:jc w:val="both"/>
      </w:pPr>
      <w:r>
        <w:rPr>
          <w:rFonts w:ascii="Century Gothic" w:hAnsi="Century Gothic" w:cs="Century Gothic" w:eastAsia="Century Gothic"/>
          <w:b w:val="0"/>
          <w:i w:val="0"/>
          <w:sz w:val="20"/>
        </w:rPr>
        <w:t>Un plan de estudios se evalúa desde dos lugares. Desde dentro, mirando si el plan funciona como se diseñó: coherencia, contenidos, carga, docentes, resultados de aprendizaje. Y desde fuera, mirando qué pasa con quienes ya se titularon: si trabajan, en qué, cuánto ganan y qué le reprochan o le agradecen a su formación. Este apartado desarrolla ambas perspectivas: los lineamientos para la evaluación curricular (12.1) y las estrategias de seguimiento a titulados (12.2). Cierra con recomendaciones (12.3), entre ellas la de que la Carrera conserve la metodología del estudio de seguimiento ya realizado para los trabajos futuros.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12.1</w:t>
        <w:tab/>
      </w:r>
      <w:r>
        <w:rPr>
          <w:rFonts w:ascii="Century Gothic" w:hAnsi="Century Gothic" w:cs="Century Gothic" w:eastAsia="Century Gothic"/>
          <w:b/>
          <w:i w:val="0"/>
          <w:sz w:val="24"/>
        </w:rPr>
        <w:t>Lineamientos para la evaluación curricular</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12.1.1</w:t>
        <w:tab/>
      </w:r>
      <w:r>
        <w:rPr>
          <w:rFonts w:ascii="Century Gothic" w:hAnsi="Century Gothic" w:cs="Century Gothic" w:eastAsia="Century Gothic"/>
          <w:b/>
          <w:i w:val="0"/>
          <w:sz w:val="22"/>
        </w:rPr>
        <w:t>Marco normativo y de referencia</w:t>
      </w:r>
    </w:p>
    <w:p>
      <w:pPr>
        <w:numPr>
          <w:ilvl w:val="0"/>
          <w:numId w:val="901"/>
        </w:numPr>
        <w:spacing w:before="0" w:after="160" w:line="240" w:lineRule="auto"/>
        <w:jc w:val="both"/>
      </w:pPr>
      <w:r>
        <w:rPr>
          <w:rFonts w:ascii="Century Gothic" w:hAnsi="Century Gothic" w:cs="Century Gothic" w:eastAsia="Century Gothic"/>
          <w:b/>
          <w:i w:val="0"/>
          <w:sz w:val="20"/>
        </w:rPr>
        <w:t>Reglamento de Innovación Curricular de la UMSA (Resolución HCU 032/2025).</w:t>
      </w:r>
      <w:r>
        <w:rPr>
          <w:rFonts w:ascii="Century Gothic" w:hAnsi="Century Gothic" w:cs="Century Gothic" w:eastAsia="Century Gothic"/>
          <w:b w:val="0"/>
          <w:i w:val="0"/>
          <w:sz w:val="20"/>
        </w:rPr>
        <w:t xml:space="preserve"> Según el Diagnóstico de la Carrera (2026), su Artículo 5 exige declarar la necesidad de rediseño con periodicidad de siete años, el Artículo 11 fija los criterios de calidad del plan de estudios (coherencia, pertinencia, contexto sociocultural, alcance económico, relación con el mundo laboral, integralidad, transferibilidad y articulación) y el Artículo 12 los de los contenidos.</w:t>
      </w:r>
    </w:p>
    <w:p>
      <w:pPr>
        <w:numPr>
          <w:ilvl w:val="0"/>
          <w:numId w:val="901"/>
        </w:numPr>
        <w:spacing w:before="0" w:after="160" w:line="240" w:lineRule="auto"/>
        <w:jc w:val="both"/>
      </w:pPr>
      <w:r>
        <w:rPr>
          <w:rFonts w:ascii="Century Gothic" w:hAnsi="Century Gothic" w:cs="Century Gothic" w:eastAsia="Century Gothic"/>
          <w:b/>
          <w:i w:val="0"/>
          <w:sz w:val="20"/>
        </w:rPr>
        <w:t>Reglamento de Evaluación y Acreditación Institucional y de Carreras y Programas de la UMSA (2025).</w:t>
      </w:r>
      <w:r>
        <w:rPr>
          <w:rFonts w:ascii="Century Gothic" w:hAnsi="Century Gothic" w:cs="Century Gothic" w:eastAsia="Century Gothic"/>
          <w:b w:val="0"/>
          <w:i w:val="0"/>
          <w:sz w:val="20"/>
        </w:rPr>
        <w:t xml:space="preserve"> Hace obligatoria la autoevaluación cada cuatro años (Art. 15), con informe y Plan de Mejora de la Calidad (Arts. 17 y 18); prevé evaluación externa voluntaria por pares (Arts. 25 a 28), acreditación por seis años y seguimiento anual (Art. 41). Incluye entre sus propósitos la empleabilidad de los graduados (Art. 3 b) y a los titulados en el comité de autoevaluación (Art. 20). No contiene un artículo propio sobre evaluación curricular ni sobre seguimiento a titulados, vacío que este apartado propone cubrir.</w:t>
      </w:r>
    </w:p>
    <w:p>
      <w:pPr>
        <w:numPr>
          <w:ilvl w:val="0"/>
          <w:numId w:val="901"/>
        </w:numPr>
        <w:spacing w:before="0" w:after="160" w:line="240" w:lineRule="auto"/>
        <w:jc w:val="both"/>
      </w:pPr>
      <w:r>
        <w:rPr>
          <w:rFonts w:ascii="Century Gothic" w:hAnsi="Century Gothic" w:cs="Century Gothic" w:eastAsia="Century Gothic"/>
          <w:b/>
          <w:i w:val="0"/>
          <w:sz w:val="20"/>
        </w:rPr>
        <w:t>Sistema ARCU-SUR.</w:t>
      </w:r>
      <w:r>
        <w:rPr>
          <w:rFonts w:ascii="Century Gothic" w:hAnsi="Century Gothic" w:cs="Century Gothic" w:eastAsia="Century Gothic"/>
          <w:b w:val="0"/>
          <w:i w:val="0"/>
          <w:sz w:val="20"/>
        </w:rPr>
        <w:t xml:space="preserve"> El Acuerdo del MERCOSUR de 2008, ratificado por Bolivia mediante la Ley 842 (2016), acredita carreras de grado por seis años mediante autoevaluación, evaluación externa de pares y resolución de la agencia nacional, y mira los procesos y resultados de la carrera.</w:t>
      </w:r>
    </w:p>
    <w:p>
      <w:pPr>
        <w:numPr>
          <w:ilvl w:val="0"/>
          <w:numId w:val="901"/>
        </w:numPr>
        <w:spacing w:before="0" w:after="160" w:line="240" w:lineRule="auto"/>
        <w:jc w:val="both"/>
      </w:pPr>
      <w:r>
        <w:rPr>
          <w:rFonts w:ascii="Century Gothic" w:hAnsi="Century Gothic" w:cs="Century Gothic" w:eastAsia="Century Gothic"/>
          <w:b/>
          <w:i w:val="0"/>
          <w:sz w:val="20"/>
        </w:rPr>
        <w:t>Normas Internacionales de Educación Contable (IFAC, IES).</w:t>
      </w:r>
      <w:r>
        <w:rPr>
          <w:rFonts w:ascii="Century Gothic" w:hAnsi="Century Gothic" w:cs="Century Gothic" w:eastAsia="Century Gothic"/>
          <w:b w:val="0"/>
          <w:i w:val="0"/>
          <w:sz w:val="20"/>
        </w:rPr>
        <w:t xml:space="preserve"> Piden revisar y actualizar periódicamente los programas de formación profesional inicial y evaluar la competencia técnica, además de reconocer la experiencia práctica como parte de la formación (IES 5).</w:t>
      </w:r>
    </w:p>
    <w:p>
      <w:pPr>
        <w:numPr>
          <w:ilvl w:val="0"/>
          <w:numId w:val="901"/>
        </w:numPr>
        <w:spacing w:before="0" w:after="200" w:line="240" w:lineRule="auto"/>
        <w:jc w:val="both"/>
      </w:pPr>
      <w:r>
        <w:rPr>
          <w:rFonts w:ascii="Century Gothic" w:hAnsi="Century Gothic" w:cs="Century Gothic" w:eastAsia="Century Gothic"/>
          <w:b/>
          <w:i w:val="0"/>
          <w:sz w:val="20"/>
        </w:rPr>
        <w:t>Modelo CIPP</w:t>
      </w:r>
      <w:r>
        <w:rPr>
          <w:rFonts w:ascii="Century Gothic" w:hAnsi="Century Gothic" w:cs="Century Gothic" w:eastAsia="Century Gothic"/>
          <w:b w:val="0"/>
          <w:i w:val="0"/>
          <w:sz w:val="20"/>
        </w:rPr>
        <w:t xml:space="preserve"> (Stufflebeam y Zhang, 2017). Organiza la evaluación en Contexto, Insumos, Proceso y Producto, con retroalimentación durante todo el desarrollo del programa, orientada a la mejora y a la rendición de cuentas. Es el esquema que se utilizo para ordenar las preguntas evaluativas.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12.1.2</w:t>
        <w:tab/>
      </w:r>
      <w:r>
        <w:rPr>
          <w:rFonts w:ascii="Century Gothic" w:hAnsi="Century Gothic" w:cs="Century Gothic" w:eastAsia="Century Gothic"/>
          <w:b/>
          <w:i w:val="0"/>
          <w:sz w:val="22"/>
        </w:rPr>
        <w:t>Principios</w:t>
      </w:r>
    </w:p>
    <w:p>
      <w:pPr>
        <w:numPr>
          <w:ilvl w:val="0"/>
          <w:numId w:val="901"/>
        </w:numPr>
        <w:spacing w:before="0" w:after="160" w:line="240" w:lineRule="auto"/>
        <w:jc w:val="both"/>
      </w:pPr>
      <w:r>
        <w:rPr>
          <w:rFonts w:ascii="Century Gothic" w:hAnsi="Century Gothic" w:cs="Century Gothic" w:eastAsia="Century Gothic"/>
          <w:b/>
          <w:i w:val="0"/>
          <w:sz w:val="20"/>
        </w:rPr>
        <w:t>Continua y formativa.</w:t>
      </w:r>
      <w:r>
        <w:rPr>
          <w:rFonts w:ascii="Century Gothic" w:hAnsi="Century Gothic" w:cs="Century Gothic" w:eastAsia="Century Gothic"/>
          <w:b w:val="0"/>
          <w:i w:val="0"/>
          <w:sz w:val="20"/>
        </w:rPr>
        <w:t xml:space="preserve"> Se evalúa durante la aplicación del plan, no solo al final, para corregir a tiempo.</w:t>
      </w:r>
    </w:p>
    <w:p>
      <w:pPr>
        <w:numPr>
          <w:ilvl w:val="0"/>
          <w:numId w:val="901"/>
        </w:numPr>
        <w:spacing w:before="0" w:after="160" w:line="240" w:lineRule="auto"/>
        <w:jc w:val="both"/>
      </w:pPr>
      <w:r>
        <w:rPr>
          <w:rFonts w:ascii="Century Gothic" w:hAnsi="Century Gothic" w:cs="Century Gothic" w:eastAsia="Century Gothic"/>
          <w:b/>
          <w:i w:val="0"/>
          <w:sz w:val="20"/>
        </w:rPr>
        <w:t>Basada en evidencia.</w:t>
      </w:r>
      <w:r>
        <w:rPr>
          <w:rFonts w:ascii="Century Gothic" w:hAnsi="Century Gothic" w:cs="Century Gothic" w:eastAsia="Century Gothic"/>
          <w:b w:val="0"/>
          <w:i w:val="0"/>
          <w:sz w:val="20"/>
        </w:rPr>
        <w:t xml:space="preserve"> Cada juicio se apoya en indicadores y fuentes identificadas (registros de la DSIE, encuestas, estudios de mercado), no en impresiones.</w:t>
      </w:r>
    </w:p>
    <w:p>
      <w:pPr>
        <w:numPr>
          <w:ilvl w:val="0"/>
          <w:numId w:val="901"/>
        </w:numPr>
        <w:spacing w:before="0" w:after="160" w:line="240" w:lineRule="auto"/>
        <w:jc w:val="both"/>
      </w:pPr>
      <w:r>
        <w:rPr>
          <w:rFonts w:ascii="Century Gothic" w:hAnsi="Century Gothic" w:cs="Century Gothic" w:eastAsia="Century Gothic"/>
          <w:b/>
          <w:i w:val="0"/>
          <w:sz w:val="20"/>
        </w:rPr>
        <w:t>Participativa.</w:t>
      </w:r>
      <w:r>
        <w:rPr>
          <w:rFonts w:ascii="Century Gothic" w:hAnsi="Century Gothic" w:cs="Century Gothic" w:eastAsia="Century Gothic"/>
          <w:b w:val="0"/>
          <w:i w:val="0"/>
          <w:sz w:val="20"/>
        </w:rPr>
        <w:t xml:space="preserve"> Intervienen docentes, estudiantes, titulados y empleadores. El FODA 2025 mostró que docentes y estudiantes coinciden en la brecha tecnológica; el estudio de egresados mostró que los titulados ven otras cosas; los empleadores aún no han sido consultados de forma sistemática.</w:t>
      </w:r>
    </w:p>
    <w:p>
      <w:pPr>
        <w:numPr>
          <w:ilvl w:val="0"/>
          <w:numId w:val="901"/>
        </w:numPr>
        <w:spacing w:before="0" w:after="160" w:line="240" w:lineRule="auto"/>
        <w:jc w:val="both"/>
      </w:pPr>
      <w:r>
        <w:rPr>
          <w:rFonts w:ascii="Century Gothic" w:hAnsi="Century Gothic" w:cs="Century Gothic" w:eastAsia="Century Gothic"/>
          <w:b/>
          <w:i w:val="0"/>
          <w:sz w:val="20"/>
        </w:rPr>
        <w:t>Contextualizada.</w:t>
      </w:r>
      <w:r>
        <w:rPr>
          <w:rFonts w:ascii="Century Gothic" w:hAnsi="Century Gothic" w:cs="Century Gothic" w:eastAsia="Century Gothic"/>
          <w:b w:val="0"/>
          <w:i w:val="0"/>
          <w:sz w:val="20"/>
        </w:rPr>
        <w:t xml:space="preserve"> Tiene en cuenta que casi la mitad de los estudiantes trabaja (48,9 %, DSIE 2025) y que el contexto económico cambia las exigencias del ejercicio profesional.</w:t>
      </w:r>
    </w:p>
    <w:p>
      <w:pPr>
        <w:numPr>
          <w:ilvl w:val="0"/>
          <w:numId w:val="901"/>
        </w:numPr>
        <w:spacing w:before="0" w:after="200" w:line="240" w:lineRule="auto"/>
        <w:jc w:val="both"/>
      </w:pPr>
      <w:r>
        <w:rPr>
          <w:rFonts w:ascii="Century Gothic" w:hAnsi="Century Gothic" w:cs="Century Gothic" w:eastAsia="Century Gothic"/>
          <w:b/>
          <w:i w:val="0"/>
          <w:sz w:val="20"/>
        </w:rPr>
        <w:t>Orientada a decisiones.</w:t>
      </w:r>
      <w:r>
        <w:rPr>
          <w:rFonts w:ascii="Century Gothic" w:hAnsi="Century Gothic" w:cs="Century Gothic" w:eastAsia="Century Gothic"/>
          <w:b w:val="0"/>
          <w:i w:val="0"/>
          <w:sz w:val="20"/>
        </w:rPr>
        <w:t xml:space="preserve"> Cada informe termina en un plan de mejora con responsables y plazos, como exige el Reglamento de Evaluación y Acreditación (Art. 18).</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12.1.3</w:t>
        <w:tab/>
      </w:r>
      <w:r>
        <w:rPr>
          <w:rFonts w:ascii="Century Gothic" w:hAnsi="Century Gothic" w:cs="Century Gothic" w:eastAsia="Century Gothic"/>
          <w:b/>
          <w:i w:val="0"/>
          <w:sz w:val="22"/>
        </w:rPr>
        <w:t>Preguntas evaluativas según el modelo CIPP</w:t>
      </w:r>
    </w:p>
    <w:p>
      <w:pPr>
        <w:spacing w:before="0" w:after="200" w:line="240" w:lineRule="auto"/>
        <w:jc w:val="both"/>
      </w:pPr>
      <w:r>
        <w:rPr>
          <w:rFonts w:ascii="Century Gothic" w:hAnsi="Century Gothic" w:cs="Century Gothic" w:eastAsia="Century Gothic"/>
          <w:b w:val="0"/>
          <w:i w:val="0"/>
          <w:sz w:val="20"/>
        </w:rPr>
        <w:t>El modelo CIPP (Contexto, Insumos, Proceso y Producto), es un marco integral de evaluación orientado fundamentalmente a mejorar los programas y a garantizar la rendición de cuentas (accountability). A diferencia de los modelos centrados únicamente en los resultados finales, el modelo CIPP sostiene que la evaluación debe ser un proceso continuo que acompaña todo el ciclo de vida de un programa, proyecto o institución para guiar la toma de decisiones.</w:t>
      </w:r>
    </w:p>
    <w:p>
      <w:pPr>
        <w:spacing w:before="0" w:after="200" w:line="240" w:lineRule="auto"/>
        <w:jc w:val="both"/>
      </w:pPr>
      <w:r>
        <w:rPr>
          <w:rFonts w:ascii="Century Gothic" w:hAnsi="Century Gothic" w:cs="Century Gothic" w:eastAsia="Century Gothic"/>
          <w:b w:val="0"/>
          <w:i w:val="0"/>
          <w:sz w:val="20"/>
        </w:rPr>
        <w:t>Las cuatro 4 dimensiones del modelo son la siguientes:</w:t>
      </w:r>
    </w:p>
    <w:p>
      <w:pPr>
        <w:numPr>
          <w:ilvl w:val="0"/>
          <w:numId w:val="901"/>
        </w:numPr>
        <w:spacing w:before="0" w:after="160" w:line="240" w:lineRule="auto"/>
        <w:jc w:val="both"/>
      </w:pPr>
      <w:r>
        <w:rPr>
          <w:rFonts w:ascii="Century Gothic" w:hAnsi="Century Gothic" w:cs="Century Gothic" w:eastAsia="Century Gothic"/>
          <w:b w:val="0"/>
          <w:i w:val="0"/>
          <w:sz w:val="20"/>
        </w:rPr>
        <w:t>Evaluación del contexto, que tiene como propósito analizar el entorno general, identificar necesidades insatisfechas, problemas, carencias y oportunidades. Su objetivo es definir metas y objetivos del programa, asegurando que respondan a necesidades reales de los beneficiarios y del entorno.</w:t>
      </w:r>
    </w:p>
    <w:p>
      <w:pPr>
        <w:numPr>
          <w:ilvl w:val="0"/>
          <w:numId w:val="901"/>
        </w:numPr>
        <w:spacing w:before="0" w:after="160" w:line="240" w:lineRule="auto"/>
        <w:jc w:val="both"/>
      </w:pPr>
      <w:r>
        <w:rPr>
          <w:rFonts w:ascii="Century Gothic" w:hAnsi="Century Gothic" w:cs="Century Gothic" w:eastAsia="Century Gothic"/>
          <w:b w:val="0"/>
          <w:i w:val="0"/>
          <w:sz w:val="20"/>
        </w:rPr>
        <w:t>Evaluación de insumos y recursos, cuyo propósito es evaluar las capacidades del sistema, las estrategias alternativas propuestas, los recursos disponibles (financieros, humanos, tecnológicos) y los planes de acción. Buscando el objetivo: Determinar cómo utilizar mejor los recursos para alcanzar los objetivos del programa y decidir si la estrategia elegida es viable y rentable.</w:t>
      </w:r>
    </w:p>
    <w:p>
      <w:pPr>
        <w:numPr>
          <w:ilvl w:val="0"/>
          <w:numId w:val="901"/>
        </w:numPr>
        <w:spacing w:before="0" w:after="160" w:line="240" w:lineRule="auto"/>
        <w:jc w:val="both"/>
      </w:pPr>
      <w:r>
        <w:rPr>
          <w:rFonts w:ascii="Century Gothic" w:hAnsi="Century Gothic" w:cs="Century Gothic" w:eastAsia="Century Gothic"/>
          <w:b w:val="0"/>
          <w:i w:val="0"/>
          <w:sz w:val="20"/>
        </w:rPr>
        <w:t>Evaluación del Proceso cuyo propósito es monitorear, documentar y evaluar de manera continua la implementación del plan o programa. Esta dimensión busca identificar debilidades o desviaciones en la ejecución operativa, proveer retroalimentación correctiva al equipo y registrar cómo se está llevando a cabo la práctica real frente a lo planeado.</w:t>
      </w:r>
    </w:p>
    <w:p>
      <w:pPr>
        <w:numPr>
          <w:ilvl w:val="0"/>
          <w:numId w:val="901"/>
        </w:numPr>
        <w:spacing w:before="0" w:after="160" w:line="240" w:lineRule="auto"/>
        <w:jc w:val="both"/>
      </w:pPr>
      <w:r>
        <w:rPr>
          <w:rFonts w:ascii="Century Gothic" w:hAnsi="Century Gothic" w:cs="Century Gothic" w:eastAsia="Century Gothic"/>
          <w:b w:val="0"/>
          <w:i w:val="0"/>
          <w:sz w:val="20"/>
        </w:rPr>
        <w:t>Evaluación del Producto orientada a medir, interpretar y juzgar los logros y resultados del programa (tanto los previstos como los imprevistos, positivos y negativos) a fin de determinar si el programa cumplió con las necesidades de los usuarios y decidir si el programa debe continuarse, modificarse, replicarse o clausurarse.</w:t>
      </w:r>
    </w:p>
    <w:p>
      <w:pPr>
        <w:numPr>
          <w:ilvl w:val="0"/>
          <w:numId w:val="901"/>
        </w:numPr>
        <w:spacing w:before="0" w:after="200" w:line="240" w:lineRule="auto"/>
        <w:jc w:val="both"/>
      </w:pPr>
      <w:r>
        <w:rPr>
          <w:rFonts w:ascii="Century Gothic" w:hAnsi="Century Gothic" w:cs="Century Gothic" w:eastAsia="Century Gothic"/>
          <w:b w:val="0"/>
          <w:i w:val="0"/>
          <w:sz w:val="20"/>
        </w:rPr>
        <w:t>Este enfoque enfatiza que la evaluación no solo sirve para probar (rendición de cuentas y auditoría de resultados), sino principalmente para mejorar la toma de decisiones y los procesos sobre la marcha, además de proporcionar directrices metodológicas para que directivos, evaluadores y tomadores de decisiones obtengan datos empíricos en cada fase del desarrollo institucional o curricular. El siguiente cuadro muestra los componen y fuentes de información.</w:t>
      </w:r>
    </w:p>
    <w:p>
      <w:pPr>
        <w:spacing w:before="0" w:after="200" w:line="240" w:lineRule="auto"/>
        <w:jc w:val="both"/>
      </w:pPr>
      <w:r>
        <w:rPr>
          <w:rFonts w:ascii="Century Gothic" w:hAnsi="Century Gothic" w:cs="Century Gothic" w:eastAsia="Century Gothic"/>
          <w:b/>
          <w:i w:val="0"/>
          <w:sz w:val="20"/>
        </w:rPr>
        <w:t>Cuadro 12.1. Componentes de la evaluación y fuentes de información</w:t>
      </w:r>
    </w:p>
    <w:tbl>
      <w:tblPr>
        <w:tblW w:type="auto" w:w="0"/>
        <w:jc w:val="center"/>
        <w:tblLayout w:type="fixed"/>
        <w:tblLook w:firstColumn="1" w:firstRow="1" w:lastColumn="0" w:lastRow="0" w:noHBand="0" w:noVBand="1" w:val="04A0"/>
      </w:tblPr>
      <w:tblGrid>
        <w:gridCol w:w="1026"/>
        <w:gridCol w:w="4415"/>
        <w:gridCol w:w="3629"/>
      </w:tblGrid>
      <w:tr>
        <w:trPr>
          <w:tblHeader/>
        </w:trPr>
        <w:tc>
          <w:tcPr>
            <w:tcW w:type="dxa" w:w="102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w:t>
            </w:r>
          </w:p>
        </w:tc>
        <w:tc>
          <w:tcPr>
            <w:tcW w:type="dxa" w:w="44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Qué se evalúa en la Carrera</w:t>
            </w:r>
          </w:p>
        </w:tc>
        <w:tc>
          <w:tcPr>
            <w:tcW w:type="dxa" w:w="362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Fuentes</w:t>
            </w:r>
          </w:p>
        </w:tc>
      </w:tr>
      <w:tr>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Contexto</w:t>
            </w:r>
          </w:p>
        </w:tc>
        <w:tc>
          <w:tcPr>
            <w:tcW w:type="dxa" w:w="44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¿Responde el perfil de egreso a las necesidades del mercado, la profesión y el país? (criterios de pertinencia, contexto sociocultural, alcance económico, relación con el mundo laboral)</w:t>
            </w:r>
          </w:p>
        </w:tc>
        <w:tc>
          <w:tcPr>
            <w:tcW w:type="dxa" w:w="36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Estudios de mercado laboral, seguimiento a titulados, normas IFAC y del Sistema de la Universidad Boliviana, datos económicos</w:t>
            </w:r>
          </w:p>
        </w:tc>
      </w:tr>
      <w:tr>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Insumos</w:t>
            </w:r>
          </w:p>
        </w:tc>
        <w:tc>
          <w:tcPr>
            <w:tcW w:type="dxa" w:w="44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¿Los contenidos, la carga horaria, los docentes, la infraestructura y los recursos tecnológicos alcanzan para lograr el perfil? (coherencia, integralidad)</w:t>
            </w:r>
          </w:p>
        </w:tc>
        <w:tc>
          <w:tcPr>
            <w:tcW w:type="dxa" w:w="36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 de estudios y programas analíticos, FODA, registros docentes, inventario de laboratorios y licencias</w:t>
            </w:r>
          </w:p>
        </w:tc>
      </w:tr>
      <w:tr>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Proceso</w:t>
            </w:r>
          </w:p>
        </w:tc>
        <w:tc>
          <w:tcPr>
            <w:tcW w:type="dxa" w:w="44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¿Cómo se aplica el plan? Metodologías, pasantías, proyectos integradores, evaluación de aprendizajes, flexibilidad para el estudiante que trabaja</w:t>
            </w:r>
          </w:p>
        </w:tc>
        <w:tc>
          <w:tcPr>
            <w:tcW w:type="dxa" w:w="36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Encuestas a estudiantes y docentes, observación de aula, registros de pasantías y convenios</w:t>
            </w:r>
          </w:p>
        </w:tc>
      </w:tr>
      <w:tr>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Producto</w:t>
            </w:r>
          </w:p>
        </w:tc>
        <w:tc>
          <w:tcPr>
            <w:tcW w:type="dxa" w:w="44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¿Qué resultados obtiene la Carrera? Permanencia, titulación, inserción laboral, ingresos, satisfacción, continuidad en posgrado (transferibilidad, articulación)</w:t>
            </w:r>
          </w:p>
        </w:tc>
        <w:tc>
          <w:tcPr>
            <w:tcW w:type="dxa" w:w="36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DSIE, seguimiento a titulados, encuestas a empleadores, acreditaciones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Elaboración propia con base en Stufflebeam y Zhang (2017) y en los criterios del Art. 11 del HCU 032/2025 (Carrera de Contaduría Pública, 2026a).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12.1.4</w:t>
        <w:tab/>
      </w:r>
      <w:r>
        <w:rPr>
          <w:rFonts w:ascii="Century Gothic" w:hAnsi="Century Gothic" w:cs="Century Gothic" w:eastAsia="Century Gothic"/>
          <w:b/>
          <w:i w:val="0"/>
          <w:sz w:val="22"/>
        </w:rPr>
        <w:t>Criterios, indicadores y línea base</w:t>
      </w:r>
    </w:p>
    <w:p>
      <w:pPr>
        <w:spacing w:before="0" w:after="200" w:line="240" w:lineRule="auto"/>
        <w:jc w:val="both"/>
      </w:pPr>
      <w:r>
        <w:rPr>
          <w:rFonts w:ascii="Century Gothic" w:hAnsi="Century Gothic" w:cs="Century Gothic" w:eastAsia="Century Gothic"/>
          <w:b w:val="0"/>
          <w:i w:val="0"/>
          <w:sz w:val="20"/>
        </w:rPr>
        <w:t>Los ocho criterios del Reglamento de Innovación Curricular sirven como estructura de la matriz de evaluación. El Cuadro 12.2 propone indicadores para cada uno y recoge la línea base que ya existe, de modo que el primer informe de evaluación pueda medir avance desde una referencia concreta.</w:t>
      </w:r>
    </w:p>
    <w:p>
      <w:pPr>
        <w:spacing w:before="0" w:after="200" w:line="240" w:lineRule="auto"/>
        <w:jc w:val="both"/>
      </w:pPr>
      <w:r>
        <w:rPr>
          <w:rFonts w:ascii="Century Gothic" w:hAnsi="Century Gothic" w:cs="Century Gothic" w:eastAsia="Century Gothic"/>
          <w:b/>
          <w:i w:val="0"/>
          <w:sz w:val="20"/>
        </w:rPr>
        <w:t>Cuadro 12.2. Matriz de evaluación curricular (propuesta)</w:t>
      </w:r>
    </w:p>
    <w:tbl>
      <w:tblPr>
        <w:tblW w:type="auto" w:w="0"/>
        <w:jc w:val="center"/>
        <w:tblLayout w:type="fixed"/>
        <w:tblLook w:firstColumn="1" w:firstRow="1" w:lastColumn="0" w:lastRow="0" w:noHBand="0" w:noVBand="1" w:val="04A0"/>
      </w:tblPr>
      <w:tblGrid>
        <w:gridCol w:w="1934"/>
        <w:gridCol w:w="3336"/>
        <w:gridCol w:w="3801"/>
      </w:tblGrid>
      <w:tr>
        <w:trPr>
          <w:tblHeader/>
        </w:trPr>
        <w:tc>
          <w:tcPr>
            <w:tcW w:type="dxa" w:w="19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Criterio (Art. 11)</w:t>
            </w:r>
          </w:p>
        </w:tc>
        <w:tc>
          <w:tcPr>
            <w:tcW w:type="dxa" w:w="33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Indicadores propuestos</w:t>
            </w:r>
          </w:p>
        </w:tc>
        <w:tc>
          <w:tcPr>
            <w:tcW w:type="dxa" w:w="38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Línea base disponible</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Coherencia</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de asignaturas con resultados de aprendizaje y competencias asociadas; coherencia vertical y horizontal de la malla</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Plan 2013 no está organizado por competencias; valoración “parcial” (Carrera de Contaduría Pública, 2026a)</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Pertinencia</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de titulados que se sienten preparados; brecha entre competencias requeridas y aplicadas; valoración de las tecnologías enseñadas</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42 % se siente preparado y 43 % considera útil la tecnología enseñada (Ipsos CIESMORI, 2025, Contaduría, n = 160)</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Contexto sociocultural</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de estudiantes que trabajan; tasa de inscripción efectiva; permanencia y abandono</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48,9 % de estudiantes con trabajo remunerado; 26,6 % de los matriculados no se inscribe en asignaturas (DSIE 2025, según el Diagnóstico)</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Alcance económico</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 mensual de titulados por cohorte; relación con la mediana de profesionales</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87 % gana hasta Bs 5.000 (Ipsos, 2025); en la cohorte 2014–2019, 24,3 % ganaba Bs 6.000 o más (Aguirre y Quintanilla, 2022). Muestras distintas: no comparables sin ajuste</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Relación con el mundo laboral</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empleado; % que ejerce la carrera; tiempo hasta el primer empleo; áreas de inserción; tipo de contrato</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79,3 % trabajaba al momento de la encuesta, cohorte 2014–2019 (Aguirre y Quintanilla, 2022); 63 % ejerce la carrera (Ipsos, 2025)</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Integralidad</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Cobertura de contabilidad, auditoría, finanzas, tecnología, sostenibilidad y riesgos en el plan</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plan vigente omite sostenibilidad (ESG), inteligencia artificial aplicada y gestión de riesgos (Diagnóstico, 2026a)</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Transferibilidad</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Alineación con las IES de la IFAC; acreditaciones obtenidas; movilidad académica</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Sin acreditación regional ni internacional (Diagnóstico, 2026a)</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Articulación</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de titulados que continúan en posgrado o educación continua; pasarelas grado–posgrado</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Cohorte 2014–2019: cerca de 8 % cursó maestría y 40,5 % diplomado (Aguirre y Quintanilla, 2022)</w:t>
            </w:r>
          </w:p>
        </w:tc>
      </w:tr>
      <w:tr>
        <w:tc>
          <w:tcPr>
            <w:tcW w:type="dxa" w:w="19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Complementario: eficiencia de la trayectoria</w:t>
            </w:r>
          </w:p>
        </w:tc>
        <w:tc>
          <w:tcPr>
            <w:tcW w:type="dxa" w:w="33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Tiempo entre ingreso, egreso y titulación; titulados por año y por modalidad</w:t>
            </w:r>
          </w:p>
        </w:tc>
        <w:tc>
          <w:tcPr>
            <w:tcW w:type="dxa" w:w="38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 a los 20 años, egreso a los 6 y titulación al 7.º año (según el estudio); 274 titulados en 2025, 69 % por examen de grado (DSIE, Cuadro 10 del Diagnóstico)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Fuentes: Aguirre y Quintanilla (2022); Ipsos CIESMORI (2025); Carrera de Contaduría Pública (2026a). Las cifras de 2019 y de 2025 provienen de poblaciones, preguntas y años distintos.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12.1.5</w:t>
        <w:tab/>
      </w:r>
      <w:r>
        <w:rPr>
          <w:rFonts w:ascii="Century Gothic" w:hAnsi="Century Gothic" w:cs="Century Gothic" w:eastAsia="Century Gothic"/>
          <w:b/>
          <w:i w:val="0"/>
          <w:sz w:val="22"/>
        </w:rPr>
        <w:t>Calendario de evaluación</w:t>
      </w:r>
    </w:p>
    <w:p>
      <w:pPr>
        <w:spacing w:before="0" w:after="200" w:line="240" w:lineRule="auto"/>
        <w:jc w:val="both"/>
      </w:pPr>
      <w:r>
        <w:rPr>
          <w:rFonts w:ascii="Century Gothic" w:hAnsi="Century Gothic" w:cs="Century Gothic" w:eastAsia="Century Gothic"/>
          <w:b/>
          <w:i w:val="0"/>
          <w:sz w:val="20"/>
        </w:rPr>
        <w:t>Cuadro 12.3. Momentos de la evaluación curricular (propuesta)</w:t>
      </w:r>
    </w:p>
    <w:tbl>
      <w:tblPr>
        <w:tblW w:type="auto" w:w="0"/>
        <w:jc w:val="center"/>
        <w:tblLayout w:type="fixed"/>
        <w:tblLook w:firstColumn="1" w:firstRow="1" w:lastColumn="0" w:lastRow="0" w:noHBand="0" w:noVBand="1" w:val="04A0"/>
      </w:tblPr>
      <w:tblGrid>
        <w:gridCol w:w="2100"/>
        <w:gridCol w:w="4199"/>
        <w:gridCol w:w="2772"/>
      </w:tblGrid>
      <w:tr>
        <w:trPr>
          <w:tblHeader/>
        </w:trPr>
        <w:tc>
          <w:tcPr>
            <w:tcW w:type="dxa" w:w="21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Frecuencia</w:t>
            </w:r>
          </w:p>
        </w:tc>
        <w:tc>
          <w:tcPr>
            <w:tcW w:type="dxa" w:w="419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Actividad</w:t>
            </w:r>
          </w:p>
        </w:tc>
        <w:tc>
          <w:tcPr>
            <w:tcW w:type="dxa" w:w="277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Respaldo normativo</w:t>
            </w:r>
          </w:p>
        </w:tc>
      </w:tr>
      <w:tr>
        <w:tc>
          <w:tcPr>
            <w:tcW w:type="dxa" w:w="2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Anual</w:t>
            </w:r>
          </w:p>
        </w:tc>
        <w:tc>
          <w:tcPr>
            <w:tcW w:type="dxa" w:w="41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Informe de seguimiento con los indicadores del Cuadro 12.2 y los resultados del estudio de titulados; reunión de la comisión y ajustes de contenidos mínimos</w:t>
            </w:r>
          </w:p>
        </w:tc>
        <w:tc>
          <w:tcPr>
            <w:tcW w:type="dxa" w:w="2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Seguimiento anual (Reglamento de Evaluación y Acreditación, Art. 41)</w:t>
            </w:r>
          </w:p>
        </w:tc>
      </w:tr>
      <w:tr>
        <w:tc>
          <w:tcPr>
            <w:tcW w:type="dxa" w:w="2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 cierre del segundo año de aplicación</w:t>
            </w:r>
          </w:p>
        </w:tc>
        <w:tc>
          <w:tcPr>
            <w:tcW w:type="dxa" w:w="41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implementación (componentes Insumos y Proceso): carga, pasantías, laboratorio, formación docente</w:t>
            </w:r>
          </w:p>
        </w:tc>
        <w:tc>
          <w:tcPr>
            <w:tcW w:type="dxa" w:w="2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Propuesta de la Carrera</w:t>
            </w:r>
          </w:p>
        </w:tc>
      </w:tr>
      <w:tr>
        <w:tc>
          <w:tcPr>
            <w:tcW w:type="dxa" w:w="2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Cada cuatro años</w:t>
            </w:r>
          </w:p>
        </w:tc>
        <w:tc>
          <w:tcPr>
            <w:tcW w:type="dxa" w:w="41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Autoevaluación de la Carrera con informe y Plan de Mejora de la Calidad</w:t>
            </w:r>
          </w:p>
        </w:tc>
        <w:tc>
          <w:tcPr>
            <w:tcW w:type="dxa" w:w="2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Arts. 15, 17 y 18</w:t>
            </w:r>
          </w:p>
        </w:tc>
      </w:tr>
      <w:tr>
        <w:tc>
          <w:tcPr>
            <w:tcW w:type="dxa" w:w="2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 la primera promoción egresada</w:t>
            </w:r>
          </w:p>
        </w:tc>
        <w:tc>
          <w:tcPr>
            <w:tcW w:type="dxa" w:w="41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resultados (componente Producto): titulación, inserción, ingresos y satisfacción de la primera cohorte del nuevo plan</w:t>
            </w:r>
          </w:p>
        </w:tc>
        <w:tc>
          <w:tcPr>
            <w:tcW w:type="dxa" w:w="2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Propuesta de la Carrera</w:t>
            </w:r>
          </w:p>
        </w:tc>
      </w:tr>
      <w:tr>
        <w:tc>
          <w:tcPr>
            <w:tcW w:type="dxa" w:w="2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Cada siete años</w:t>
            </w:r>
          </w:p>
        </w:tc>
        <w:tc>
          <w:tcPr>
            <w:tcW w:type="dxa" w:w="41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Nueva declaración de necesidad de rediseño</w:t>
            </w:r>
          </w:p>
        </w:tc>
        <w:tc>
          <w:tcPr>
            <w:tcW w:type="dxa" w:w="277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HCU 032/2025, Art. 5 (según el Diagnóstico)</w:t>
            </w:r>
          </w:p>
        </w:tc>
      </w:tr>
    </w:tbl>
    <w:p>
      <w:pPr>
        <w:spacing w:before="0" w:after="120" w:line="240" w:lineRule="auto"/>
        <w:jc w:val="left"/>
      </w:pP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12.1.6</w:t>
        <w:tab/>
      </w:r>
      <w:r>
        <w:rPr>
          <w:rFonts w:ascii="Century Gothic" w:hAnsi="Century Gothic" w:cs="Century Gothic" w:eastAsia="Century Gothic"/>
          <w:b/>
          <w:i w:val="0"/>
          <w:sz w:val="22"/>
        </w:rPr>
        <w:t>Responsables y uso de los resultados</w:t>
      </w:r>
    </w:p>
    <w:p>
      <w:pPr>
        <w:spacing w:before="0" w:after="200" w:line="240" w:lineRule="auto"/>
        <w:jc w:val="both"/>
      </w:pPr>
      <w:r>
        <w:rPr>
          <w:rFonts w:ascii="Century Gothic" w:hAnsi="Century Gothic" w:cs="Century Gothic" w:eastAsia="Century Gothic"/>
          <w:b w:val="0"/>
          <w:i w:val="0"/>
          <w:sz w:val="20"/>
        </w:rPr>
        <w:t>Se propone una Comisión de Evaluación Curricular permanente, presidida por la Dirección de Carrera e integrada por docentes, estudiantes, titulados y representantes de empleadores, con apoyo técnico de la DSIE para los datos y del CEPIES para el diseño y análisis de los instrumentos. Su producto es un informe anual público que concluye en un plan de mejora con responsables y plazos. Los resultados se usan para ajustar contenidos mínimos y metodologías dentro de las atribuciones de la Carrera, y se acumulan como evidencia para la autoevaluación y la declaración de necesidad siguientes. El Diagnóstico (2026a, sección 8.2) advierte que un plan por competencias con seguimiento de egresados exige más capacidad administrativa; la comisión necesita, por tanto, personal asignado.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12.2</w:t>
        <w:tab/>
      </w:r>
      <w:r>
        <w:rPr>
          <w:rFonts w:ascii="Century Gothic" w:hAnsi="Century Gothic" w:cs="Century Gothic" w:eastAsia="Century Gothic"/>
          <w:b/>
          <w:i w:val="0"/>
          <w:sz w:val="24"/>
        </w:rPr>
        <w:t>Estrategias de seguimiento a titulados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12.2.1</w:t>
        <w:tab/>
      </w:r>
      <w:r>
        <w:rPr>
          <w:rFonts w:ascii="Century Gothic" w:hAnsi="Century Gothic" w:cs="Century Gothic" w:eastAsia="Century Gothic"/>
          <w:b/>
          <w:i w:val="0"/>
          <w:sz w:val="22"/>
        </w:rPr>
        <w:t>Fundamento</w:t>
      </w:r>
    </w:p>
    <w:p>
      <w:pPr>
        <w:spacing w:before="0" w:after="200" w:line="240" w:lineRule="auto"/>
        <w:jc w:val="both"/>
      </w:pPr>
      <w:r>
        <w:rPr>
          <w:rFonts w:ascii="Century Gothic" w:hAnsi="Century Gothic" w:cs="Century Gothic" w:eastAsia="Century Gothic"/>
          <w:b w:val="0"/>
          <w:i w:val="0"/>
          <w:sz w:val="20"/>
        </w:rPr>
        <w:t>Los estudios de seguimiento de graduados sirven para evaluar la pertinencia de la formación, revisar los planes de estudio, apoyar la acreditación y rendir cuentas (Schomburg, 2017). Miden la transición al empleo, el éxito profesional y los desajustes entre las competencias que se adquirieron y las que el trabajo exige. Aguirre y Quintanilla (2022, p. 12) recuerdan que en Bolivia el seguimiento a titulados forma parte de los requisitos de acreditación (CEUB, 2019) y que, como muchos estudios quedan sin publicar, pasan a ser “literatura gris”. Es un hábito que la Carrera puede cambiar.</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12.2.2</w:t>
        <w:tab/>
      </w:r>
      <w:r>
        <w:rPr>
          <w:rFonts w:ascii="Century Gothic" w:hAnsi="Century Gothic" w:cs="Century Gothic" w:eastAsia="Century Gothic"/>
          <w:b/>
          <w:i w:val="0"/>
          <w:sz w:val="22"/>
        </w:rPr>
        <w:t>Lo que la Carrera ya tiene</w:t>
      </w:r>
    </w:p>
    <w:p>
      <w:pPr>
        <w:spacing w:before="0" w:after="200" w:line="240" w:lineRule="auto"/>
        <w:jc w:val="both"/>
      </w:pPr>
      <w:r>
        <w:rPr>
          <w:rFonts w:ascii="Century Gothic" w:hAnsi="Century Gothic" w:cs="Century Gothic" w:eastAsia="Century Gothic"/>
          <w:b w:val="0"/>
          <w:i w:val="0"/>
          <w:sz w:val="20"/>
        </w:rPr>
        <w:t xml:space="preserve">La Carrera cuenta con tres antecedentes: un estudio exploratorio de titulados (Aguirre y Callisaya, 2014); el seguimiento a los titulados 2014–2019 (Aguirre y Quintanilla, 2022), publicado en </w:t>
      </w:r>
      <w:r>
        <w:rPr>
          <w:rFonts w:ascii="Century Gothic" w:hAnsi="Century Gothic" w:cs="Century Gothic" w:eastAsia="Century Gothic"/>
          <w:b w:val="0"/>
          <w:i/>
          <w:sz w:val="20"/>
        </w:rPr>
        <w:t>Educación Superior. Revista Científica</w:t>
      </w:r>
      <w:r>
        <w:rPr>
          <w:rFonts w:ascii="Century Gothic" w:hAnsi="Century Gothic" w:cs="Century Gothic" w:eastAsia="Century Gothic"/>
          <w:b w:val="0"/>
          <w:i w:val="0"/>
          <w:sz w:val="20"/>
        </w:rPr>
        <w:t xml:space="preserve"> del CEPIES; y el estudio Ipsos CIESMORI (2025) para toda la Facultad. El segundo es la base metodológica de lo que sigue.</w:t>
      </w:r>
    </w:p>
    <w:p>
      <w:pPr>
        <w:spacing w:before="0" w:after="200" w:line="240" w:lineRule="auto"/>
        <w:jc w:val="both"/>
      </w:pPr>
      <w:r>
        <w:rPr>
          <w:rFonts w:ascii="Century Gothic" w:hAnsi="Century Gothic" w:cs="Century Gothic" w:eastAsia="Century Gothic"/>
          <w:b/>
          <w:i w:val="0"/>
          <w:sz w:val="20"/>
        </w:rPr>
        <w:t>Cuadro 12.4. Metodología del seguimiento a titulados 2014–2019</w:t>
      </w:r>
    </w:p>
    <w:tbl>
      <w:tblPr>
        <w:tblW w:type="auto" w:w="0"/>
        <w:jc w:val="center"/>
        <w:tblLayout w:type="fixed"/>
        <w:tblLook w:firstColumn="1" w:firstRow="1" w:lastColumn="0" w:lastRow="0" w:noHBand="0" w:noVBand="1" w:val="04A0"/>
      </w:tblPr>
      <w:tblGrid>
        <w:gridCol w:w="2129"/>
        <w:gridCol w:w="6942"/>
      </w:tblGrid>
      <w:tr>
        <w:trPr>
          <w:tblHeader/>
        </w:trPr>
        <w:tc>
          <w:tcPr>
            <w:tcW w:type="dxa" w:w="212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Elemento</w:t>
            </w:r>
          </w:p>
        </w:tc>
        <w:tc>
          <w:tcPr>
            <w:tcW w:type="dxa" w:w="694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Objetivo</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Describir la situación laboral y la satisfacción con la formación de los titulados de Contaduría Pública graduados entre 2014 y 2019</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Diseño</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Descriptivo, de corte transversal; levantamiento en el último trimestre de 2019</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Población y respuesta</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3.794 titulados; 785 respuestas; 686 válidas tras depurar cuestionarios incompletos o inconsistentes (cerca de 18 % de la población)</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Precisión</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Nivel de confianza de 95 % y error de 3,7 % (varianza máxima, P = Q = 0,5)</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Instrumento</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Encuesta en línea voluntaria, con invitación personal a cada titulado, anonimato y confidencialidad; incorporada a la página institucional y al Sistema de Información Académica de la UMSA</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Datos complementarios</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Registros administrativos de la División de Estadísticas (DSIE), para reducir el número de preguntas</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Bloques de contenido</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Antecedentes académicos y tiempos de formación; actividades durante la carrera (experiencia laboral, idiomas, carrera paralela, título intermedio); formación posterior; acceso al empleo; situación laboral (contrato, sector, tamaño, área, ingreso); satisfacción con la formación por áreas</w:t>
            </w:r>
          </w:p>
        </w:tc>
      </w:tr>
      <w:tr>
        <w:tc>
          <w:tcPr>
            <w:tcW w:type="dxa" w:w="21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Criterios de diseño citados</w:t>
            </w:r>
          </w:p>
        </w:tc>
        <w:tc>
          <w:tcPr>
            <w:tcW w:type="dxa" w:w="694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Definición de objetivos, temporalidad delimitada, periodicidad y contextualización de los instrumentos (CINDA); perfil del egresado, trayectoria laboral y satisfacción (ITESM, Red GRADUA2)</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Aguirre y Quintanilla (2022, pp. 13–14).</w:t>
      </w:r>
    </w:p>
    <w:p>
      <w:pPr>
        <w:spacing w:before="0" w:after="200" w:line="240" w:lineRule="auto"/>
        <w:jc w:val="both"/>
      </w:pPr>
      <w:r>
        <w:rPr>
          <w:rFonts w:ascii="Century Gothic" w:hAnsi="Century Gothic" w:cs="Century Gothic" w:eastAsia="Century Gothic"/>
          <w:b/>
          <w:i w:val="0"/>
          <w:sz w:val="20"/>
        </w:rPr>
        <w:t>Cuadro 12.5. Principales hallazgos del seguimiento a titulados 2014–2019 (n = 686)</w:t>
      </w:r>
    </w:p>
    <w:tbl>
      <w:tblPr>
        <w:tblW w:type="auto" w:w="0"/>
        <w:jc w:val="center"/>
        <w:tblLayout w:type="fixed"/>
        <w:tblLook w:firstColumn="1" w:firstRow="1" w:lastColumn="0" w:lastRow="0" w:noHBand="0" w:noVBand="1" w:val="04A0"/>
      </w:tblPr>
      <w:tblGrid>
        <w:gridCol w:w="1771"/>
        <w:gridCol w:w="7300"/>
      </w:tblGrid>
      <w:tr>
        <w:trPr>
          <w:tblHeader/>
        </w:trPr>
        <w:tc>
          <w:tcPr>
            <w:tcW w:type="dxa" w:w="17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Tema</w:t>
            </w:r>
          </w:p>
        </w:tc>
        <w:tc>
          <w:tcPr>
            <w:tcW w:type="dxa" w:w="73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Resultado</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Tiempos de formación</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 a los 20 años en promedio; el 75 % egresa en 6 años y el 50 % se titula al 7.º año; los más rezagados tardan hasta 9 años. El rezago medio entre egreso y titulación es de 3 años (49,3 % tardó unos tres años más; 24,6 %, cuatro años más)</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Durante la carrera</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65,9 % tuvo experiencia laboral o pasantía (17,5 meses en promedio); 21,7 % obtuvo el título de Técnico Superior en Contabilidad General; 27,8 % estudió un idioma; 29,4 % cursó otra carrera en paralelo</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Acceso al empleo</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59,9 % encontró trabajo al titularse y 19,4 % siguió en el que tenía; 79,3 % trabajaba y 20,7 % buscaba empleo. Entre quienes trabajaron durante la carrera, 56,7 % consiguió empleo por búsqueda propia y 28,3 % por familiares o amigos</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Situación laboral</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53,5 % con contrato indefinido, 22,2 % temporal, 8,1 % por cuenta propia; 45,6 % en el sector privado, 21,3 % en el público y 12,9 % en entidades financieras; 74,5 % en contabilidad y auditoría y 20,1 % en administración; 90,8 % en cargos técnicos o de mando intermedio</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19,1 % entre Bs 6.000 y 9.999 y 5,2 % más de Bs 10.000; la remuneración media nominal de los profesionales en 2019 era de Bs 7.883 (INE, citado por los autores)</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Satisfacción</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50,9 % considera que el título de la UMSA influyó mucho o totalmente en conseguir empleo y 13,8 % que influyó poco o nada; 69,6 % valora como buena o muy buena la formación general. Evaluación regular en informática, relaciones interpersonales y desarrollo administrativo y legal; 92,8 % califica de pésima a regular la formación en idiomas</w:t>
            </w:r>
          </w:p>
        </w:tc>
      </w:tr>
      <w:tr>
        <w:tc>
          <w:tcPr>
            <w:tcW w:type="dxa" w:w="17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Formación posterior</w:t>
            </w:r>
          </w:p>
        </w:tc>
        <w:tc>
          <w:tcPr>
            <w:tcW w:type="dxa" w:w="73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42,9 % hizo otros cursos, 40,5 % un diplomado, 27,6 % cursos con certificación, 15,7 % idiomas; cerca de 8 % una maestría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Fuente: Aguirre y Quintanilla (2022, pp. 14–21).</w:t>
      </w:r>
    </w:p>
    <w:p>
      <w:pPr>
        <w:spacing w:before="0" w:after="200" w:line="240" w:lineRule="auto"/>
        <w:jc w:val="both"/>
      </w:pPr>
      <w:r>
        <w:rPr>
          <w:rFonts w:ascii="Century Gothic" w:hAnsi="Century Gothic" w:cs="Century Gothic" w:eastAsia="Century Gothic"/>
          <w:b w:val="0"/>
          <w:i w:val="0"/>
          <w:sz w:val="20"/>
        </w:rPr>
        <w:t>El estudio reconoce sus propios límites: refleja la percepción del titular, no la del empleador; abarca solo las promociones 2014–2019, antes de la pandemia; y queda pendiente el análisis de otras generaciones (Aguirre y Quintanilla, 2022, pp. 21–22). Entre 2019 y hoy cambiaron la economía y el mercado, y los datos tienen ya seis años de antigüedad.</w:t>
      </w:r>
    </w:p>
    <w:p>
      <w:pPr>
        <w:spacing w:before="0" w:after="200" w:line="240" w:lineRule="auto"/>
        <w:jc w:val="both"/>
      </w:pPr>
      <w:r>
        <w:rPr>
          <w:rFonts w:ascii="Century Gothic" w:hAnsi="Century Gothic" w:cs="Century Gothic" w:eastAsia="Century Gothic"/>
          <w:b/>
          <w:i w:val="0"/>
          <w:sz w:val="20"/>
        </w:rPr>
        <w:t>Cuadro 12.6. Qué cubre cada estudio y qué falta</w:t>
      </w:r>
    </w:p>
    <w:tbl>
      <w:tblPr>
        <w:tblW w:type="auto" w:w="0"/>
        <w:jc w:val="center"/>
        <w:tblLayout w:type="fixed"/>
        <w:tblLook w:firstColumn="1" w:firstRow="1" w:lastColumn="0" w:lastRow="0" w:noHBand="0" w:noVBand="1" w:val="04A0"/>
      </w:tblPr>
      <w:tblGrid>
        <w:gridCol w:w="3851"/>
        <w:gridCol w:w="2471"/>
        <w:gridCol w:w="2749"/>
      </w:tblGrid>
      <w:tr>
        <w:trPr>
          <w:tblHeader/>
        </w:trPr>
        <w:tc>
          <w:tcPr>
            <w:tcW w:type="dxa" w:w="38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Dimensión</w:t>
            </w:r>
          </w:p>
        </w:tc>
        <w:tc>
          <w:tcPr>
            <w:tcW w:type="dxa" w:w="24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Seguimiento 2014–2019</w:t>
            </w:r>
          </w:p>
        </w:tc>
        <w:tc>
          <w:tcPr>
            <w:tcW w:type="dxa" w:w="27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Ipsos CIESMORI 2025</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Trayectoria académica (ingreso, egreso, titulación)</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Parcial</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Experiencia laboral durante la carrera</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Inserción, contrato, sector e ingreso</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Ejercicio de la carrera y motivos de no ejercerla</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Competencias requeridas frente a las enseñadas</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Parcial</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Pertinencia de las asignaturas</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Satisfacción con la formación</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Formación posterior</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Sí</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Parcial</w:t>
            </w:r>
          </w:p>
        </w:tc>
      </w:tr>
      <w:tr>
        <w:tc>
          <w:tcPr>
            <w:tcW w:type="dxa" w:w="38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Opinión de empleadores</w:t>
            </w:r>
          </w:p>
        </w:tc>
        <w:tc>
          <w:tcPr>
            <w:tcW w:type="dxa" w:w="24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w:t>
            </w:r>
          </w:p>
        </w:tc>
        <w:tc>
          <w:tcPr>
            <w:tcW w:type="dxa" w:w="27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Parcial (fase cualitativa)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Elaboración propia. “Parcial” indica que el tema aparece sin el detalle necesario para seguirlo en el tiempo.</w:t>
      </w:r>
    </w:p>
    <w:p>
      <w:pPr>
        <w:spacing w:before="0" w:after="200" w:line="240" w:lineRule="auto"/>
        <w:jc w:val="both"/>
      </w:pPr>
      <w:r>
        <w:rPr>
          <w:rFonts w:ascii="Century Gothic" w:hAnsi="Century Gothic" w:cs="Century Gothic" w:eastAsia="Century Gothic"/>
          <w:b w:val="0"/>
          <w:i w:val="0"/>
          <w:sz w:val="20"/>
        </w:rPr>
        <w:t>Los dos estudios se complementan, pero no se pueden poner en serie: usan poblaciones, escalas y rangos de ingreso distintos. Para que dentro de cuatro años pueda decirse si algo mejoró, hay que fijar ahora un instrumento común.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12.2.3</w:t>
        <w:tab/>
      </w:r>
      <w:r>
        <w:rPr>
          <w:rFonts w:ascii="Century Gothic" w:hAnsi="Century Gothic" w:cs="Century Gothic" w:eastAsia="Century Gothic"/>
          <w:b/>
          <w:i w:val="0"/>
          <w:sz w:val="22"/>
        </w:rPr>
        <w:t>Estrategias propuestas</w:t>
      </w:r>
    </w:p>
    <w:p>
      <w:pPr>
        <w:spacing w:before="0" w:after="200" w:line="240" w:lineRule="auto"/>
        <w:jc w:val="both"/>
      </w:pPr>
      <w:r>
        <w:rPr>
          <w:rFonts w:ascii="Century Gothic" w:hAnsi="Century Gothic" w:cs="Century Gothic" w:eastAsia="Century Gothic"/>
          <w:b/>
          <w:i w:val="0"/>
          <w:sz w:val="20"/>
        </w:rPr>
        <w:t>Cuadro 12.7. Estrategias de seguimiento a titulados</w:t>
      </w:r>
    </w:p>
    <w:tbl>
      <w:tblPr>
        <w:tblW w:type="auto" w:w="0"/>
        <w:jc w:val="center"/>
        <w:tblLayout w:type="fixed"/>
        <w:tblLook w:firstColumn="1" w:firstRow="1" w:lastColumn="0" w:lastRow="0" w:noHBand="0" w:noVBand="1" w:val="04A0"/>
      </w:tblPr>
      <w:tblGrid>
        <w:gridCol w:w="949"/>
        <w:gridCol w:w="2273"/>
        <w:gridCol w:w="5849"/>
      </w:tblGrid>
      <w:tr>
        <w:trPr>
          <w:tblHeader/>
        </w:trPr>
        <w:tc>
          <w:tcPr>
            <w:tcW w:type="dxa" w:w="9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N.º</w:t>
            </w:r>
          </w:p>
        </w:tc>
        <w:tc>
          <w:tcPr>
            <w:tcW w:type="dxa" w:w="227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Estrategia</w:t>
            </w:r>
          </w:p>
        </w:tc>
        <w:tc>
          <w:tcPr>
            <w:tcW w:type="dxa" w:w="58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Contenido</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Registro permanente al titularse</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Cada titulado completa una ficha de salida con datos de contacto, consentimiento y trayectoria básica, integrada al Sistema de Información Académica. Resuelve el problema de directorios incompletos que frena a muchos estudios (Teichler, 2003, citado en Aguirre y Quintanilla, 2022; Schomburg, 2017)</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Estudios por cohorte a uno, tres y cinco años</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ANUIES recomienda explorar generaciones con uno, tres y cinco años de egreso, como una estrategia cíclica de evaluación (citado en IPN, s. f.). Cada cohorte se encuesta con el mismo instrumento a esos tiempos</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Instrumento común con módulos rotativos</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 núcleo fijo (Cuadro 12.8) que no cambia y módulos temáticos por año (tecnología, idiomas, ética, emprendimiento). Schomburg (2017) recomienda informes por programa con módulos específicos</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Meta de respuesta y recordatorios</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Invitación personal, encuesta en línea con alternativa telefónica y hasta cuatro contactos por cohorte. Referencia: redes de estudios de graduados que logran entre 45 % y 50 % de respuesta (Schomburg, 2017). En 2019 respondieron válidamente 686 de 3.794 titulados (cerca de 18 %)</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Encuesta a empleadores</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Muestra de organizaciones donde trabajan los titulados (auditoría, empresas, sector público, financieras) sobre las competencias que observan. Es la pieza que falta según el propio estudio de 2022</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Red de titulados</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Directorio con consentimiento, boletín, vínculo con pasantías y bolsa de trabajo; sirve a la vez para ubicar a los egresados y para ofrecer educación continua, demanda que el estudio de 2022 identificó</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Análisis de la no respuesta</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Comparar respondientes y no respondientes con registros de la DSIE (año de titulación, sexo, modalidad) para saber qué tan representativos son los resultados</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Publicación y devolución</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Informe anual público y artículo periódico en la revista del CEPIES u otra, con el instrumento y el procedimiento documentados, para evitar que el estudio quede como literatura gris</w:t>
            </w:r>
          </w:p>
        </w:tc>
      </w:tr>
      <w:tr>
        <w:tc>
          <w:tcPr>
            <w:tcW w:type="dxa" w:w="9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w:t>
            </w:r>
          </w:p>
        </w:tc>
        <w:tc>
          <w:tcPr>
            <w:tcW w:type="dxa" w:w="22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Datos y ética</w:t>
            </w:r>
          </w:p>
        </w:tc>
        <w:tc>
          <w:tcPr>
            <w:tcW w:type="dxa" w:w="58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Anonimato y confidencialidad (como en 2019), consentimiento informado, resguardo de la base y acceso reglamentado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Elaboración propia con base en Aguirre y Quintanilla (2022), Schomburg (2017) e IPN (s. f.).</w:t>
      </w:r>
    </w:p>
    <w:p>
      <w:pPr>
        <w:spacing w:before="0" w:after="200" w:line="240" w:lineRule="auto"/>
        <w:jc w:val="both"/>
      </w:pPr>
      <w:r>
        <w:rPr>
          <w:rFonts w:ascii="Century Gothic" w:hAnsi="Century Gothic" w:cs="Century Gothic" w:eastAsia="Century Gothic"/>
          <w:b/>
          <w:i w:val="0"/>
          <w:sz w:val="20"/>
        </w:rPr>
        <w:t>Cuadro 12.8. Núcleo de indicadores del seguimiento</w:t>
      </w:r>
    </w:p>
    <w:tbl>
      <w:tblPr>
        <w:tblW w:type="auto" w:w="0"/>
        <w:jc w:val="center"/>
        <w:tblLayout w:type="fixed"/>
        <w:tblLook w:firstColumn="1" w:firstRow="1" w:lastColumn="0" w:lastRow="0" w:noHBand="0" w:noVBand="1" w:val="04A0"/>
      </w:tblPr>
      <w:tblGrid>
        <w:gridCol w:w="3449"/>
        <w:gridCol w:w="3748"/>
        <w:gridCol w:w="1874"/>
      </w:tblGrid>
      <w:tr>
        <w:trPr>
          <w:tblHeader/>
        </w:trPr>
        <w:tc>
          <w:tcPr>
            <w:tcW w:type="dxa" w:w="34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37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Referencia disponible</w:t>
            </w:r>
          </w:p>
        </w:tc>
        <w:tc>
          <w:tcPr>
            <w:tcW w:type="dxa" w:w="18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Frecuencia</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Tasa de respuesta y representatividad</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18 % (2019)</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Cada levantamiento</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Meses entre egreso y titulación</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36 meses de rezago medio (2019)</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Anual</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empleado a los 12 meses de titularse</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79,3 % al momento de la encuesta (2019)</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cohorte</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que ejerce en contabilidad, auditoría, impuestos o finanzas</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74,5 % en contabilidad y auditoría (2019); 63 % ejerce la carrera (2025)</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cohorte</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Ingreso mensual (rangos fijos y comparables)</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Rangos distintos en 2019 y 2025</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cohorte</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Tipo de contrato y nivel jerárquico</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53,5 % indefinido; 90,8 % técnico o mando medio (2019)</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cohorte</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Satisfacción con la formación por área</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Tabla 4 del estudio 2019</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cohorte</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Brecha entre competencia requerida y enseñada</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Matriz de Ipsos CIESMORI (2025)</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Cada dos años</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 en educación continua o posgrado</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40,5 % diplomado; ≈ 8 % maestría (2019)</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 cohorte</w:t>
            </w:r>
          </w:p>
        </w:tc>
      </w:tr>
      <w:tr>
        <w:tc>
          <w:tcPr>
            <w:tcW w:type="dxa" w:w="344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Opinión de empleadores sobre el desempeño</w:t>
            </w:r>
          </w:p>
        </w:tc>
        <w:tc>
          <w:tcPr>
            <w:tcW w:type="dxa" w:w="37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Sin dato</w:t>
            </w:r>
          </w:p>
        </w:tc>
        <w:tc>
          <w:tcPr>
            <w:tcW w:type="dxa" w:w="18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Cada dos años</w:t>
            </w:r>
          </w:p>
        </w:tc>
      </w:tr>
    </w:tbl>
    <w:p>
      <w:pPr>
        <w:spacing w:before="0" w:after="120" w:line="240" w:lineRule="auto"/>
        <w:jc w:val="left"/>
      </w:pP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12.2.4</w:t>
        <w:tab/>
      </w:r>
      <w:r>
        <w:rPr>
          <w:rFonts w:ascii="Century Gothic" w:hAnsi="Century Gothic" w:cs="Century Gothic" w:eastAsia="Century Gothic"/>
          <w:b/>
          <w:i w:val="0"/>
          <w:sz w:val="22"/>
        </w:rPr>
        <w:t>Mantener la metodología del estudio de seguimiento</w:t>
      </w:r>
    </w:p>
    <w:p>
      <w:pPr>
        <w:spacing w:before="0" w:after="200" w:line="240" w:lineRule="auto"/>
        <w:jc w:val="both"/>
      </w:pPr>
      <w:r>
        <w:rPr>
          <w:rFonts w:ascii="Century Gothic" w:hAnsi="Century Gothic" w:cs="Century Gothic" w:eastAsia="Century Gothic"/>
          <w:b w:val="0"/>
          <w:i w:val="0"/>
          <w:sz w:val="20"/>
        </w:rPr>
        <w:t>Se recomienda que la Carrera de Contaduría Pública mantenga la metodología del estudio “Seguimiento a los titulados de la Carrera de Contaduría Pública de la UMSA graduados entre el 2014 y el 2019” (Aguirre y Quintanilla, 2022) como base de todos los trabajos de seguimiento futuros, y que la adopte formalmente como procedimiento de la Carrera. En concreto, “mantener” significa:</w:t>
      </w:r>
    </w:p>
    <w:p>
      <w:pPr>
        <w:numPr>
          <w:ilvl w:val="0"/>
          <w:numId w:val="902"/>
        </w:numPr>
        <w:spacing w:before="0" w:after="160" w:line="240" w:lineRule="auto"/>
        <w:jc w:val="both"/>
      </w:pPr>
      <w:r>
        <w:rPr>
          <w:rFonts w:ascii="Century Gothic" w:hAnsi="Century Gothic" w:cs="Century Gothic" w:eastAsia="Century Gothic"/>
          <w:b w:val="0"/>
          <w:i w:val="0"/>
          <w:sz w:val="20"/>
        </w:rPr>
        <w:t>Misma población de referencia: todos los titulados de la Carrera, por cohorte, no una muestra de conveniencia.</w:t>
      </w:r>
    </w:p>
    <w:p>
      <w:pPr>
        <w:numPr>
          <w:ilvl w:val="0"/>
          <w:numId w:val="902"/>
        </w:numPr>
        <w:spacing w:before="0" w:after="160" w:line="240" w:lineRule="auto"/>
        <w:jc w:val="both"/>
      </w:pPr>
      <w:r>
        <w:rPr>
          <w:rFonts w:ascii="Century Gothic" w:hAnsi="Century Gothic" w:cs="Century Gothic" w:eastAsia="Century Gothic"/>
          <w:b w:val="0"/>
          <w:i w:val="0"/>
          <w:sz w:val="20"/>
        </w:rPr>
        <w:t>Mismo canal: encuesta voluntaria integrada al Sistema de Información Académica de la UMSA, con invitación personal a cada titulado y cruce con los registros de la DSIE.</w:t>
      </w:r>
    </w:p>
    <w:p>
      <w:pPr>
        <w:numPr>
          <w:ilvl w:val="0"/>
          <w:numId w:val="902"/>
        </w:numPr>
        <w:spacing w:before="0" w:after="160" w:line="240" w:lineRule="auto"/>
        <w:jc w:val="both"/>
      </w:pPr>
      <w:r>
        <w:rPr>
          <w:rFonts w:ascii="Century Gothic" w:hAnsi="Century Gothic" w:cs="Century Gothic" w:eastAsia="Century Gothic"/>
          <w:b w:val="0"/>
          <w:i w:val="0"/>
          <w:sz w:val="20"/>
        </w:rPr>
        <w:t>Mismos bloques de contenido: antecedentes académicos, actividades durante la carrera, formación posterior, acceso al empleo, situación laboral y satisfacción, con las mismas escalas y rangos de ingreso. Cualquier cambio se documenta y se justifica.</w:t>
      </w:r>
    </w:p>
    <w:p>
      <w:pPr>
        <w:numPr>
          <w:ilvl w:val="0"/>
          <w:numId w:val="902"/>
        </w:numPr>
        <w:spacing w:before="0" w:after="200" w:line="240" w:lineRule="auto"/>
        <w:jc w:val="both"/>
      </w:pPr>
      <w:r>
        <w:rPr>
          <w:rFonts w:ascii="Century Gothic" w:hAnsi="Century Gothic" w:cs="Century Gothic" w:eastAsia="Century Gothic"/>
          <w:b w:val="0"/>
          <w:i w:val="0"/>
          <w:sz w:val="20"/>
        </w:rPr>
        <w:t>Mismos procedimientos de calidad: depuración de cuestionarios incompletos o inconsistentes, anonimato y confidencialidad, y reporte de nivel de confianza y error con la fórmula del estudio original.</w:t>
      </w:r>
    </w:p>
    <w:p>
      <w:pPr>
        <w:spacing w:before="0" w:after="200" w:line="240" w:lineRule="auto"/>
        <w:jc w:val="both"/>
      </w:pPr>
      <w:r>
        <w:rPr>
          <w:rFonts w:ascii="Century Gothic" w:hAnsi="Century Gothic" w:cs="Century Gothic" w:eastAsia="Century Gothic"/>
          <w:b w:val="0"/>
          <w:i w:val="0"/>
          <w:sz w:val="20"/>
        </w:rPr>
        <w:t>Las razones son prácticas. La metodología ya fue aplicada a 686 titulados, pasó revisión editorial y se publicó en una revista de la propia universidad, de modo que tiene respaldo académico. Es de bajo costo porque se apoya en registros que la UMSA ya tiene. Cumple los criterios que la literatura pide a un seguimiento de este tipo (objetivos definidos, temporalidad delimitada, periodicidad y contextualización, según CINDA, ITESM y ANUIES). Y, sobre todo, permite comparar: sin instrumento común no hay serie, y sin serie no se puede saber si el nuevo plan mejoró algo.</w:t>
      </w:r>
    </w:p>
    <w:p>
      <w:pPr>
        <w:spacing w:before="0" w:after="200" w:line="240" w:lineRule="auto"/>
        <w:jc w:val="both"/>
      </w:pPr>
      <w:r>
        <w:rPr>
          <w:rFonts w:ascii="Century Gothic" w:hAnsi="Century Gothic" w:cs="Century Gothic" w:eastAsia="Century Gothic"/>
          <w:b w:val="0"/>
          <w:i w:val="0"/>
          <w:sz w:val="20"/>
        </w:rPr>
        <w:t>Mantener la metodología no significa dejarla igual. Se recomienda sumar tres mejoras que el propio estudio señala como pendientes o que la experiencia posterior aconseja: la voz de los empleadores; el análisis de la no respuesta y una meta de respuesta más alta; y el primer paso inmediato, que es aplicar el mismo instrumento a los titulados posteriores a 2019. Según el Cuadro 10 del Diagnóstico, solo entre 2021 y 2025 se titularon 1.893 personas, generaciones que vivieron la pandemia y la crisis y que no han sido consultadas. Esa encuesta daría la línea base del plan que se reemplaza antes de aplicar el nuevo.</w:t>
      </w:r>
    </w:p>
    <w:p>
      <w:pPr>
        <w:keepNext/>
        <w:spacing w:before="120" w:after="200" w:line="240" w:lineRule="auto"/>
        <w:jc w:val="left"/>
      </w:pPr>
      <w:r>
        <w:rPr>
          <w:rFonts w:ascii="Century Gothic" w:hAnsi="Century Gothic" w:cs="Century Gothic" w:eastAsia="Century Gothic"/>
          <w:b/>
          <w:i w:val="0"/>
          <w:sz w:val="24"/>
        </w:rPr>
        <w:t>Recomendaciones</w:t>
      </w:r>
    </w:p>
    <w:p>
      <w:pPr>
        <w:numPr>
          <w:ilvl w:val="0"/>
          <w:numId w:val="903"/>
        </w:numPr>
        <w:spacing w:before="0" w:after="160" w:line="240" w:lineRule="auto"/>
        <w:jc w:val="both"/>
      </w:pPr>
      <w:r>
        <w:rPr>
          <w:rFonts w:ascii="Century Gothic" w:hAnsi="Century Gothic" w:cs="Century Gothic" w:eastAsia="Century Gothic"/>
          <w:b w:val="0"/>
          <w:i w:val="0"/>
          <w:sz w:val="20"/>
        </w:rPr>
        <w:t>Adoptar los criterios del Art. 11 como estructura de la evaluación curricular y aprobar la matriz del Cuadro 12.2 con sus indicadores y línea base.</w:t>
      </w:r>
    </w:p>
    <w:p>
      <w:pPr>
        <w:numPr>
          <w:ilvl w:val="0"/>
          <w:numId w:val="903"/>
        </w:numPr>
        <w:spacing w:before="0" w:after="160" w:line="240" w:lineRule="auto"/>
        <w:jc w:val="both"/>
      </w:pPr>
      <w:r>
        <w:rPr>
          <w:rFonts w:ascii="Century Gothic" w:hAnsi="Century Gothic" w:cs="Century Gothic" w:eastAsia="Century Gothic"/>
          <w:b w:val="0"/>
          <w:i w:val="0"/>
          <w:sz w:val="20"/>
        </w:rPr>
        <w:t>Crear la Comisión de Evaluación Curricular con representación de docentes, estudiantes, titulados y empleadores, con personal de apoyo asignado y un informe anual público.</w:t>
      </w:r>
    </w:p>
    <w:p>
      <w:pPr>
        <w:numPr>
          <w:ilvl w:val="0"/>
          <w:numId w:val="903"/>
        </w:numPr>
        <w:spacing w:before="0" w:after="160" w:line="240" w:lineRule="auto"/>
        <w:jc w:val="both"/>
      </w:pPr>
      <w:r>
        <w:rPr>
          <w:rFonts w:ascii="Century Gothic" w:hAnsi="Century Gothic" w:cs="Century Gothic" w:eastAsia="Century Gothic"/>
          <w:b w:val="0"/>
          <w:i w:val="0"/>
          <w:sz w:val="20"/>
        </w:rPr>
        <w:t>Fijar el calendario del Cuadro 12.3: informe anual, evaluación de implementación al segundo año, autoevaluación cada cuatro años, evaluación de resultados con la primera promoción y nueva declaración de necesidad a los siete años.</w:t>
      </w:r>
    </w:p>
    <w:p>
      <w:pPr>
        <w:numPr>
          <w:ilvl w:val="0"/>
          <w:numId w:val="903"/>
        </w:numPr>
        <w:spacing w:before="0" w:after="160" w:line="240" w:lineRule="auto"/>
        <w:jc w:val="both"/>
      </w:pPr>
      <w:r>
        <w:rPr>
          <w:rFonts w:ascii="Century Gothic" w:hAnsi="Century Gothic" w:cs="Century Gothic" w:eastAsia="Century Gothic"/>
          <w:b w:val="0"/>
          <w:i w:val="0"/>
          <w:sz w:val="20"/>
        </w:rPr>
        <w:t>Mantener la metodología del estudio de seguimiento a titulados (Aguirre y Quintanilla, 2022) como procedimiento permanente de la Carrera, con instrumento común, cohortes a uno, tres y cinco años y documentación completa del procedimiento.</w:t>
      </w:r>
    </w:p>
    <w:p>
      <w:pPr>
        <w:numPr>
          <w:ilvl w:val="0"/>
          <w:numId w:val="903"/>
        </w:numPr>
        <w:spacing w:before="0" w:after="160" w:line="240" w:lineRule="auto"/>
        <w:jc w:val="both"/>
      </w:pPr>
      <w:r>
        <w:rPr>
          <w:rFonts w:ascii="Century Gothic" w:hAnsi="Century Gothic" w:cs="Century Gothic" w:eastAsia="Century Gothic"/>
          <w:b w:val="0"/>
          <w:i w:val="0"/>
          <w:sz w:val="20"/>
        </w:rPr>
        <w:t>Aplicar de inmediato el instrumento a los titulados 2020–2025 para contar con línea base antes de poner en marcha el nuevo plan.</w:t>
      </w:r>
    </w:p>
    <w:p>
      <w:pPr>
        <w:numPr>
          <w:ilvl w:val="0"/>
          <w:numId w:val="903"/>
        </w:numPr>
        <w:spacing w:before="0" w:after="160" w:line="240" w:lineRule="auto"/>
        <w:jc w:val="both"/>
      </w:pPr>
      <w:r>
        <w:rPr>
          <w:rFonts w:ascii="Century Gothic" w:hAnsi="Century Gothic" w:cs="Century Gothic" w:eastAsia="Century Gothic"/>
          <w:b w:val="0"/>
          <w:i w:val="0"/>
          <w:sz w:val="20"/>
        </w:rPr>
        <w:t>Incorporar a los empleadores mediante una encuesta bienal y un panel de consulta, y armonizar los instrumentos de la Carrera con la matriz de competencias del estudio Ipsos CIESMORI.</w:t>
      </w:r>
    </w:p>
    <w:p>
      <w:pPr>
        <w:numPr>
          <w:ilvl w:val="0"/>
          <w:numId w:val="903"/>
        </w:numPr>
        <w:spacing w:before="0" w:after="200" w:line="240" w:lineRule="auto"/>
        <w:jc w:val="both"/>
      </w:pPr>
      <w:r>
        <w:rPr>
          <w:rFonts w:ascii="Century Gothic" w:hAnsi="Century Gothic" w:cs="Century Gothic" w:eastAsia="Century Gothic"/>
          <w:b w:val="0"/>
          <w:i w:val="0"/>
          <w:sz w:val="20"/>
        </w:rPr>
        <w:t>Cerrar el ciclo: publicar los resultados, convertirlos en un plan de mejora con responsables y plazos, y proponer que el Reglamento de Evaluación y Acreditación de la UMSA reconozca de forma expresa el seguimiento a titulados.</w:t>
      </w:r>
    </w:p>
    <w:p>
      <w:pPr>
        <w:keepNext/>
        <w:spacing w:before="120" w:after="200" w:line="240" w:lineRule="auto"/>
        <w:jc w:val="left"/>
      </w:pPr>
      <w:r>
        <w:rPr>
          <w:rFonts w:ascii="Century Gothic" w:hAnsi="Century Gothic" w:cs="Century Gothic" w:eastAsia="Century Gothic"/>
          <w:b/>
          <w:i w:val="0"/>
          <w:sz w:val="24"/>
        </w:rPr>
        <w:t>Referencias</w:t>
      </w:r>
    </w:p>
    <w:p>
      <w:pPr>
        <w:spacing w:before="0" w:after="200" w:line="240" w:lineRule="auto"/>
        <w:jc w:val="both"/>
      </w:pPr>
      <w:r>
        <w:rPr>
          <w:rFonts w:ascii="Century Gothic" w:hAnsi="Century Gothic" w:cs="Century Gothic" w:eastAsia="Century Gothic"/>
          <w:b w:val="0"/>
          <w:i w:val="0"/>
          <w:sz w:val="20"/>
        </w:rPr>
        <w:t xml:space="preserve">Aguirre, V. W., y Callisaya, N. D. (2014). </w:t>
      </w:r>
      <w:r>
        <w:rPr>
          <w:rFonts w:ascii="Century Gothic" w:hAnsi="Century Gothic" w:cs="Century Gothic" w:eastAsia="Century Gothic"/>
          <w:b w:val="0"/>
          <w:i/>
          <w:sz w:val="20"/>
        </w:rPr>
        <w:t>Seguimiento a los profesionales titulados de la Carrera de Contaduría Pública de la Universidad Mayor de San Andrés</w:t>
      </w:r>
      <w:r>
        <w:rPr>
          <w:rFonts w:ascii="Century Gothic" w:hAnsi="Century Gothic" w:cs="Century Gothic" w:eastAsia="Century Gothic"/>
          <w:b w:val="0"/>
          <w:i w:val="0"/>
          <w:sz w:val="20"/>
        </w:rPr>
        <w:t>. Universidad Mayor de San Andrés (citado en Aguirre y Quintanilla, 2022).</w:t>
      </w:r>
    </w:p>
    <w:p>
      <w:pPr>
        <w:spacing w:before="0" w:after="200" w:line="240" w:lineRule="auto"/>
        <w:jc w:val="both"/>
      </w:pPr>
      <w:r>
        <w:rPr>
          <w:rFonts w:ascii="Century Gothic" w:hAnsi="Century Gothic" w:cs="Century Gothic" w:eastAsia="Century Gothic"/>
          <w:b w:val="0"/>
          <w:i w:val="0"/>
          <w:sz w:val="20"/>
        </w:rPr>
        <w:t xml:space="preserve">Aguirre, V. W., y Quintanilla, H. J. (2022). Seguimiento a los titulados de la carrera de Contaduría Pública de la Universidad Mayor de San Andrés graduados entre el 2014 y el 2019. </w:t>
      </w:r>
      <w:r>
        <w:rPr>
          <w:rFonts w:ascii="Century Gothic" w:hAnsi="Century Gothic" w:cs="Century Gothic" w:eastAsia="Century Gothic"/>
          <w:b w:val="0"/>
          <w:i/>
          <w:sz w:val="20"/>
        </w:rPr>
        <w:t>Educación Superior. Revista Científica, 9</w:t>
      </w:r>
      <w:r>
        <w:rPr>
          <w:rFonts w:ascii="Century Gothic" w:hAnsi="Century Gothic" w:cs="Century Gothic" w:eastAsia="Century Gothic"/>
          <w:b w:val="0"/>
          <w:i w:val="0"/>
          <w:sz w:val="20"/>
        </w:rPr>
        <w:t>(2), 11–24. Centro Psicopedagógico y de Investigación en Educación Superior, UMSA. ISSN 2518-8283.</w:t>
      </w:r>
    </w:p>
    <w:p>
      <w:pPr>
        <w:spacing w:before="0" w:after="200" w:line="240" w:lineRule="auto"/>
        <w:jc w:val="both"/>
      </w:pPr>
      <w:r>
        <w:rPr>
          <w:rFonts w:ascii="Century Gothic" w:hAnsi="Century Gothic" w:cs="Century Gothic" w:eastAsia="Century Gothic"/>
          <w:b w:val="0"/>
          <w:i w:val="0"/>
          <w:sz w:val="20"/>
        </w:rPr>
        <w:t xml:space="preserve">Carrera de Contaduría Pública, UMSA. (2026a). </w:t>
      </w:r>
      <w:r>
        <w:rPr>
          <w:rFonts w:ascii="Century Gothic" w:hAnsi="Century Gothic" w:cs="Century Gothic" w:eastAsia="Century Gothic"/>
          <w:b w:val="0"/>
          <w:i/>
          <w:sz w:val="20"/>
        </w:rPr>
        <w:t>Diagnóstico Plan de Estudios 2013, Licenciatura en Contaduría Pública</w:t>
      </w:r>
      <w:r>
        <w:rPr>
          <w:rFonts w:ascii="Century Gothic" w:hAnsi="Century Gothic" w:cs="Century Gothic" w:eastAsia="Century Gothic"/>
          <w:b w:val="0"/>
          <w:i w:val="0"/>
          <w:sz w:val="20"/>
        </w:rPr>
        <w:t xml:space="preserve"> (en cumplimiento de la Resolución HCU 032/2025). Universidad Mayor de San Andrés.</w:t>
      </w:r>
    </w:p>
    <w:p>
      <w:pPr>
        <w:spacing w:before="0" w:after="200" w:line="240" w:lineRule="auto"/>
        <w:jc w:val="both"/>
      </w:pPr>
      <w:r>
        <w:rPr>
          <w:rFonts w:ascii="Century Gothic" w:hAnsi="Century Gothic" w:cs="Century Gothic" w:eastAsia="Century Gothic"/>
          <w:b w:val="0"/>
          <w:i w:val="0"/>
          <w:sz w:val="20"/>
        </w:rPr>
        <w:t xml:space="preserve">Carrera de Contaduría Pública, UMSA. (2026b). </w:t>
      </w:r>
      <w:r>
        <w:rPr>
          <w:rFonts w:ascii="Century Gothic" w:hAnsi="Century Gothic" w:cs="Century Gothic" w:eastAsia="Century Gothic"/>
          <w:b w:val="0"/>
          <w:i/>
          <w:sz w:val="20"/>
        </w:rPr>
        <w:t>Diseño curricular: visión, misión, objetivos y perfil profesional</w:t>
      </w:r>
      <w:r>
        <w:rPr>
          <w:rFonts w:ascii="Century Gothic" w:hAnsi="Century Gothic" w:cs="Century Gothic" w:eastAsia="Century Gothic"/>
          <w:b w:val="0"/>
          <w:i w:val="0"/>
          <w:sz w:val="20"/>
        </w:rPr>
        <w:t>. Universidad Mayor de San Andrés.</w:t>
      </w:r>
    </w:p>
    <w:p>
      <w:pPr>
        <w:spacing w:before="0" w:after="200" w:line="240" w:lineRule="auto"/>
        <w:jc w:val="both"/>
      </w:pPr>
      <w:r>
        <w:rPr>
          <w:rFonts w:ascii="Century Gothic" w:hAnsi="Century Gothic" w:cs="Century Gothic" w:eastAsia="Century Gothic"/>
          <w:b w:val="0"/>
          <w:i w:val="0"/>
          <w:sz w:val="20"/>
        </w:rPr>
        <w:t xml:space="preserve">Comité Ejecutivo de la Universidad Boliviana [CEUB]. (2019). </w:t>
      </w:r>
      <w:r>
        <w:rPr>
          <w:rFonts w:ascii="Century Gothic" w:hAnsi="Century Gothic" w:cs="Century Gothic" w:eastAsia="Century Gothic"/>
          <w:b w:val="0"/>
          <w:i/>
          <w:sz w:val="20"/>
        </w:rPr>
        <w:t>Reglamento de evaluación y acreditación</w:t>
      </w:r>
      <w:r>
        <w:rPr>
          <w:rFonts w:ascii="Century Gothic" w:hAnsi="Century Gothic" w:cs="Century Gothic" w:eastAsia="Century Gothic"/>
          <w:b w:val="0"/>
          <w:i w:val="0"/>
          <w:sz w:val="20"/>
        </w:rPr>
        <w:t xml:space="preserve"> (citado en Aguirre y Quintanilla, 2022).</w:t>
      </w:r>
    </w:p>
    <w:p>
      <w:pPr>
        <w:spacing w:before="0" w:after="200" w:line="240" w:lineRule="auto"/>
        <w:jc w:val="both"/>
      </w:pPr>
      <w:r>
        <w:rPr>
          <w:rFonts w:ascii="Century Gothic" w:hAnsi="Century Gothic" w:cs="Century Gothic" w:eastAsia="Century Gothic"/>
          <w:b w:val="0"/>
          <w:i w:val="0"/>
          <w:sz w:val="20"/>
        </w:rPr>
        <w:t xml:space="preserve">Instituto Politécnico Nacional [IPN]. (s. f.). </w:t>
      </w:r>
      <w:r>
        <w:rPr>
          <w:rFonts w:ascii="Century Gothic" w:hAnsi="Century Gothic" w:cs="Century Gothic" w:eastAsia="Century Gothic"/>
          <w:b w:val="0"/>
          <w:i/>
          <w:sz w:val="20"/>
        </w:rPr>
        <w:t>Metodología de la encuesta de egresados</w:t>
      </w:r>
      <w:r>
        <w:rPr>
          <w:rFonts w:ascii="Century Gothic" w:hAnsi="Century Gothic" w:cs="Century Gothic" w:eastAsia="Century Gothic"/>
          <w:b w:val="0"/>
          <w:i w:val="0"/>
          <w:sz w:val="20"/>
        </w:rPr>
        <w:t xml:space="preserve"> (cita ANUIES, 1998, </w:t>
      </w:r>
      <w:r>
        <w:rPr>
          <w:rFonts w:ascii="Century Gothic" w:hAnsi="Century Gothic" w:cs="Century Gothic" w:eastAsia="Century Gothic"/>
          <w:b w:val="0"/>
          <w:i/>
          <w:sz w:val="20"/>
        </w:rPr>
        <w:t>Esquema básico para estudios de egresados</w:t>
      </w:r>
      <w:r>
        <w:rPr>
          <w:rFonts w:ascii="Century Gothic" w:hAnsi="Century Gothic" w:cs="Century Gothic" w:eastAsia="Century Gothic"/>
          <w:b w:val="0"/>
          <w:i w:val="0"/>
          <w:sz w:val="20"/>
        </w:rPr>
        <w:t>). https://www.repositoriodigital.ipn.mx/bitstream/123456789/7020/1/metodologia</w:t>
      </w:r>
      <w:r>
        <w:rPr>
          <w:rFonts w:ascii="Century Gothic" w:hAnsi="Century Gothic" w:cs="Century Gothic" w:eastAsia="Century Gothic"/>
          <w:b w:val="0"/>
          <w:i/>
          <w:sz w:val="20"/>
        </w:rPr>
        <w:t>enc</w:t>
      </w:r>
      <w:r>
        <w:rPr>
          <w:rFonts w:ascii="Century Gothic" w:hAnsi="Century Gothic" w:cs="Century Gothic" w:eastAsia="Century Gothic"/>
          <w:b w:val="0"/>
          <w:i w:val="0"/>
          <w:sz w:val="20"/>
        </w:rPr>
        <w:t>egresados.pdf</w:t>
      </w:r>
    </w:p>
    <w:p>
      <w:pPr>
        <w:spacing w:before="0" w:after="200" w:line="240" w:lineRule="auto"/>
        <w:jc w:val="both"/>
      </w:pPr>
      <w:r>
        <w:rPr>
          <w:rFonts w:ascii="Century Gothic" w:hAnsi="Century Gothic" w:cs="Century Gothic" w:eastAsia="Century Gothic"/>
          <w:b w:val="0"/>
          <w:i w:val="0"/>
          <w:sz w:val="20"/>
        </w:rPr>
        <w:t xml:space="preserve">International Federation of Accountants [IFAC]. (2019). </w:t>
      </w:r>
      <w:r>
        <w:rPr>
          <w:rFonts w:ascii="Century Gothic" w:hAnsi="Century Gothic" w:cs="Century Gothic" w:eastAsia="Century Gothic"/>
          <w:b w:val="0"/>
          <w:i/>
          <w:sz w:val="20"/>
        </w:rPr>
        <w:t>Handbook of International Education Standards</w:t>
      </w:r>
      <w:r>
        <w:rPr>
          <w:rFonts w:ascii="Century Gothic" w:hAnsi="Century Gothic" w:cs="Century Gothic" w:eastAsia="Century Gothic"/>
          <w:b w:val="0"/>
          <w:i w:val="0"/>
          <w:sz w:val="20"/>
        </w:rPr>
        <w:t>. https://www.ifac.org/system/files/publications/files/Handbook-of-International-Education-Standards-2019.pdf</w:t>
      </w:r>
    </w:p>
    <w:p>
      <w:pPr>
        <w:spacing w:before="0" w:after="200" w:line="240" w:lineRule="auto"/>
        <w:jc w:val="both"/>
      </w:pPr>
      <w:r>
        <w:rPr>
          <w:rFonts w:ascii="Century Gothic" w:hAnsi="Century Gothic" w:cs="Century Gothic" w:eastAsia="Century Gothic"/>
          <w:b w:val="0"/>
          <w:i w:val="0"/>
          <w:sz w:val="20"/>
        </w:rPr>
        <w:t xml:space="preserve">Ipsos CIESMORI. (2025, diciembre). </w:t>
      </w:r>
      <w:r>
        <w:rPr>
          <w:rFonts w:ascii="Century Gothic" w:hAnsi="Century Gothic" w:cs="Century Gothic" w:eastAsia="Century Gothic"/>
          <w:b w:val="0"/>
          <w:i/>
          <w:sz w:val="20"/>
        </w:rPr>
        <w:t>Futuro laboral: análisis de la demanda del mercado laboral y reformulación curricular. Estudio cuantitativo, Facultad de Ciencias Económicas y Financieras</w:t>
      </w:r>
      <w:r>
        <w:rPr>
          <w:rFonts w:ascii="Century Gothic" w:hAnsi="Century Gothic" w:cs="Century Gothic" w:eastAsia="Century Gothic"/>
          <w:b w:val="0"/>
          <w:i w:val="0"/>
          <w:sz w:val="20"/>
        </w:rPr>
        <w:t>. Preparado para la Universidad Mayor de San Andrés.</w:t>
      </w:r>
    </w:p>
    <w:p>
      <w:pPr>
        <w:spacing w:before="0" w:after="200" w:line="240" w:lineRule="auto"/>
        <w:jc w:val="both"/>
      </w:pPr>
      <w:r>
        <w:rPr>
          <w:rFonts w:ascii="Century Gothic" w:hAnsi="Century Gothic" w:cs="Century Gothic" w:eastAsia="Century Gothic"/>
          <w:b w:val="0"/>
          <w:i w:val="0"/>
          <w:sz w:val="20"/>
        </w:rPr>
        <w:t xml:space="preserve">MERCOSUR. (2008). </w:t>
      </w:r>
      <w:r>
        <w:rPr>
          <w:rFonts w:ascii="Century Gothic" w:hAnsi="Century Gothic" w:cs="Century Gothic" w:eastAsia="Century Gothic"/>
          <w:b w:val="0"/>
          <w:i/>
          <w:sz w:val="20"/>
        </w:rPr>
        <w:t>Acuerdo sobre la creación e implementación de un sistema de acreditación de carreras universitarias para el reconocimiento regional de la calidad académica</w:t>
      </w:r>
      <w:r>
        <w:rPr>
          <w:rFonts w:ascii="Century Gothic" w:hAnsi="Century Gothic" w:cs="Century Gothic" w:eastAsia="Century Gothic"/>
          <w:b w:val="0"/>
          <w:i w:val="0"/>
          <w:sz w:val="20"/>
        </w:rPr>
        <w:t xml:space="preserve"> (San Miguel de Tucumán, 30 de junio de 2008); ratificado por Bolivia mediante la Ley 842 (12 de octubre de 2016). https://www.lexivox.org//norms/INT-ACU-MERCOSUR20080630.html</w:t>
      </w:r>
    </w:p>
    <w:p>
      <w:pPr>
        <w:spacing w:before="0" w:after="200" w:line="240" w:lineRule="auto"/>
        <w:jc w:val="both"/>
      </w:pPr>
      <w:r>
        <w:rPr>
          <w:rFonts w:ascii="Century Gothic" w:hAnsi="Century Gothic" w:cs="Century Gothic" w:eastAsia="Century Gothic"/>
          <w:b w:val="0"/>
          <w:i w:val="0"/>
          <w:sz w:val="20"/>
        </w:rPr>
        <w:t xml:space="preserve">Schomburg, H. (2017, 23 de mayo). </w:t>
      </w:r>
      <w:r>
        <w:rPr>
          <w:rFonts w:ascii="Century Gothic" w:hAnsi="Century Gothic" w:cs="Century Gothic" w:eastAsia="Century Gothic"/>
          <w:b w:val="0"/>
          <w:i/>
          <w:sz w:val="20"/>
        </w:rPr>
        <w:t>Key issues and international experiences of tracer studies</w:t>
      </w:r>
      <w:r>
        <w:rPr>
          <w:rFonts w:ascii="Century Gothic" w:hAnsi="Century Gothic" w:cs="Century Gothic" w:eastAsia="Century Gothic"/>
          <w:b w:val="0"/>
          <w:i w:val="0"/>
          <w:sz w:val="20"/>
        </w:rPr>
        <w:t xml:space="preserve"> [Presentación]. Specialised Summit, Teherán. https://irphe.ac.ir/files/irantrace/files/Workshop/schomburg</w:t>
      </w:r>
      <w:r>
        <w:rPr>
          <w:rFonts w:ascii="Century Gothic" w:hAnsi="Century Gothic" w:cs="Century Gothic" w:eastAsia="Century Gothic"/>
          <w:b w:val="0"/>
          <w:i/>
          <w:sz w:val="20"/>
        </w:rPr>
        <w:t>keynote</w:t>
      </w:r>
      <w:r>
        <w:rPr>
          <w:rFonts w:ascii="Century Gothic" w:hAnsi="Century Gothic" w:cs="Century Gothic" w:eastAsia="Century Gothic"/>
          <w:b w:val="0"/>
          <w:i w:val="0"/>
          <w:sz w:val="20"/>
        </w:rPr>
        <w:t>tracer</w:t>
      </w:r>
      <w:r>
        <w:rPr>
          <w:rFonts w:ascii="Century Gothic" w:hAnsi="Century Gothic" w:cs="Century Gothic" w:eastAsia="Century Gothic"/>
          <w:b w:val="0"/>
          <w:i/>
          <w:sz w:val="20"/>
        </w:rPr>
        <w:t>studies</w:t>
      </w:r>
      <w:r>
        <w:rPr>
          <w:rFonts w:ascii="Century Gothic" w:hAnsi="Century Gothic" w:cs="Century Gothic" w:eastAsia="Century Gothic"/>
          <w:b w:val="0"/>
          <w:i w:val="0"/>
          <w:sz w:val="20"/>
        </w:rPr>
        <w:t>worldwide.pdf</w:t>
      </w:r>
    </w:p>
    <w:p>
      <w:pPr>
        <w:spacing w:before="0" w:after="200" w:line="240" w:lineRule="auto"/>
        <w:jc w:val="both"/>
      </w:pPr>
      <w:r>
        <w:rPr>
          <w:rFonts w:ascii="Century Gothic" w:hAnsi="Century Gothic" w:cs="Century Gothic" w:eastAsia="Century Gothic"/>
          <w:b w:val="0"/>
          <w:i w:val="0"/>
          <w:sz w:val="20"/>
        </w:rPr>
        <w:t xml:space="preserve">Stufflebeam, D. L., y Zhang, G. (2017). </w:t>
      </w:r>
      <w:r>
        <w:rPr>
          <w:rFonts w:ascii="Century Gothic" w:hAnsi="Century Gothic" w:cs="Century Gothic" w:eastAsia="Century Gothic"/>
          <w:b w:val="0"/>
          <w:i/>
          <w:sz w:val="20"/>
        </w:rPr>
        <w:t>The CIPP evaluation model: How to evaluate for improvement and accountability</w:t>
      </w:r>
      <w:r>
        <w:rPr>
          <w:rFonts w:ascii="Century Gothic" w:hAnsi="Century Gothic" w:cs="Century Gothic" w:eastAsia="Century Gothic"/>
          <w:b w:val="0"/>
          <w:i w:val="0"/>
          <w:sz w:val="20"/>
        </w:rPr>
        <w:t>. The Guilford Press. https://www.guilford.com/books/The-CIPP-Evaluation-Model/Stufflebeam-Zhang/9781462529230</w:t>
      </w:r>
    </w:p>
    <w:p>
      <w:pPr>
        <w:spacing w:before="0" w:after="200" w:line="240" w:lineRule="auto"/>
        <w:jc w:val="both"/>
      </w:pPr>
      <w:r>
        <w:rPr>
          <w:rFonts w:ascii="Century Gothic" w:hAnsi="Century Gothic" w:cs="Century Gothic" w:eastAsia="Century Gothic"/>
          <w:b w:val="0"/>
          <w:i w:val="0"/>
          <w:sz w:val="20"/>
        </w:rPr>
        <w:t xml:space="preserve">Teichler, U. (2003). Aspectos metodológicos de las encuestas a graduados universitarios. En J. Vidal García (Ed.), </w:t>
      </w:r>
      <w:r>
        <w:rPr>
          <w:rFonts w:ascii="Century Gothic" w:hAnsi="Century Gothic" w:cs="Century Gothic" w:eastAsia="Century Gothic"/>
          <w:b w:val="0"/>
          <w:i/>
          <w:sz w:val="20"/>
        </w:rPr>
        <w:t>Métodos de análisis de la inserción laboral de los universitarios</w:t>
      </w:r>
      <w:r>
        <w:rPr>
          <w:rFonts w:ascii="Century Gothic" w:hAnsi="Century Gothic" w:cs="Century Gothic" w:eastAsia="Century Gothic"/>
          <w:b w:val="0"/>
          <w:i w:val="0"/>
          <w:sz w:val="20"/>
        </w:rPr>
        <w:t xml:space="preserve"> (pp. 15–30). Consejo de Coordinación Universitaria (citado en Aguirre y Quintanilla, 2022).</w:t>
      </w:r>
    </w:p>
    <w:p>
      <w:pPr>
        <w:spacing w:before="0" w:after="200" w:line="240" w:lineRule="auto"/>
        <w:jc w:val="both"/>
      </w:pPr>
      <w:r>
        <w:rPr>
          <w:rFonts w:ascii="Century Gothic" w:hAnsi="Century Gothic" w:cs="Century Gothic" w:eastAsia="Century Gothic"/>
          <w:b w:val="0"/>
          <w:i w:val="0"/>
          <w:sz w:val="20"/>
        </w:rPr>
        <w:t xml:space="preserve">Universidad Mayor de San Andrés [UMSA]. (2025a). </w:t>
      </w:r>
      <w:r>
        <w:rPr>
          <w:rFonts w:ascii="Century Gothic" w:hAnsi="Century Gothic" w:cs="Century Gothic" w:eastAsia="Century Gothic"/>
          <w:b w:val="0"/>
          <w:i/>
          <w:sz w:val="20"/>
        </w:rPr>
        <w:t>Reglamento de Innovación Curricular</w:t>
      </w:r>
      <w:r>
        <w:rPr>
          <w:rFonts w:ascii="Century Gothic" w:hAnsi="Century Gothic" w:cs="Century Gothic" w:eastAsia="Century Gothic"/>
          <w:b w:val="0"/>
          <w:i w:val="0"/>
          <w:sz w:val="20"/>
        </w:rPr>
        <w:t xml:space="preserve"> (Resolución HCU 032/2025, 12 de febrero de 2025) (citado en Carrera de Contaduría Pública, 2026a).</w:t>
      </w:r>
    </w:p>
    <w:p>
      <w:pPr>
        <w:spacing w:before="0" w:after="200" w:line="240" w:lineRule="auto"/>
        <w:jc w:val="both"/>
      </w:pPr>
      <w:r>
        <w:rPr>
          <w:rFonts w:ascii="Century Gothic" w:hAnsi="Century Gothic" w:cs="Century Gothic" w:eastAsia="Century Gothic"/>
          <w:b w:val="0"/>
          <w:i w:val="0"/>
          <w:sz w:val="20"/>
        </w:rPr>
        <w:t xml:space="preserve">Universidad Mayor de San Andrés [UMSA]. (2025b). </w:t>
      </w:r>
      <w:r>
        <w:rPr>
          <w:rFonts w:ascii="Century Gothic" w:hAnsi="Century Gothic" w:cs="Century Gothic" w:eastAsia="Century Gothic"/>
          <w:b w:val="0"/>
          <w:i/>
          <w:sz w:val="20"/>
        </w:rPr>
        <w:t>Reglamento de Evaluación y Acreditación Institucional y de Carreras y Programas de la Universidad Mayor de San Andrés</w:t>
      </w:r>
      <w:r>
        <w:rPr>
          <w:rFonts w:ascii="Century Gothic" w:hAnsi="Century Gothic" w:cs="Century Gothic" w:eastAsia="Century Gothic"/>
          <w:b w:val="0"/>
          <w:i w:val="0"/>
          <w:sz w:val="20"/>
        </w:rPr>
        <w:t>. https://umsa.bo/documents/10824227/10834998/REGLAMENTO+EVALUACION+Y+ACREDITACION+UMSA.pdf/65c834ff-3721-4278-b980-b5f221da1ed0</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2"/>
    <w:lvlOverride w:ilvl="0">
      <w:startOverride w:val="1"/>
    </w:lvlOverride>
  </w:num>
  <w:num w:numId="903">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