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240" w:lineRule="auto"/>
        <w:jc w:val="center"/>
      </w:pPr>
      <w:r>
        <w:rPr>
          <w:rFonts w:ascii="Century Gothic" w:hAnsi="Century Gothic" w:cs="Century Gothic" w:eastAsia="Century Gothic"/>
          <w:b/>
          <w:i w:val="0"/>
          <w:sz w:val="28"/>
        </w:rPr>
        <w:t>Diseño Curricular</w:t>
      </w:r>
    </w:p>
    <w:p>
      <w:pPr>
        <w:spacing w:before="0" w:after="360" w:line="240" w:lineRule="auto"/>
        <w:jc w:val="center"/>
      </w:pPr>
      <w:r>
        <w:rPr>
          <w:rFonts w:ascii="Century Gothic" w:hAnsi="Century Gothic" w:cs="Century Gothic" w:eastAsia="Century Gothic"/>
          <w:b/>
          <w:i w:val="0"/>
          <w:sz w:val="28"/>
        </w:rPr>
        <w:t>Justificación de la Innovación Curricular</w:t>
      </w:r>
    </w:p>
    <w:p>
      <w:pPr>
        <w:keepNext/>
        <w:tabs>
          <w:tab w:pos="709" w:val="left"/>
        </w:tabs>
        <w:spacing w:before="160" w:after="200" w:line="240" w:lineRule="auto"/>
        <w:ind w:left="709" w:hanging="709"/>
        <w:jc w:val="left"/>
      </w:pPr>
      <w:r>
        <w:rPr>
          <w:rFonts w:ascii="Century Gothic" w:hAnsi="Century Gothic" w:cs="Century Gothic" w:eastAsia="Century Gothic"/>
          <w:b/>
          <w:i w:val="0"/>
          <w:sz w:val="24"/>
        </w:rPr>
        <w:t>3.</w:t>
        <w:tab/>
      </w:r>
      <w:r>
        <w:rPr>
          <w:rFonts w:ascii="Century Gothic" w:hAnsi="Century Gothic" w:cs="Century Gothic" w:eastAsia="Century Gothic"/>
          <w:b/>
          <w:i w:val="0"/>
          <w:sz w:val="24"/>
        </w:rPr>
        <w:t>Justificación de la innovación curricular</w:t>
      </w:r>
    </w:p>
    <w:p>
      <w:pPr>
        <w:spacing w:before="0" w:after="200" w:line="240" w:lineRule="auto"/>
        <w:jc w:val="both"/>
      </w:pPr>
      <w:r>
        <w:rPr>
          <w:rFonts w:ascii="Century Gothic" w:hAnsi="Century Gothic" w:cs="Century Gothic" w:eastAsia="Century Gothic"/>
          <w:b w:val="0"/>
          <w:i w:val="0"/>
          <w:sz w:val="20"/>
        </w:rPr>
        <w:t xml:space="preserve">El presente punto responde al numeral 3 del Artículo 8 del </w:t>
      </w:r>
      <w:r>
        <w:rPr>
          <w:rFonts w:ascii="Century Gothic" w:hAnsi="Century Gothic" w:cs="Century Gothic" w:eastAsia="Century Gothic"/>
          <w:b w:val="0"/>
          <w:i/>
          <w:sz w:val="20"/>
        </w:rPr>
        <w:t>Reglamento de Innovación Curricular de la UMSA</w:t>
      </w:r>
      <w:r>
        <w:rPr>
          <w:rFonts w:ascii="Century Gothic" w:hAnsi="Century Gothic" w:cs="Century Gothic" w:eastAsia="Century Gothic"/>
          <w:b w:val="0"/>
          <w:i w:val="0"/>
          <w:sz w:val="20"/>
        </w:rPr>
        <w:t xml:space="preserve"> (Resolución HCU N° 032/2025) y a los criterios del Artículo 12, que exigen describir los planes anteriores y sus resultados, diagnosticar políticas, normas, contexto y mercado laboral, identificar las áreas laborales y analizar la oferta similar nacional e internacional. El mismo artículo establece que la justificación </w:t>
      </w:r>
      <w:r>
        <w:rPr>
          <w:rFonts w:ascii="Century Gothic" w:hAnsi="Century Gothic" w:cs="Century Gothic" w:eastAsia="Century Gothic"/>
          <w:b/>
          <w:i w:val="0"/>
          <w:sz w:val="20"/>
        </w:rPr>
        <w:t>«es vinculante con la definición de la misión, del perfil profesional, las competencias y los contenidos»</w:t>
      </w:r>
      <w:r>
        <w:rPr>
          <w:rFonts w:ascii="Century Gothic" w:hAnsi="Century Gothic" w:cs="Century Gothic" w:eastAsia="Century Gothic"/>
          <w:b w:val="0"/>
          <w:i w:val="0"/>
          <w:sz w:val="20"/>
        </w:rPr>
        <w:t>; por ello, cada subpunto cierra con las necesidades de formación que de él se derivan.</w:t>
      </w:r>
    </w:p>
    <w:p>
      <w:pPr>
        <w:spacing w:before="0" w:after="200" w:line="240" w:lineRule="auto"/>
        <w:jc w:val="both"/>
      </w:pPr>
      <w:r>
        <w:rPr>
          <w:rFonts w:ascii="Century Gothic" w:hAnsi="Century Gothic" w:cs="Century Gothic" w:eastAsia="Century Gothic"/>
          <w:b/>
          <w:i w:val="0"/>
          <w:sz w:val="20"/>
        </w:rPr>
        <w:t>Conclusión anticipada.</w:t>
      </w:r>
      <w:r>
        <w:rPr>
          <w:rFonts w:ascii="Century Gothic" w:hAnsi="Century Gothic" w:cs="Century Gothic" w:eastAsia="Century Gothic"/>
          <w:b w:val="0"/>
          <w:i w:val="0"/>
          <w:sz w:val="20"/>
        </w:rPr>
        <w:t xml:space="preserve"> La evidencia de los cinco subpuntos converge en una misma decisión: el Plan de Estudios 2013 debe ser objeto de </w:t>
      </w:r>
      <w:r>
        <w:rPr>
          <w:rFonts w:ascii="Century Gothic" w:hAnsi="Century Gothic" w:cs="Century Gothic" w:eastAsia="Century Gothic"/>
          <w:b/>
          <w:i w:val="0"/>
          <w:sz w:val="20"/>
        </w:rPr>
        <w:t>rediseño curricular</w:t>
      </w:r>
      <w:r>
        <w:rPr>
          <w:rFonts w:ascii="Century Gothic" w:hAnsi="Century Gothic" w:cs="Century Gothic" w:eastAsia="Century Gothic"/>
          <w:b w:val="0"/>
          <w:i w:val="0"/>
          <w:sz w:val="20"/>
        </w:rPr>
        <w:t xml:space="preserve"> (Art. 5, Res. HCU 032/2025), y no de ajuste, por cinco razones concurrentes: (1) su vigencia de trece años supera el plazo obligatorio de siete años de la UMSA y de diez años del Sistema de la Universidad Boliviana; (2) la adopción del perfil de Contador Público Autorizado modifica el perfil de egreso, lo que el Art. 6 excluye del nivel de ajuste; (3) normas obligatorias posteriores a 2013 —en particular las NIIF de Sostenibilidad, exigibles en Bolivia desde el 1 de enero de 2027— no tienen correlato en la malla; (4) los egresados se insertan, pero en un techo técnico-operativo y con su mayor carencia en competencias tecnológicas; y (5) el enfoque por competencias, con prácticas preprofesionales y evaluación por evidencias, exige una nueva estructura curricular.</w:t>
      </w:r>
    </w:p>
    <w:p>
      <w:pPr>
        <w:keepNext/>
        <w:tabs>
          <w:tab w:pos="709" w:val="left"/>
        </w:tabs>
        <w:spacing w:before="120" w:after="200" w:line="240" w:lineRule="auto"/>
        <w:ind w:left="709" w:hanging="709"/>
        <w:jc w:val="left"/>
      </w:pPr>
      <w:r>
        <w:rPr>
          <w:rFonts w:ascii="Century Gothic" w:hAnsi="Century Gothic" w:cs="Century Gothic" w:eastAsia="Century Gothic"/>
          <w:b/>
          <w:i w:val="0"/>
          <w:sz w:val="24"/>
        </w:rPr>
        <w:t>3.1</w:t>
        <w:tab/>
      </w:r>
      <w:r>
        <w:rPr>
          <w:rFonts w:ascii="Century Gothic" w:hAnsi="Century Gothic" w:cs="Century Gothic" w:eastAsia="Century Gothic"/>
          <w:b/>
          <w:i w:val="0"/>
          <w:sz w:val="24"/>
        </w:rPr>
        <w:t>Análisis de resultados obtenidos con anteriores planes de estudio</w:t>
      </w:r>
    </w:p>
    <w:p>
      <w:pPr>
        <w:keepNext/>
        <w:spacing w:before="40" w:after="200" w:line="240" w:lineRule="auto"/>
        <w:jc w:val="left"/>
      </w:pPr>
      <w:r>
        <w:rPr>
          <w:rFonts w:ascii="Century Gothic" w:hAnsi="Century Gothic" w:cs="Century Gothic" w:eastAsia="Century Gothic"/>
          <w:b/>
          <w:i w:val="0"/>
          <w:sz w:val="22"/>
        </w:rPr>
        <w:t>a) El plan vigente</w:t>
      </w:r>
    </w:p>
    <w:p>
      <w:pPr>
        <w:spacing w:before="0" w:after="200" w:line="240" w:lineRule="auto"/>
        <w:jc w:val="both"/>
      </w:pPr>
      <w:r>
        <w:rPr>
          <w:rFonts w:ascii="Century Gothic" w:hAnsi="Century Gothic" w:cs="Century Gothic" w:eastAsia="Century Gothic"/>
          <w:b w:val="0"/>
          <w:i w:val="0"/>
          <w:sz w:val="20"/>
        </w:rPr>
        <w:t xml:space="preserve">El Plan de Estudios 2013 fue aprobado por el Primer Congreso Académico de la Carrera (Res. N° 19/2012) y por las Resoluciones HCC N° 162/2012, HCF N° 929/2012 y </w:t>
      </w:r>
      <w:r>
        <w:rPr>
          <w:rFonts w:ascii="Century Gothic" w:hAnsi="Century Gothic" w:cs="Century Gothic" w:eastAsia="Century Gothic"/>
          <w:b/>
          <w:i w:val="0"/>
          <w:sz w:val="20"/>
        </w:rPr>
        <w:t>HCU N° 025/2013</w:t>
      </w:r>
      <w:r>
        <w:rPr>
          <w:rFonts w:ascii="Century Gothic" w:hAnsi="Century Gothic" w:cs="Century Gothic" w:eastAsia="Century Gothic"/>
          <w:b w:val="0"/>
          <w:i w:val="0"/>
          <w:sz w:val="20"/>
        </w:rPr>
        <w:t xml:space="preserve">, y rige desde febrero de 2013. Comprende cinco años, </w:t>
      </w:r>
      <w:r>
        <w:rPr>
          <w:rFonts w:ascii="Century Gothic" w:hAnsi="Century Gothic" w:cs="Century Gothic" w:eastAsia="Century Gothic"/>
          <w:b/>
          <w:i w:val="0"/>
          <w:sz w:val="20"/>
        </w:rPr>
        <w:t>43 asignaturas</w:t>
      </w:r>
      <w:r>
        <w:rPr>
          <w:rFonts w:ascii="Century Gothic" w:hAnsi="Century Gothic" w:cs="Century Gothic" w:eastAsia="Century Gothic"/>
          <w:b w:val="0"/>
          <w:i w:val="0"/>
          <w:sz w:val="20"/>
        </w:rPr>
        <w:t xml:space="preserve"> —29 troncales (67,44 %) de Información Financiera y de Servicios de Atestación y no Atestación, y 14 contextuales (32,56 %) de Administración, Derecho, Economía y Matemáticas— y </w:t>
      </w:r>
      <w:r>
        <w:rPr>
          <w:rFonts w:ascii="Century Gothic" w:hAnsi="Century Gothic" w:cs="Century Gothic" w:eastAsia="Century Gothic"/>
          <w:b/>
          <w:i w:val="0"/>
          <w:sz w:val="20"/>
        </w:rPr>
        <w:t>6.000 horas académicas</w:t>
      </w:r>
      <w:r>
        <w:rPr>
          <w:rFonts w:ascii="Century Gothic" w:hAnsi="Century Gothic" w:cs="Century Gothic" w:eastAsia="Century Gothic"/>
          <w:b w:val="0"/>
          <w:i w:val="0"/>
          <w:sz w:val="20"/>
        </w:rPr>
        <w:t xml:space="preserve">, que es el máximo fijado por el Art. 28 del Reglamento General de Títulos y Grados del SUB. En consecuencia, </w:t>
      </w:r>
      <w:r>
        <w:rPr>
          <w:rFonts w:ascii="Century Gothic" w:hAnsi="Century Gothic" w:cs="Century Gothic" w:eastAsia="Century Gothic"/>
          <w:b/>
          <w:i w:val="0"/>
          <w:sz w:val="20"/>
        </w:rPr>
        <w:t>toda incorporación de contenidos exige redistribuir carga, no aumentarla</w:t>
      </w:r>
      <w:r>
        <w:rPr>
          <w:rFonts w:ascii="Century Gothic" w:hAnsi="Century Gothic" w:cs="Century Gothic" w:eastAsia="Century Gothic"/>
          <w:b w:val="0"/>
          <w:i w:val="0"/>
          <w:sz w:val="20"/>
        </w:rPr>
        <w:t>, operación propia del rediseño.</w:t>
      </w:r>
    </w:p>
    <w:p>
      <w:pPr>
        <w:spacing w:before="0" w:after="200" w:line="240" w:lineRule="auto"/>
        <w:jc w:val="both"/>
      </w:pPr>
      <w:r>
        <w:rPr>
          <w:rFonts w:ascii="Century Gothic" w:hAnsi="Century Gothic" w:cs="Century Gothic" w:eastAsia="Century Gothic"/>
          <w:b/>
          <w:i w:val="0"/>
          <w:sz w:val="20"/>
        </w:rPr>
        <w:t>Cuadro 1. Trayectoria de aprobación del Plan de Estudios 2013</w:t>
      </w:r>
    </w:p>
    <w:tbl>
      <w:tblPr>
        <w:tblW w:type="auto" w:w="0"/>
        <w:jc w:val="center"/>
        <w:tblLayout w:type="fixed"/>
        <w:tblLook w:firstColumn="1" w:firstRow="1" w:lastColumn="0" w:lastRow="0" w:noHBand="0" w:noVBand="1" w:val="04A0"/>
      </w:tblPr>
      <w:tblGrid>
        <w:gridCol w:w="3946"/>
        <w:gridCol w:w="2095"/>
        <w:gridCol w:w="3030"/>
      </w:tblGrid>
      <w:tr>
        <w:trPr>
          <w:tblHeader/>
        </w:trPr>
        <w:tc>
          <w:tcPr>
            <w:tcW w:type="dxa" w:w="3946"/>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20"/>
              </w:rPr>
              <w:t>Instancia</w:t>
            </w:r>
          </w:p>
        </w:tc>
        <w:tc>
          <w:tcPr>
            <w:tcW w:type="dxa" w:w="2095"/>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20"/>
              </w:rPr>
              <w:t>Resolución</w:t>
            </w:r>
          </w:p>
        </w:tc>
        <w:tc>
          <w:tcPr>
            <w:tcW w:type="dxa" w:w="3030"/>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20"/>
              </w:rPr>
              <w:t>Fecha</w:t>
            </w:r>
          </w:p>
        </w:tc>
      </w:tr>
      <w:tr>
        <w:tc>
          <w:tcPr>
            <w:tcW w:type="dxa" w:w="394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Primer Congreso Académico de la Carrera</w:t>
            </w:r>
          </w:p>
        </w:tc>
        <w:tc>
          <w:tcPr>
            <w:tcW w:type="dxa" w:w="209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N° 19/2012</w:t>
            </w:r>
          </w:p>
        </w:tc>
        <w:tc>
          <w:tcPr>
            <w:tcW w:type="dxa" w:w="303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2 de octubre de 2012</w:t>
            </w:r>
          </w:p>
        </w:tc>
      </w:tr>
      <w:tr>
        <w:tc>
          <w:tcPr>
            <w:tcW w:type="dxa" w:w="394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Honorable Consejo de Carrera</w:t>
            </w:r>
          </w:p>
        </w:tc>
        <w:tc>
          <w:tcPr>
            <w:tcW w:type="dxa" w:w="209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N° 162/2012</w:t>
            </w:r>
          </w:p>
        </w:tc>
        <w:tc>
          <w:tcPr>
            <w:tcW w:type="dxa" w:w="303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5 de octubre de 2012</w:t>
            </w:r>
          </w:p>
        </w:tc>
      </w:tr>
      <w:tr>
        <w:tc>
          <w:tcPr>
            <w:tcW w:type="dxa" w:w="394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Honorable Consejo Facultativo (FCEF)</w:t>
            </w:r>
          </w:p>
        </w:tc>
        <w:tc>
          <w:tcPr>
            <w:tcW w:type="dxa" w:w="209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N° 929/2012</w:t>
            </w:r>
          </w:p>
        </w:tc>
        <w:tc>
          <w:tcPr>
            <w:tcW w:type="dxa" w:w="303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29 de noviembre de 2012</w:t>
            </w:r>
          </w:p>
        </w:tc>
      </w:tr>
      <w:tr>
        <w:tc>
          <w:tcPr>
            <w:tcW w:type="dxa" w:w="394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Honorable Consejo Universitario</w:t>
            </w:r>
          </w:p>
        </w:tc>
        <w:tc>
          <w:tcPr>
            <w:tcW w:type="dxa" w:w="209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N° 025/2013</w:t>
            </w:r>
          </w:p>
        </w:tc>
        <w:tc>
          <w:tcPr>
            <w:tcW w:type="dxa" w:w="303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21 de febrero de 2013</w:t>
            </w:r>
          </w:p>
        </w:tc>
      </w:tr>
    </w:tbl>
    <w:p>
      <w:pPr>
        <w:spacing w:before="0" w:after="120" w:line="240" w:lineRule="auto"/>
        <w:jc w:val="left"/>
      </w:pPr>
    </w:p>
    <w:p>
      <w:pPr>
        <w:spacing w:before="0" w:after="200" w:line="240" w:lineRule="auto"/>
        <w:jc w:val="both"/>
      </w:pPr>
      <w:r>
        <w:rPr>
          <w:rFonts w:ascii="Century Gothic" w:hAnsi="Century Gothic" w:cs="Century Gothic" w:eastAsia="Century Gothic"/>
          <w:b w:val="0"/>
          <w:i/>
          <w:sz w:val="20"/>
        </w:rPr>
        <w:t>Fuente: Documento Académico «Diseño Curricular 2013».</w:t>
      </w:r>
    </w:p>
    <w:p>
      <w:pPr>
        <w:spacing w:before="0" w:after="200" w:line="240" w:lineRule="auto"/>
        <w:jc w:val="both"/>
      </w:pPr>
      <w:r>
        <w:rPr>
          <w:rFonts w:ascii="Century Gothic" w:hAnsi="Century Gothic" w:cs="Century Gothic" w:eastAsia="Century Gothic"/>
          <w:b/>
          <w:i w:val="0"/>
          <w:sz w:val="20"/>
        </w:rPr>
        <w:t>Cuadro 2. Malla curricular del Plan de Estudios 2013</w:t>
      </w:r>
    </w:p>
    <w:tbl>
      <w:tblPr>
        <w:tblW w:type="auto" w:w="0"/>
        <w:jc w:val="center"/>
        <w:tblLayout w:type="fixed"/>
        <w:tblLook w:firstColumn="1" w:firstRow="1" w:lastColumn="0" w:lastRow="0" w:noHBand="0" w:noVBand="1" w:val="04A0"/>
      </w:tblPr>
      <w:tblGrid>
        <w:gridCol w:w="1703"/>
        <w:gridCol w:w="1721"/>
        <w:gridCol w:w="1807"/>
        <w:gridCol w:w="1951"/>
        <w:gridCol w:w="1888"/>
      </w:tblGrid>
      <w:tr>
        <w:trPr>
          <w:tblHeader/>
        </w:trPr>
        <w:tc>
          <w:tcPr>
            <w:tcW w:type="dxa" w:w="1703"/>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20"/>
              </w:rPr>
              <w:t>Primer año</w:t>
            </w:r>
          </w:p>
        </w:tc>
        <w:tc>
          <w:tcPr>
            <w:tcW w:type="dxa" w:w="1721"/>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20"/>
              </w:rPr>
              <w:t>Segundo año</w:t>
            </w:r>
          </w:p>
        </w:tc>
        <w:tc>
          <w:tcPr>
            <w:tcW w:type="dxa" w:w="1807"/>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20"/>
              </w:rPr>
              <w:t>Tercer año</w:t>
            </w:r>
          </w:p>
        </w:tc>
        <w:tc>
          <w:tcPr>
            <w:tcW w:type="dxa" w:w="1951"/>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20"/>
              </w:rPr>
              <w:t>Cuarto año</w:t>
            </w:r>
          </w:p>
        </w:tc>
        <w:tc>
          <w:tcPr>
            <w:tcW w:type="dxa" w:w="1888"/>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20"/>
              </w:rPr>
              <w:t>Quinto año</w:t>
            </w:r>
          </w:p>
        </w:tc>
      </w:tr>
      <w:tr>
        <w:tc>
          <w:tcPr>
            <w:tcW w:type="dxa" w:w="170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CPA-101 Contabilidad Básica</w:t>
            </w:r>
          </w:p>
        </w:tc>
        <w:tc>
          <w:tcPr>
            <w:tcW w:type="dxa" w:w="172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CPA-201 Contabilidad Intermedia</w:t>
            </w:r>
          </w:p>
        </w:tc>
        <w:tc>
          <w:tcPr>
            <w:tcW w:type="dxa" w:w="180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CPA-301 Contabilidad Internacional</w:t>
            </w:r>
          </w:p>
        </w:tc>
        <w:tc>
          <w:tcPr>
            <w:tcW w:type="dxa" w:w="195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CPA-401 Contabilidad Minera y Petrolera</w:t>
            </w:r>
          </w:p>
        </w:tc>
        <w:tc>
          <w:tcPr>
            <w:tcW w:type="dxa" w:w="188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CPA-501 Auditoría Operativa</w:t>
            </w:r>
          </w:p>
        </w:tc>
      </w:tr>
      <w:tr>
        <w:tc>
          <w:tcPr>
            <w:tcW w:type="dxa" w:w="170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ADM-101 Administración General</w:t>
            </w:r>
          </w:p>
        </w:tc>
        <w:tc>
          <w:tcPr>
            <w:tcW w:type="dxa" w:w="172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CPA-202 Contabilidad de Sociedades</w:t>
            </w:r>
          </w:p>
        </w:tc>
        <w:tc>
          <w:tcPr>
            <w:tcW w:type="dxa" w:w="180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CPA-302 Contabilidad de Costos y Gestión</w:t>
            </w:r>
          </w:p>
        </w:tc>
        <w:tc>
          <w:tcPr>
            <w:tcW w:type="dxa" w:w="195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CPA-402 Contabilidad Agrícola y Ganadera</w:t>
            </w:r>
          </w:p>
        </w:tc>
        <w:tc>
          <w:tcPr>
            <w:tcW w:type="dxa" w:w="188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CPA-502 Gabinete de Auditoría Financiera</w:t>
            </w:r>
          </w:p>
        </w:tc>
      </w:tr>
      <w:tr>
        <w:tc>
          <w:tcPr>
            <w:tcW w:type="dxa" w:w="170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DER-101 Derecho Comercial y Corporativo (PS)</w:t>
            </w:r>
          </w:p>
        </w:tc>
        <w:tc>
          <w:tcPr>
            <w:tcW w:type="dxa" w:w="172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CPA-203 Contabilidad de Tributos</w:t>
            </w:r>
          </w:p>
        </w:tc>
        <w:tc>
          <w:tcPr>
            <w:tcW w:type="dxa" w:w="180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CPA-303 Contabilidad de Bancos y Entidades Financieras</w:t>
            </w:r>
          </w:p>
        </w:tc>
        <w:tc>
          <w:tcPr>
            <w:tcW w:type="dxa" w:w="195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CPA-403 Contabilidad del Seguro Privado y Seguro Social</w:t>
            </w:r>
          </w:p>
        </w:tc>
        <w:tc>
          <w:tcPr>
            <w:tcW w:type="dxa" w:w="188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CPA-503 Gabinete de Auditoría Tributaria</w:t>
            </w:r>
          </w:p>
        </w:tc>
      </w:tr>
      <w:tr>
        <w:tc>
          <w:tcPr>
            <w:tcW w:type="dxa" w:w="170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DER-102 Derecho Laboral y Seguridad Social (SS)</w:t>
            </w:r>
          </w:p>
        </w:tc>
        <w:tc>
          <w:tcPr>
            <w:tcW w:type="dxa" w:w="172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ADM-201 Administración de Sistemas Gerenciales</w:t>
            </w:r>
          </w:p>
        </w:tc>
        <w:tc>
          <w:tcPr>
            <w:tcW w:type="dxa" w:w="180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CPA-304 Contabilidad y Presupuestos Gubernamental</w:t>
            </w:r>
          </w:p>
        </w:tc>
        <w:tc>
          <w:tcPr>
            <w:tcW w:type="dxa" w:w="195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CPA-404 Sistemas de Contabilidad Automatizados</w:t>
            </w:r>
          </w:p>
        </w:tc>
        <w:tc>
          <w:tcPr>
            <w:tcW w:type="dxa" w:w="188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CPA-504 Gabinete de Auditoría Gubernamental</w:t>
            </w:r>
          </w:p>
        </w:tc>
      </w:tr>
      <w:tr>
        <w:tc>
          <w:tcPr>
            <w:tcW w:type="dxa" w:w="170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ECO-101 Microeconomía</w:t>
            </w:r>
          </w:p>
        </w:tc>
        <w:tc>
          <w:tcPr>
            <w:tcW w:type="dxa" w:w="172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DER-201 Derecho Tributario y Legislación Aduanera</w:t>
            </w:r>
          </w:p>
        </w:tc>
        <w:tc>
          <w:tcPr>
            <w:tcW w:type="dxa" w:w="180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CPA-305 Sistemas de Información (SS)</w:t>
            </w:r>
          </w:p>
        </w:tc>
        <w:tc>
          <w:tcPr>
            <w:tcW w:type="dxa" w:w="195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CPA-405 Diseño e Implantación de Sistemas de Contabilidad</w:t>
            </w:r>
          </w:p>
        </w:tc>
        <w:tc>
          <w:tcPr>
            <w:tcW w:type="dxa" w:w="188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CPA-505 Gabinete de Auditoría de Sistemas</w:t>
            </w:r>
          </w:p>
        </w:tc>
      </w:tr>
      <w:tr>
        <w:tc>
          <w:tcPr>
            <w:tcW w:type="dxa" w:w="170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MAT-101 Cálculo</w:t>
            </w:r>
          </w:p>
        </w:tc>
        <w:tc>
          <w:tcPr>
            <w:tcW w:type="dxa" w:w="172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ECO-201 Macroeconomía</w:t>
            </w:r>
          </w:p>
        </w:tc>
        <w:tc>
          <w:tcPr>
            <w:tcW w:type="dxa" w:w="180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ADM-301 Desarrollo y Comportamiento Organizacional</w:t>
            </w:r>
          </w:p>
        </w:tc>
        <w:tc>
          <w:tcPr>
            <w:tcW w:type="dxa" w:w="195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CPA-406 Finanzas y Finanzas Corporativas</w:t>
            </w:r>
          </w:p>
        </w:tc>
        <w:tc>
          <w:tcPr>
            <w:tcW w:type="dxa" w:w="188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CPA-506 Gabinete de Auditoría Ambiental (PS)</w:t>
            </w:r>
          </w:p>
        </w:tc>
      </w:tr>
      <w:tr>
        <w:tc>
          <w:tcPr>
            <w:tcW w:type="dxa" w:w="170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MAT-102 Matemáticas Financieras</w:t>
            </w:r>
          </w:p>
        </w:tc>
        <w:tc>
          <w:tcPr>
            <w:tcW w:type="dxa" w:w="172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MAT-201 Álgebra y Programación Lineales</w:t>
            </w:r>
          </w:p>
        </w:tc>
        <w:tc>
          <w:tcPr>
            <w:tcW w:type="dxa" w:w="180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ECO-301 Preparación y Evaluación de Proyectos</w:t>
            </w:r>
          </w:p>
        </w:tc>
        <w:tc>
          <w:tcPr>
            <w:tcW w:type="dxa" w:w="195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CPA-407 Auditoría Financiera</w:t>
            </w:r>
          </w:p>
        </w:tc>
        <w:tc>
          <w:tcPr>
            <w:tcW w:type="dxa" w:w="188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CPA-507 Gabinete de Auditoría de Proyectos (PS)</w:t>
            </w:r>
          </w:p>
        </w:tc>
      </w:tr>
      <w:tr>
        <w:tc>
          <w:tcPr>
            <w:tcW w:type="dxa" w:w="170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CPA-102 Métodos y Técnicas de Investigación (SS)</w:t>
            </w:r>
          </w:p>
        </w:tc>
        <w:tc>
          <w:tcPr>
            <w:tcW w:type="dxa" w:w="172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p>
        </w:tc>
        <w:tc>
          <w:tcPr>
            <w:tcW w:type="dxa" w:w="180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MAT-301 Estadística</w:t>
            </w:r>
          </w:p>
        </w:tc>
        <w:tc>
          <w:tcPr>
            <w:tcW w:type="dxa" w:w="195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CPA-408 Auditoría Interna, Control Interno y Gestión de Riesgos</w:t>
            </w:r>
          </w:p>
        </w:tc>
        <w:tc>
          <w:tcPr>
            <w:tcW w:type="dxa" w:w="188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CPA-508 Gabinete de Auditoría Forense (SS)</w:t>
            </w:r>
          </w:p>
        </w:tc>
      </w:tr>
      <w:tr>
        <w:tc>
          <w:tcPr>
            <w:tcW w:type="dxa" w:w="170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p>
        </w:tc>
        <w:tc>
          <w:tcPr>
            <w:tcW w:type="dxa" w:w="172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p>
        </w:tc>
        <w:tc>
          <w:tcPr>
            <w:tcW w:type="dxa" w:w="180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MAT-302 Matemáticas Actuariales (PS)</w:t>
            </w:r>
          </w:p>
        </w:tc>
        <w:tc>
          <w:tcPr>
            <w:tcW w:type="dxa" w:w="195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p>
        </w:tc>
        <w:tc>
          <w:tcPr>
            <w:tcW w:type="dxa" w:w="188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CPA-509 Gabinete de Auditoría de Entidades Financieras (SS)</w:t>
            </w:r>
          </w:p>
        </w:tc>
      </w:tr>
      <w:tr>
        <w:tc>
          <w:tcPr>
            <w:tcW w:type="dxa" w:w="170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p>
        </w:tc>
        <w:tc>
          <w:tcPr>
            <w:tcW w:type="dxa" w:w="172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p>
        </w:tc>
        <w:tc>
          <w:tcPr>
            <w:tcW w:type="dxa" w:w="180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p>
        </w:tc>
        <w:tc>
          <w:tcPr>
            <w:tcW w:type="dxa" w:w="195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p>
        </w:tc>
        <w:tc>
          <w:tcPr>
            <w:tcW w:type="dxa" w:w="188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CPA-510 Ética Profesional (PS)</w:t>
            </w:r>
          </w:p>
        </w:tc>
      </w:tr>
      <w:tr>
        <w:tc>
          <w:tcPr>
            <w:tcW w:type="dxa" w:w="170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p>
        </w:tc>
        <w:tc>
          <w:tcPr>
            <w:tcW w:type="dxa" w:w="172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p>
        </w:tc>
        <w:tc>
          <w:tcPr>
            <w:tcW w:type="dxa" w:w="180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p>
        </w:tc>
        <w:tc>
          <w:tcPr>
            <w:tcW w:type="dxa" w:w="195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p>
        </w:tc>
        <w:tc>
          <w:tcPr>
            <w:tcW w:type="dxa" w:w="188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CPA-511 Seminario de Grado (SS)</w:t>
            </w:r>
          </w:p>
        </w:tc>
      </w:tr>
    </w:tbl>
    <w:p>
      <w:pPr>
        <w:spacing w:before="0" w:after="120" w:line="240" w:lineRule="auto"/>
        <w:jc w:val="left"/>
      </w:pPr>
    </w:p>
    <w:p>
      <w:pPr>
        <w:spacing w:before="0" w:after="200" w:line="240" w:lineRule="auto"/>
        <w:jc w:val="both"/>
      </w:pPr>
      <w:r>
        <w:rPr>
          <w:rFonts w:ascii="Century Gothic" w:hAnsi="Century Gothic" w:cs="Century Gothic" w:eastAsia="Century Gothic"/>
          <w:b w:val="0"/>
          <w:i/>
          <w:sz w:val="20"/>
        </w:rPr>
        <w:t>Fuente: Plan de Estudios 2013. PS = primer semestre; SS = segundo semestre; el resto son anuales. Todas las asignaturas tienen prerrequisitos definidos.</w:t>
      </w:r>
    </w:p>
    <w:p>
      <w:pPr>
        <w:spacing w:before="0" w:after="200" w:line="240" w:lineRule="auto"/>
        <w:jc w:val="both"/>
      </w:pPr>
      <w:r>
        <w:rPr>
          <w:rFonts w:ascii="Century Gothic" w:hAnsi="Century Gothic" w:cs="Century Gothic" w:eastAsia="Century Gothic"/>
          <w:b/>
          <w:i w:val="0"/>
          <w:sz w:val="20"/>
        </w:rPr>
        <w:t>Cuadro 3. Estructura del Plan 2013: asignaturas y carga horaria por área</w:t>
      </w:r>
    </w:p>
    <w:tbl>
      <w:tblPr>
        <w:tblW w:type="auto" w:w="0"/>
        <w:jc w:val="center"/>
        <w:tblLayout w:type="fixed"/>
        <w:tblLook w:firstColumn="1" w:firstRow="1" w:lastColumn="0" w:lastRow="0" w:noHBand="0" w:noVBand="1" w:val="04A0"/>
      </w:tblPr>
      <w:tblGrid>
        <w:gridCol w:w="2525"/>
        <w:gridCol w:w="1341"/>
        <w:gridCol w:w="1132"/>
        <w:gridCol w:w="1132"/>
        <w:gridCol w:w="1132"/>
        <w:gridCol w:w="1808"/>
      </w:tblGrid>
      <w:tr>
        <w:trPr>
          <w:tblHeader/>
        </w:trPr>
        <w:tc>
          <w:tcPr>
            <w:tcW w:type="dxa" w:w="2525"/>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20"/>
              </w:rPr>
              <w:t>Área</w:t>
            </w:r>
          </w:p>
        </w:tc>
        <w:tc>
          <w:tcPr>
            <w:tcW w:type="dxa" w:w="1341"/>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20"/>
              </w:rPr>
              <w:t>Asignaturas</w:t>
            </w:r>
          </w:p>
        </w:tc>
        <w:tc>
          <w:tcPr>
            <w:tcW w:type="dxa" w:w="1132"/>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20"/>
              </w:rPr>
              <w:t>%</w:t>
            </w:r>
          </w:p>
        </w:tc>
        <w:tc>
          <w:tcPr>
            <w:tcW w:type="dxa" w:w="1132"/>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20"/>
              </w:rPr>
              <w:t>Horas</w:t>
            </w:r>
          </w:p>
        </w:tc>
        <w:tc>
          <w:tcPr>
            <w:tcW w:type="dxa" w:w="1132"/>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20"/>
              </w:rPr>
              <w:t>% horas</w:t>
            </w:r>
          </w:p>
        </w:tc>
        <w:tc>
          <w:tcPr>
            <w:tcW w:type="dxa" w:w="1808"/>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20"/>
              </w:rPr>
              <w:t>Años en que se dicta</w:t>
            </w:r>
          </w:p>
        </w:tc>
      </w:tr>
      <w:tr>
        <w:tc>
          <w:tcPr>
            <w:tcW w:type="dxa" w:w="252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Información Financiera</w:t>
            </w:r>
          </w:p>
        </w:tc>
        <w:tc>
          <w:tcPr>
            <w:tcW w:type="dxa" w:w="13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16</w:t>
            </w:r>
          </w:p>
        </w:tc>
        <w:tc>
          <w:tcPr>
            <w:tcW w:type="dxa" w:w="113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37,21</w:t>
            </w:r>
          </w:p>
        </w:tc>
        <w:tc>
          <w:tcPr>
            <w:tcW w:type="dxa" w:w="113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2.400</w:t>
            </w:r>
          </w:p>
        </w:tc>
        <w:tc>
          <w:tcPr>
            <w:tcW w:type="dxa" w:w="113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40,00</w:t>
            </w:r>
          </w:p>
        </w:tc>
        <w:tc>
          <w:tcPr>
            <w:tcW w:type="dxa" w:w="18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1.° a 4.°</w:t>
            </w:r>
          </w:p>
        </w:tc>
      </w:tr>
      <w:tr>
        <w:tc>
          <w:tcPr>
            <w:tcW w:type="dxa" w:w="252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Servicios de Atestación y no Atestación</w:t>
            </w:r>
          </w:p>
        </w:tc>
        <w:tc>
          <w:tcPr>
            <w:tcW w:type="dxa" w:w="13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13</w:t>
            </w:r>
          </w:p>
        </w:tc>
        <w:tc>
          <w:tcPr>
            <w:tcW w:type="dxa" w:w="113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30,23</w:t>
            </w:r>
          </w:p>
        </w:tc>
        <w:tc>
          <w:tcPr>
            <w:tcW w:type="dxa" w:w="113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1.600</w:t>
            </w:r>
          </w:p>
        </w:tc>
        <w:tc>
          <w:tcPr>
            <w:tcW w:type="dxa" w:w="113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26,67</w:t>
            </w:r>
          </w:p>
        </w:tc>
        <w:tc>
          <w:tcPr>
            <w:tcW w:type="dxa" w:w="18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4.° y 5.°</w:t>
            </w:r>
          </w:p>
        </w:tc>
      </w:tr>
      <w:tr>
        <w:tc>
          <w:tcPr>
            <w:tcW w:type="dxa" w:w="252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i w:val="0"/>
                <w:sz w:val="20"/>
              </w:rPr>
              <w:t>Subtotal troncal</w:t>
            </w:r>
          </w:p>
        </w:tc>
        <w:tc>
          <w:tcPr>
            <w:tcW w:type="dxa" w:w="13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i w:val="0"/>
                <w:sz w:val="20"/>
              </w:rPr>
              <w:t>29</w:t>
            </w:r>
          </w:p>
        </w:tc>
        <w:tc>
          <w:tcPr>
            <w:tcW w:type="dxa" w:w="113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i w:val="0"/>
                <w:sz w:val="20"/>
              </w:rPr>
              <w:t>67,44</w:t>
            </w:r>
          </w:p>
        </w:tc>
        <w:tc>
          <w:tcPr>
            <w:tcW w:type="dxa" w:w="113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i w:val="0"/>
                <w:sz w:val="20"/>
              </w:rPr>
              <w:t>4.000</w:t>
            </w:r>
          </w:p>
        </w:tc>
        <w:tc>
          <w:tcPr>
            <w:tcW w:type="dxa" w:w="113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i w:val="0"/>
                <w:sz w:val="20"/>
              </w:rPr>
              <w:t>66,67</w:t>
            </w:r>
          </w:p>
        </w:tc>
        <w:tc>
          <w:tcPr>
            <w:tcW w:type="dxa" w:w="18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p>
        </w:tc>
      </w:tr>
      <w:tr>
        <w:tc>
          <w:tcPr>
            <w:tcW w:type="dxa" w:w="252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Administración</w:t>
            </w:r>
          </w:p>
        </w:tc>
        <w:tc>
          <w:tcPr>
            <w:tcW w:type="dxa" w:w="13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3</w:t>
            </w:r>
          </w:p>
        </w:tc>
        <w:tc>
          <w:tcPr>
            <w:tcW w:type="dxa" w:w="113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6,98</w:t>
            </w:r>
          </w:p>
        </w:tc>
        <w:tc>
          <w:tcPr>
            <w:tcW w:type="dxa" w:w="113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480</w:t>
            </w:r>
          </w:p>
        </w:tc>
        <w:tc>
          <w:tcPr>
            <w:tcW w:type="dxa" w:w="113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8,00</w:t>
            </w:r>
          </w:p>
        </w:tc>
        <w:tc>
          <w:tcPr>
            <w:tcW w:type="dxa" w:w="18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1.° a 3.°</w:t>
            </w:r>
          </w:p>
        </w:tc>
      </w:tr>
      <w:tr>
        <w:tc>
          <w:tcPr>
            <w:tcW w:type="dxa" w:w="252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Derecho</w:t>
            </w:r>
          </w:p>
        </w:tc>
        <w:tc>
          <w:tcPr>
            <w:tcW w:type="dxa" w:w="13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3</w:t>
            </w:r>
          </w:p>
        </w:tc>
        <w:tc>
          <w:tcPr>
            <w:tcW w:type="dxa" w:w="113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6,98</w:t>
            </w:r>
          </w:p>
        </w:tc>
        <w:tc>
          <w:tcPr>
            <w:tcW w:type="dxa" w:w="113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320</w:t>
            </w:r>
          </w:p>
        </w:tc>
        <w:tc>
          <w:tcPr>
            <w:tcW w:type="dxa" w:w="113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5,33</w:t>
            </w:r>
          </w:p>
        </w:tc>
        <w:tc>
          <w:tcPr>
            <w:tcW w:type="dxa" w:w="18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1.° y 2.°</w:t>
            </w:r>
          </w:p>
        </w:tc>
      </w:tr>
      <w:tr>
        <w:tc>
          <w:tcPr>
            <w:tcW w:type="dxa" w:w="252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Economía</w:t>
            </w:r>
          </w:p>
        </w:tc>
        <w:tc>
          <w:tcPr>
            <w:tcW w:type="dxa" w:w="13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3</w:t>
            </w:r>
          </w:p>
        </w:tc>
        <w:tc>
          <w:tcPr>
            <w:tcW w:type="dxa" w:w="113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6,98</w:t>
            </w:r>
          </w:p>
        </w:tc>
        <w:tc>
          <w:tcPr>
            <w:tcW w:type="dxa" w:w="113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480</w:t>
            </w:r>
          </w:p>
        </w:tc>
        <w:tc>
          <w:tcPr>
            <w:tcW w:type="dxa" w:w="113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8,00</w:t>
            </w:r>
          </w:p>
        </w:tc>
        <w:tc>
          <w:tcPr>
            <w:tcW w:type="dxa" w:w="18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1.° a 3.°</w:t>
            </w:r>
          </w:p>
        </w:tc>
      </w:tr>
      <w:tr>
        <w:tc>
          <w:tcPr>
            <w:tcW w:type="dxa" w:w="252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Matemáticas</w:t>
            </w:r>
          </w:p>
        </w:tc>
        <w:tc>
          <w:tcPr>
            <w:tcW w:type="dxa" w:w="13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5</w:t>
            </w:r>
          </w:p>
        </w:tc>
        <w:tc>
          <w:tcPr>
            <w:tcW w:type="dxa" w:w="113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11,63</w:t>
            </w:r>
          </w:p>
        </w:tc>
        <w:tc>
          <w:tcPr>
            <w:tcW w:type="dxa" w:w="113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720</w:t>
            </w:r>
          </w:p>
        </w:tc>
        <w:tc>
          <w:tcPr>
            <w:tcW w:type="dxa" w:w="113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12,00</w:t>
            </w:r>
          </w:p>
        </w:tc>
        <w:tc>
          <w:tcPr>
            <w:tcW w:type="dxa" w:w="18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1.° a 3.°</w:t>
            </w:r>
          </w:p>
        </w:tc>
      </w:tr>
      <w:tr>
        <w:tc>
          <w:tcPr>
            <w:tcW w:type="dxa" w:w="252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i w:val="0"/>
                <w:sz w:val="20"/>
              </w:rPr>
              <w:t>Subtotal contextual</w:t>
            </w:r>
          </w:p>
        </w:tc>
        <w:tc>
          <w:tcPr>
            <w:tcW w:type="dxa" w:w="13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i w:val="0"/>
                <w:sz w:val="20"/>
              </w:rPr>
              <w:t>14</w:t>
            </w:r>
          </w:p>
        </w:tc>
        <w:tc>
          <w:tcPr>
            <w:tcW w:type="dxa" w:w="113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i w:val="0"/>
                <w:sz w:val="20"/>
              </w:rPr>
              <w:t>32,56</w:t>
            </w:r>
          </w:p>
        </w:tc>
        <w:tc>
          <w:tcPr>
            <w:tcW w:type="dxa" w:w="113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i w:val="0"/>
                <w:sz w:val="20"/>
              </w:rPr>
              <w:t>2.000</w:t>
            </w:r>
          </w:p>
        </w:tc>
        <w:tc>
          <w:tcPr>
            <w:tcW w:type="dxa" w:w="113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i w:val="0"/>
                <w:sz w:val="20"/>
              </w:rPr>
              <w:t>33,33</w:t>
            </w:r>
          </w:p>
        </w:tc>
        <w:tc>
          <w:tcPr>
            <w:tcW w:type="dxa" w:w="18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p>
        </w:tc>
      </w:tr>
      <w:tr>
        <w:tc>
          <w:tcPr>
            <w:tcW w:type="dxa" w:w="252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i w:val="0"/>
                <w:sz w:val="20"/>
              </w:rPr>
              <w:t>Total</w:t>
            </w:r>
          </w:p>
        </w:tc>
        <w:tc>
          <w:tcPr>
            <w:tcW w:type="dxa" w:w="13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i w:val="0"/>
                <w:sz w:val="20"/>
              </w:rPr>
              <w:t>43</w:t>
            </w:r>
          </w:p>
        </w:tc>
        <w:tc>
          <w:tcPr>
            <w:tcW w:type="dxa" w:w="113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i w:val="0"/>
                <w:sz w:val="20"/>
              </w:rPr>
              <w:t>100,00</w:t>
            </w:r>
          </w:p>
        </w:tc>
        <w:tc>
          <w:tcPr>
            <w:tcW w:type="dxa" w:w="113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i w:val="0"/>
                <w:sz w:val="20"/>
              </w:rPr>
              <w:t>6.000</w:t>
            </w:r>
          </w:p>
        </w:tc>
        <w:tc>
          <w:tcPr>
            <w:tcW w:type="dxa" w:w="113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i w:val="0"/>
                <w:sz w:val="20"/>
              </w:rPr>
              <w:t>100,00</w:t>
            </w:r>
          </w:p>
        </w:tc>
        <w:tc>
          <w:tcPr>
            <w:tcW w:type="dxa" w:w="18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p>
        </w:tc>
      </w:tr>
    </w:tbl>
    <w:p>
      <w:pPr>
        <w:spacing w:before="0" w:after="120" w:line="240" w:lineRule="auto"/>
        <w:jc w:val="left"/>
      </w:pPr>
    </w:p>
    <w:p>
      <w:pPr>
        <w:spacing w:before="0" w:after="200" w:line="240" w:lineRule="auto"/>
        <w:jc w:val="both"/>
      </w:pPr>
      <w:r>
        <w:rPr>
          <w:rFonts w:ascii="Century Gothic" w:hAnsi="Century Gothic" w:cs="Century Gothic" w:eastAsia="Century Gothic"/>
          <w:b w:val="0"/>
          <w:i/>
          <w:sz w:val="20"/>
        </w:rPr>
        <w:t>Fuente: Plan de Estudios 2013. Porcentajes de horas recalculados por la Comisión.</w:t>
      </w:r>
    </w:p>
    <w:p>
      <w:pPr>
        <w:spacing w:before="0" w:after="200" w:line="240" w:lineRule="auto"/>
        <w:jc w:val="both"/>
      </w:pPr>
      <w:r>
        <w:rPr>
          <w:rFonts w:ascii="Century Gothic" w:hAnsi="Century Gothic" w:cs="Century Gothic" w:eastAsia="Century Gothic"/>
          <w:b w:val="0"/>
          <w:i w:val="0"/>
          <w:sz w:val="20"/>
        </w:rPr>
        <w:t xml:space="preserve">La estructura muestra un rasgo que condiciona el rediseño: </w:t>
      </w:r>
      <w:r>
        <w:rPr>
          <w:rFonts w:ascii="Century Gothic" w:hAnsi="Century Gothic" w:cs="Century Gothic" w:eastAsia="Century Gothic"/>
          <w:b/>
          <w:i w:val="0"/>
          <w:sz w:val="20"/>
        </w:rPr>
        <w:t>las áreas contextuales se concentran en los tres primeros años y desaparecen en cuarto y quinto</w:t>
      </w:r>
      <w:r>
        <w:rPr>
          <w:rFonts w:ascii="Century Gothic" w:hAnsi="Century Gothic" w:cs="Century Gothic" w:eastAsia="Century Gothic"/>
          <w:b w:val="0"/>
          <w:i w:val="0"/>
          <w:sz w:val="20"/>
        </w:rPr>
        <w:t>, mientras que el bloque de aseguramiento se concentra en los dos últimos (11 de las 13 asignaturas en quinto año). La formación es, en consecuencia, secuencial por bloques y no integrada: el estudiante aprende matemáticas, derecho y economía antes de enfrentar los problemas profesionales en los que debería aplicarlos. El rediseño debe articular verticalmente las áreas contextuales con los problemas contables, conforme al principio de interdisciplinariedad del Art. 12 de la Res. HCU 032/2025.</w:t>
      </w:r>
    </w:p>
    <w:p>
      <w:pPr>
        <w:spacing w:before="0" w:after="200" w:line="240" w:lineRule="auto"/>
        <w:jc w:val="both"/>
      </w:pPr>
      <w:r>
        <w:rPr>
          <w:rFonts w:ascii="Century Gothic" w:hAnsi="Century Gothic" w:cs="Century Gothic" w:eastAsia="Century Gothic"/>
          <w:b/>
          <w:i w:val="0"/>
          <w:sz w:val="20"/>
        </w:rPr>
        <w:t>Observación técnica.</w:t>
      </w:r>
      <w:r>
        <w:rPr>
          <w:rFonts w:ascii="Century Gothic" w:hAnsi="Century Gothic" w:cs="Century Gothic" w:eastAsia="Century Gothic"/>
          <w:b w:val="0"/>
          <w:i w:val="0"/>
          <w:sz w:val="20"/>
        </w:rPr>
        <w:t xml:space="preserve"> El cuadro de carga horaria del Documento Académico 2013 consigna porcentajes que no corresponden a las horas declaradas (asigna 19,18 % tanto a 1.120 horas del segundo año como a 1.280 horas del tercero). Recalculados sobre 6.000 horas, los porcentajes son: primer año 17,33 %; segundo 18,67 %; tercero, cuarto y quinto 21,33 % cada uno. Además, todas las asignaturas tienen una carga uniforme de 32 horas mensuales, sin reconocer que asignaturas troncales como Contabilidad Básica, Intermedia, Internacional, de Costos, Auditoría Financiera y Gabinete de Auditoría Financiera requieren mayor carga. El rediseño debe reconstruir la matriz horaria con distinción de horas presenciales y no presenciales y conversión a créditos (Art. 8, num. 4.4).</w:t>
      </w:r>
    </w:p>
    <w:p>
      <w:pPr>
        <w:spacing w:before="0" w:after="200" w:line="240" w:lineRule="auto"/>
        <w:jc w:val="both"/>
      </w:pPr>
      <w:r>
        <w:rPr>
          <w:rFonts w:ascii="Century Gothic" w:hAnsi="Century Gothic" w:cs="Century Gothic" w:eastAsia="Century Gothic"/>
          <w:b w:val="0"/>
          <w:i w:val="0"/>
          <w:sz w:val="20"/>
        </w:rPr>
        <w:t xml:space="preserve">Finalmente, el Plan 2013 </w:t>
      </w:r>
      <w:r>
        <w:rPr>
          <w:rFonts w:ascii="Century Gothic" w:hAnsi="Century Gothic" w:cs="Century Gothic" w:eastAsia="Century Gothic"/>
          <w:b/>
          <w:i w:val="0"/>
          <w:sz w:val="20"/>
        </w:rPr>
        <w:t>no regula</w:t>
      </w:r>
      <w:r>
        <w:rPr>
          <w:rFonts w:ascii="Century Gothic" w:hAnsi="Century Gothic" w:cs="Century Gothic" w:eastAsia="Century Gothic"/>
          <w:b w:val="0"/>
          <w:i w:val="0"/>
          <w:sz w:val="20"/>
        </w:rPr>
        <w:t xml:space="preserve"> los Cursos Intensivos de Temporada (Res. HCU 093/06) ni la Mesa de Examen (Res. HCU 352/2021), pese a que ambas normas atribuyen a la Carrera la definición de las asignaturas habilitadas; este vacío debe cubrirse en el nuevo plan.</w:t>
      </w:r>
    </w:p>
    <w:p>
      <w:pPr>
        <w:keepNext/>
        <w:spacing w:before="40" w:after="200" w:line="240" w:lineRule="auto"/>
        <w:jc w:val="left"/>
      </w:pPr>
      <w:r>
        <w:rPr>
          <w:rFonts w:ascii="Century Gothic" w:hAnsi="Century Gothic" w:cs="Century Gothic" w:eastAsia="Century Gothic"/>
          <w:b/>
          <w:i w:val="0"/>
          <w:sz w:val="22"/>
        </w:rPr>
        <w:t>b) Resultados estadísticos</w:t>
      </w:r>
    </w:p>
    <w:p>
      <w:pPr>
        <w:spacing w:before="0" w:after="200" w:line="240" w:lineRule="auto"/>
        <w:jc w:val="both"/>
      </w:pPr>
      <w:r>
        <w:rPr>
          <w:rFonts w:ascii="Century Gothic" w:hAnsi="Century Gothic" w:cs="Century Gothic" w:eastAsia="Century Gothic"/>
          <w:b/>
          <w:i w:val="0"/>
          <w:sz w:val="20"/>
        </w:rPr>
        <w:t>Cuadro 4. Indicadores académicos del Plan 2013</w:t>
      </w:r>
    </w:p>
    <w:tbl>
      <w:tblPr>
        <w:tblW w:type="auto" w:w="0"/>
        <w:jc w:val="center"/>
        <w:tblLayout w:type="fixed"/>
        <w:tblLook w:firstColumn="1" w:firstRow="1" w:lastColumn="0" w:lastRow="0" w:noHBand="0" w:noVBand="1" w:val="04A0"/>
      </w:tblPr>
      <w:tblGrid>
        <w:gridCol w:w="2897"/>
        <w:gridCol w:w="2994"/>
        <w:gridCol w:w="3180"/>
      </w:tblGrid>
      <w:tr>
        <w:trPr>
          <w:tblHeader/>
        </w:trPr>
        <w:tc>
          <w:tcPr>
            <w:tcW w:type="dxa" w:w="2897"/>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20"/>
              </w:rPr>
              <w:t>Indicador</w:t>
            </w:r>
          </w:p>
        </w:tc>
        <w:tc>
          <w:tcPr>
            <w:tcW w:type="dxa" w:w="2994"/>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20"/>
              </w:rPr>
              <w:t>Valor</w:t>
            </w:r>
          </w:p>
        </w:tc>
        <w:tc>
          <w:tcPr>
            <w:tcW w:type="dxa" w:w="3180"/>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20"/>
              </w:rPr>
              <w:t>Lectura</w:t>
            </w:r>
          </w:p>
        </w:tc>
      </w:tr>
      <w:tr>
        <w:tc>
          <w:tcPr>
            <w:tcW w:type="dxa" w:w="289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Matriculados / inscritos 2023</w:t>
            </w:r>
          </w:p>
        </w:tc>
        <w:tc>
          <w:tcPr>
            <w:tcW w:type="dxa" w:w="299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4.385 / 3.214</w:t>
            </w:r>
          </w:p>
        </w:tc>
        <w:tc>
          <w:tcPr>
            <w:tcW w:type="dxa" w:w="318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Inscritos +13,33 % respecto de 2019</w:t>
            </w:r>
          </w:p>
        </w:tc>
      </w:tr>
      <w:tr>
        <w:tc>
          <w:tcPr>
            <w:tcW w:type="dxa" w:w="289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Matrícula no activada</w:t>
            </w:r>
          </w:p>
        </w:tc>
        <w:tc>
          <w:tcPr>
            <w:tcW w:type="dxa" w:w="299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35,12 % (2019) → 26,70 % (2023)</w:t>
            </w:r>
          </w:p>
        </w:tc>
        <w:tc>
          <w:tcPr>
            <w:tcW w:type="dxa" w:w="318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Mejora, pero uno de cada cuatro matriculados no cursa</w:t>
            </w:r>
          </w:p>
        </w:tc>
      </w:tr>
      <w:tr>
        <w:tc>
          <w:tcPr>
            <w:tcW w:type="dxa" w:w="289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Titulados 2018–2022</w:t>
            </w:r>
          </w:p>
        </w:tc>
        <w:tc>
          <w:tcPr>
            <w:tcW w:type="dxa" w:w="299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1.901</w:t>
            </w:r>
          </w:p>
        </w:tc>
        <w:tc>
          <w:tcPr>
            <w:tcW w:type="dxa" w:w="318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w:t>
            </w:r>
          </w:p>
        </w:tc>
      </w:tr>
      <w:tr>
        <w:tc>
          <w:tcPr>
            <w:tcW w:type="dxa" w:w="289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Titulación por Examen de Grado</w:t>
            </w:r>
          </w:p>
        </w:tc>
        <w:tc>
          <w:tcPr>
            <w:tcW w:type="dxa" w:w="299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i w:val="0"/>
                <w:sz w:val="20"/>
              </w:rPr>
              <w:t>72,91 %</w:t>
            </w:r>
          </w:p>
        </w:tc>
        <w:tc>
          <w:tcPr>
            <w:tcW w:type="dxa" w:w="318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Evaluación de conocimientos, no de desempeño</w:t>
            </w:r>
          </w:p>
        </w:tc>
      </w:tr>
      <w:tr>
        <w:tc>
          <w:tcPr>
            <w:tcW w:type="dxa" w:w="289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Titulación por Trabajo Dirigido</w:t>
            </w:r>
          </w:p>
        </w:tc>
        <w:tc>
          <w:tcPr>
            <w:tcW w:type="dxa" w:w="299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15,83 % (de 112 en 2018 a 27 en 2022: −75,89 %)</w:t>
            </w:r>
          </w:p>
        </w:tc>
        <w:tc>
          <w:tcPr>
            <w:tcW w:type="dxa" w:w="318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Debilitamiento del vínculo con el medio</w:t>
            </w:r>
          </w:p>
        </w:tc>
      </w:tr>
      <w:tr>
        <w:tc>
          <w:tcPr>
            <w:tcW w:type="dxa" w:w="289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Titulación por Proyecto de Grado</w:t>
            </w:r>
          </w:p>
        </w:tc>
        <w:tc>
          <w:tcPr>
            <w:tcW w:type="dxa" w:w="299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3,52 % (de 30 a 5: −83,33 %)</w:t>
            </w:r>
          </w:p>
        </w:tc>
        <w:tc>
          <w:tcPr>
            <w:tcW w:type="dxa" w:w="318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Idem</w:t>
            </w:r>
          </w:p>
        </w:tc>
      </w:tr>
      <w:tr>
        <w:tc>
          <w:tcPr>
            <w:tcW w:type="dxa" w:w="289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Titulación por Tesis de Grado</w:t>
            </w:r>
          </w:p>
        </w:tc>
        <w:tc>
          <w:tcPr>
            <w:tcW w:type="dxa" w:w="299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i w:val="0"/>
                <w:sz w:val="20"/>
              </w:rPr>
              <w:t>0,21 %</w:t>
            </w:r>
            <w:r>
              <w:rPr>
                <w:rFonts w:ascii="Century Gothic" w:hAnsi="Century Gothic" w:cs="Century Gothic" w:eastAsia="Century Gothic"/>
                <w:b w:val="0"/>
                <w:i w:val="0"/>
                <w:sz w:val="20"/>
              </w:rPr>
              <w:t xml:space="preserve"> (4 en cinco años)</w:t>
            </w:r>
          </w:p>
        </w:tc>
        <w:tc>
          <w:tcPr>
            <w:tcW w:type="dxa" w:w="318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Investigación de pregrado prácticamente inexistente</w:t>
            </w:r>
          </w:p>
        </w:tc>
      </w:tr>
      <w:tr>
        <w:tc>
          <w:tcPr>
            <w:tcW w:type="dxa" w:w="289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Estudiantes por asignatura y paralelo (2023)</w:t>
            </w:r>
          </w:p>
        </w:tc>
        <w:tc>
          <w:tcPr>
            <w:tcW w:type="dxa" w:w="299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i w:val="0"/>
                <w:sz w:val="20"/>
              </w:rPr>
              <w:t>109</w:t>
            </w:r>
          </w:p>
        </w:tc>
        <w:tc>
          <w:tcPr>
            <w:tcW w:type="dxa" w:w="318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Incompatible con evaluación por competencias</w:t>
            </w:r>
          </w:p>
        </w:tc>
      </w:tr>
      <w:tr>
        <w:tc>
          <w:tcPr>
            <w:tcW w:type="dxa" w:w="289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Docentes a tiempo completo</w:t>
            </w:r>
          </w:p>
        </w:tc>
        <w:tc>
          <w:tcPr>
            <w:tcW w:type="dxa" w:w="299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11 de 108 (10,19 %)</w:t>
            </w:r>
          </w:p>
        </w:tc>
        <w:tc>
          <w:tcPr>
            <w:tcW w:type="dxa" w:w="318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Pirámide de dedicación invertida</w:t>
            </w:r>
          </w:p>
        </w:tc>
      </w:tr>
      <w:tr>
        <w:tc>
          <w:tcPr>
            <w:tcW w:type="dxa" w:w="289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Docentes interinos</w:t>
            </w:r>
          </w:p>
        </w:tc>
        <w:tc>
          <w:tcPr>
            <w:tcW w:type="dxa" w:w="299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51,24 % (67,24 % en Atestación)</w:t>
            </w:r>
          </w:p>
        </w:tc>
        <w:tc>
          <w:tcPr>
            <w:tcW w:type="dxa" w:w="318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Inestabilidad en el área de mayor innovación</w:t>
            </w:r>
          </w:p>
        </w:tc>
      </w:tr>
    </w:tbl>
    <w:p>
      <w:pPr>
        <w:spacing w:before="0" w:after="120" w:line="240" w:lineRule="auto"/>
        <w:jc w:val="left"/>
      </w:pPr>
    </w:p>
    <w:p>
      <w:pPr>
        <w:spacing w:before="0" w:after="200" w:line="240" w:lineRule="auto"/>
        <w:jc w:val="both"/>
      </w:pPr>
      <w:r>
        <w:rPr>
          <w:rFonts w:ascii="Century Gothic" w:hAnsi="Century Gothic" w:cs="Century Gothic" w:eastAsia="Century Gothic"/>
          <w:b w:val="0"/>
          <w:i/>
          <w:sz w:val="20"/>
        </w:rPr>
        <w:t>Fuente: Centro de Cómputo y Unidad de Kardex de la Carrera (series 2018–2023). Deben actualizarse a 2024–2025 con datos oficiales de la DSIE.</w:t>
      </w:r>
    </w:p>
    <w:p>
      <w:pPr>
        <w:spacing w:before="0" w:after="200" w:line="240" w:lineRule="auto"/>
        <w:jc w:val="both"/>
      </w:pPr>
      <w:r>
        <w:rPr>
          <w:rFonts w:ascii="Century Gothic" w:hAnsi="Century Gothic" w:cs="Century Gothic" w:eastAsia="Century Gothic"/>
          <w:b/>
          <w:i w:val="0"/>
          <w:sz w:val="20"/>
        </w:rPr>
        <w:t>Cuadro 5. Matrícula e inscripción estudiantil, 2019–2023</w:t>
      </w:r>
    </w:p>
    <w:tbl>
      <w:tblPr>
        <w:tblW w:type="auto" w:w="0"/>
        <w:jc w:val="center"/>
        <w:tblLayout w:type="fixed"/>
        <w:tblLook w:firstColumn="1" w:firstRow="1" w:lastColumn="0" w:lastRow="0" w:noHBand="0" w:noVBand="1" w:val="04A0"/>
      </w:tblPr>
      <w:tblGrid>
        <w:gridCol w:w="2237"/>
        <w:gridCol w:w="1367"/>
        <w:gridCol w:w="1367"/>
        <w:gridCol w:w="1367"/>
        <w:gridCol w:w="1367"/>
        <w:gridCol w:w="1367"/>
      </w:tblGrid>
      <w:tr>
        <w:trPr>
          <w:tblHeader/>
        </w:trPr>
        <w:tc>
          <w:tcPr>
            <w:tcW w:type="dxa" w:w="2237"/>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20"/>
              </w:rPr>
              <w:t>Indicador</w:t>
            </w:r>
          </w:p>
        </w:tc>
        <w:tc>
          <w:tcPr>
            <w:tcW w:type="dxa" w:w="1367"/>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20"/>
              </w:rPr>
              <w:t>2019</w:t>
            </w:r>
          </w:p>
        </w:tc>
        <w:tc>
          <w:tcPr>
            <w:tcW w:type="dxa" w:w="1367"/>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20"/>
              </w:rPr>
              <w:t>2020</w:t>
            </w:r>
          </w:p>
        </w:tc>
        <w:tc>
          <w:tcPr>
            <w:tcW w:type="dxa" w:w="1367"/>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20"/>
              </w:rPr>
              <w:t>2021</w:t>
            </w:r>
          </w:p>
        </w:tc>
        <w:tc>
          <w:tcPr>
            <w:tcW w:type="dxa" w:w="1367"/>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20"/>
              </w:rPr>
              <w:t>2022</w:t>
            </w:r>
          </w:p>
        </w:tc>
        <w:tc>
          <w:tcPr>
            <w:tcW w:type="dxa" w:w="1367"/>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20"/>
              </w:rPr>
              <w:t>2023</w:t>
            </w:r>
          </w:p>
        </w:tc>
      </w:tr>
      <w:tr>
        <w:tc>
          <w:tcPr>
            <w:tcW w:type="dxa" w:w="223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Matriculados</w:t>
            </w:r>
          </w:p>
        </w:tc>
        <w:tc>
          <w:tcPr>
            <w:tcW w:type="dxa" w:w="13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4.371</w:t>
            </w:r>
          </w:p>
        </w:tc>
        <w:tc>
          <w:tcPr>
            <w:tcW w:type="dxa" w:w="13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4.138</w:t>
            </w:r>
          </w:p>
        </w:tc>
        <w:tc>
          <w:tcPr>
            <w:tcW w:type="dxa" w:w="13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4.705</w:t>
            </w:r>
          </w:p>
        </w:tc>
        <w:tc>
          <w:tcPr>
            <w:tcW w:type="dxa" w:w="13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4.546</w:t>
            </w:r>
          </w:p>
        </w:tc>
        <w:tc>
          <w:tcPr>
            <w:tcW w:type="dxa" w:w="13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4.385</w:t>
            </w:r>
          </w:p>
        </w:tc>
      </w:tr>
      <w:tr>
        <w:tc>
          <w:tcPr>
            <w:tcW w:type="dxa" w:w="223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Inscritos</w:t>
            </w:r>
          </w:p>
        </w:tc>
        <w:tc>
          <w:tcPr>
            <w:tcW w:type="dxa" w:w="13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2.836</w:t>
            </w:r>
          </w:p>
        </w:tc>
        <w:tc>
          <w:tcPr>
            <w:tcW w:type="dxa" w:w="13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2.828</w:t>
            </w:r>
          </w:p>
        </w:tc>
        <w:tc>
          <w:tcPr>
            <w:tcW w:type="dxa" w:w="13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3.152</w:t>
            </w:r>
          </w:p>
        </w:tc>
        <w:tc>
          <w:tcPr>
            <w:tcW w:type="dxa" w:w="13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3.231</w:t>
            </w:r>
          </w:p>
        </w:tc>
        <w:tc>
          <w:tcPr>
            <w:tcW w:type="dxa" w:w="13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3.214</w:t>
            </w:r>
          </w:p>
        </w:tc>
      </w:tr>
      <w:tr>
        <w:tc>
          <w:tcPr>
            <w:tcW w:type="dxa" w:w="223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Matrícula no activada</w:t>
            </w:r>
          </w:p>
        </w:tc>
        <w:tc>
          <w:tcPr>
            <w:tcW w:type="dxa" w:w="13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1.535</w:t>
            </w:r>
          </w:p>
        </w:tc>
        <w:tc>
          <w:tcPr>
            <w:tcW w:type="dxa" w:w="13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1.310</w:t>
            </w:r>
          </w:p>
        </w:tc>
        <w:tc>
          <w:tcPr>
            <w:tcW w:type="dxa" w:w="13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1.553</w:t>
            </w:r>
          </w:p>
        </w:tc>
        <w:tc>
          <w:tcPr>
            <w:tcW w:type="dxa" w:w="13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1.315</w:t>
            </w:r>
          </w:p>
        </w:tc>
        <w:tc>
          <w:tcPr>
            <w:tcW w:type="dxa" w:w="13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1.171</w:t>
            </w:r>
          </w:p>
        </w:tc>
      </w:tr>
      <w:tr>
        <w:tc>
          <w:tcPr>
            <w:tcW w:type="dxa" w:w="223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 de activación</w:t>
            </w:r>
          </w:p>
        </w:tc>
        <w:tc>
          <w:tcPr>
            <w:tcW w:type="dxa" w:w="13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64,88</w:t>
            </w:r>
          </w:p>
        </w:tc>
        <w:tc>
          <w:tcPr>
            <w:tcW w:type="dxa" w:w="13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68,34</w:t>
            </w:r>
          </w:p>
        </w:tc>
        <w:tc>
          <w:tcPr>
            <w:tcW w:type="dxa" w:w="13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66,99</w:t>
            </w:r>
          </w:p>
        </w:tc>
        <w:tc>
          <w:tcPr>
            <w:tcW w:type="dxa" w:w="13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71,07</w:t>
            </w:r>
          </w:p>
        </w:tc>
        <w:tc>
          <w:tcPr>
            <w:tcW w:type="dxa" w:w="13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73,29</w:t>
            </w:r>
          </w:p>
        </w:tc>
      </w:tr>
    </w:tbl>
    <w:p>
      <w:pPr>
        <w:spacing w:before="0" w:after="120" w:line="240" w:lineRule="auto"/>
        <w:jc w:val="left"/>
      </w:pPr>
    </w:p>
    <w:p>
      <w:pPr>
        <w:spacing w:before="0" w:after="200" w:line="240" w:lineRule="auto"/>
        <w:jc w:val="both"/>
      </w:pPr>
      <w:r>
        <w:rPr>
          <w:rFonts w:ascii="Century Gothic" w:hAnsi="Century Gothic" w:cs="Century Gothic" w:eastAsia="Century Gothic"/>
          <w:b w:val="0"/>
          <w:i/>
          <w:sz w:val="20"/>
        </w:rPr>
        <w:t>Fuente: Centro de Cómputo de la Carrera. Porcentajes calculados por la Comisión.</w:t>
      </w:r>
    </w:p>
    <w:p>
      <w:pPr>
        <w:spacing w:before="0" w:after="200" w:line="240" w:lineRule="auto"/>
        <w:jc w:val="both"/>
      </w:pPr>
      <w:r>
        <w:rPr>
          <w:rFonts w:ascii="Century Gothic" w:hAnsi="Century Gothic" w:cs="Century Gothic" w:eastAsia="Century Gothic"/>
          <w:b/>
          <w:i w:val="0"/>
          <w:sz w:val="20"/>
        </w:rPr>
        <w:t>Cuadro 6. Titulados por modalidad de graduación, 2018–2022</w:t>
      </w:r>
    </w:p>
    <w:tbl>
      <w:tblPr>
        <w:tblW w:type="auto" w:w="0"/>
        <w:jc w:val="center"/>
        <w:tblLayout w:type="fixed"/>
        <w:tblLook w:firstColumn="1" w:firstRow="1" w:lastColumn="0" w:lastRow="0" w:noHBand="0" w:noVBand="1" w:val="04A0"/>
      </w:tblPr>
      <w:tblGrid>
        <w:gridCol w:w="1685"/>
        <w:gridCol w:w="1055"/>
        <w:gridCol w:w="1055"/>
        <w:gridCol w:w="1055"/>
        <w:gridCol w:w="1055"/>
        <w:gridCol w:w="1055"/>
        <w:gridCol w:w="1055"/>
        <w:gridCol w:w="1055"/>
      </w:tblGrid>
      <w:tr>
        <w:trPr>
          <w:tblHeader/>
        </w:trPr>
        <w:tc>
          <w:tcPr>
            <w:tcW w:type="dxa" w:w="1685"/>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20"/>
              </w:rPr>
              <w:t>Modalidad</w:t>
            </w:r>
          </w:p>
        </w:tc>
        <w:tc>
          <w:tcPr>
            <w:tcW w:type="dxa" w:w="1055"/>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20"/>
              </w:rPr>
              <w:t>2018</w:t>
            </w:r>
          </w:p>
        </w:tc>
        <w:tc>
          <w:tcPr>
            <w:tcW w:type="dxa" w:w="1055"/>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20"/>
              </w:rPr>
              <w:t>2019</w:t>
            </w:r>
          </w:p>
        </w:tc>
        <w:tc>
          <w:tcPr>
            <w:tcW w:type="dxa" w:w="1055"/>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20"/>
              </w:rPr>
              <w:t>2020</w:t>
            </w:r>
          </w:p>
        </w:tc>
        <w:tc>
          <w:tcPr>
            <w:tcW w:type="dxa" w:w="1055"/>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20"/>
              </w:rPr>
              <w:t>2021</w:t>
            </w:r>
          </w:p>
        </w:tc>
        <w:tc>
          <w:tcPr>
            <w:tcW w:type="dxa" w:w="1055"/>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20"/>
              </w:rPr>
              <w:t>2022</w:t>
            </w:r>
          </w:p>
        </w:tc>
        <w:tc>
          <w:tcPr>
            <w:tcW w:type="dxa" w:w="1055"/>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20"/>
              </w:rPr>
              <w:t>Total</w:t>
            </w:r>
          </w:p>
        </w:tc>
        <w:tc>
          <w:tcPr>
            <w:tcW w:type="dxa" w:w="1055"/>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20"/>
              </w:rPr>
              <w:t>%</w:t>
            </w:r>
          </w:p>
        </w:tc>
      </w:tr>
      <w:tr>
        <w:tc>
          <w:tcPr>
            <w:tcW w:type="dxa" w:w="168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Tesis de grado</w:t>
            </w:r>
          </w:p>
        </w:tc>
        <w:tc>
          <w:tcPr>
            <w:tcW w:type="dxa" w:w="105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1</w:t>
            </w:r>
          </w:p>
        </w:tc>
        <w:tc>
          <w:tcPr>
            <w:tcW w:type="dxa" w:w="105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1</w:t>
            </w:r>
          </w:p>
        </w:tc>
        <w:tc>
          <w:tcPr>
            <w:tcW w:type="dxa" w:w="105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w:t>
            </w:r>
          </w:p>
        </w:tc>
        <w:tc>
          <w:tcPr>
            <w:tcW w:type="dxa" w:w="105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1</w:t>
            </w:r>
          </w:p>
        </w:tc>
        <w:tc>
          <w:tcPr>
            <w:tcW w:type="dxa" w:w="105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1</w:t>
            </w:r>
          </w:p>
        </w:tc>
        <w:tc>
          <w:tcPr>
            <w:tcW w:type="dxa" w:w="105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4</w:t>
            </w:r>
          </w:p>
        </w:tc>
        <w:tc>
          <w:tcPr>
            <w:tcW w:type="dxa" w:w="105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0,21</w:t>
            </w:r>
          </w:p>
        </w:tc>
      </w:tr>
      <w:tr>
        <w:tc>
          <w:tcPr>
            <w:tcW w:type="dxa" w:w="168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Proyecto de grado</w:t>
            </w:r>
          </w:p>
        </w:tc>
        <w:tc>
          <w:tcPr>
            <w:tcW w:type="dxa" w:w="105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30</w:t>
            </w:r>
          </w:p>
        </w:tc>
        <w:tc>
          <w:tcPr>
            <w:tcW w:type="dxa" w:w="105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18</w:t>
            </w:r>
          </w:p>
        </w:tc>
        <w:tc>
          <w:tcPr>
            <w:tcW w:type="dxa" w:w="105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w:t>
            </w:r>
          </w:p>
        </w:tc>
        <w:tc>
          <w:tcPr>
            <w:tcW w:type="dxa" w:w="105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14</w:t>
            </w:r>
          </w:p>
        </w:tc>
        <w:tc>
          <w:tcPr>
            <w:tcW w:type="dxa" w:w="105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5</w:t>
            </w:r>
          </w:p>
        </w:tc>
        <w:tc>
          <w:tcPr>
            <w:tcW w:type="dxa" w:w="105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67</w:t>
            </w:r>
          </w:p>
        </w:tc>
        <w:tc>
          <w:tcPr>
            <w:tcW w:type="dxa" w:w="105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3,52</w:t>
            </w:r>
          </w:p>
        </w:tc>
      </w:tr>
      <w:tr>
        <w:tc>
          <w:tcPr>
            <w:tcW w:type="dxa" w:w="168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Trabajo dirigido</w:t>
            </w:r>
          </w:p>
        </w:tc>
        <w:tc>
          <w:tcPr>
            <w:tcW w:type="dxa" w:w="105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112</w:t>
            </w:r>
          </w:p>
        </w:tc>
        <w:tc>
          <w:tcPr>
            <w:tcW w:type="dxa" w:w="105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91</w:t>
            </w:r>
          </w:p>
        </w:tc>
        <w:tc>
          <w:tcPr>
            <w:tcW w:type="dxa" w:w="105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11</w:t>
            </w:r>
          </w:p>
        </w:tc>
        <w:tc>
          <w:tcPr>
            <w:tcW w:type="dxa" w:w="105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60</w:t>
            </w:r>
          </w:p>
        </w:tc>
        <w:tc>
          <w:tcPr>
            <w:tcW w:type="dxa" w:w="105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27</w:t>
            </w:r>
          </w:p>
        </w:tc>
        <w:tc>
          <w:tcPr>
            <w:tcW w:type="dxa" w:w="105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301</w:t>
            </w:r>
          </w:p>
        </w:tc>
        <w:tc>
          <w:tcPr>
            <w:tcW w:type="dxa" w:w="105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15,83</w:t>
            </w:r>
          </w:p>
        </w:tc>
      </w:tr>
      <w:tr>
        <w:tc>
          <w:tcPr>
            <w:tcW w:type="dxa" w:w="168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Examen de grado</w:t>
            </w:r>
          </w:p>
        </w:tc>
        <w:tc>
          <w:tcPr>
            <w:tcW w:type="dxa" w:w="105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274</w:t>
            </w:r>
          </w:p>
        </w:tc>
        <w:tc>
          <w:tcPr>
            <w:tcW w:type="dxa" w:w="105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359</w:t>
            </w:r>
          </w:p>
        </w:tc>
        <w:tc>
          <w:tcPr>
            <w:tcW w:type="dxa" w:w="105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76</w:t>
            </w:r>
          </w:p>
        </w:tc>
        <w:tc>
          <w:tcPr>
            <w:tcW w:type="dxa" w:w="105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405</w:t>
            </w:r>
          </w:p>
        </w:tc>
        <w:tc>
          <w:tcPr>
            <w:tcW w:type="dxa" w:w="105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272</w:t>
            </w:r>
          </w:p>
        </w:tc>
        <w:tc>
          <w:tcPr>
            <w:tcW w:type="dxa" w:w="105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1.386</w:t>
            </w:r>
          </w:p>
        </w:tc>
        <w:tc>
          <w:tcPr>
            <w:tcW w:type="dxa" w:w="105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72,91</w:t>
            </w:r>
          </w:p>
        </w:tc>
      </w:tr>
      <w:tr>
        <w:tc>
          <w:tcPr>
            <w:tcW w:type="dxa" w:w="168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Excelencia académica</w:t>
            </w:r>
          </w:p>
        </w:tc>
        <w:tc>
          <w:tcPr>
            <w:tcW w:type="dxa" w:w="105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32</w:t>
            </w:r>
          </w:p>
        </w:tc>
        <w:tc>
          <w:tcPr>
            <w:tcW w:type="dxa" w:w="105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32</w:t>
            </w:r>
          </w:p>
        </w:tc>
        <w:tc>
          <w:tcPr>
            <w:tcW w:type="dxa" w:w="105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2</w:t>
            </w:r>
          </w:p>
        </w:tc>
        <w:tc>
          <w:tcPr>
            <w:tcW w:type="dxa" w:w="105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34</w:t>
            </w:r>
          </w:p>
        </w:tc>
        <w:tc>
          <w:tcPr>
            <w:tcW w:type="dxa" w:w="105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43</w:t>
            </w:r>
          </w:p>
        </w:tc>
        <w:tc>
          <w:tcPr>
            <w:tcW w:type="dxa" w:w="105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143</w:t>
            </w:r>
          </w:p>
        </w:tc>
        <w:tc>
          <w:tcPr>
            <w:tcW w:type="dxa" w:w="105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7,52</w:t>
            </w:r>
          </w:p>
        </w:tc>
      </w:tr>
      <w:tr>
        <w:tc>
          <w:tcPr>
            <w:tcW w:type="dxa" w:w="168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i w:val="0"/>
                <w:sz w:val="20"/>
              </w:rPr>
              <w:t>Total</w:t>
            </w:r>
          </w:p>
        </w:tc>
        <w:tc>
          <w:tcPr>
            <w:tcW w:type="dxa" w:w="105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i w:val="0"/>
                <w:sz w:val="20"/>
              </w:rPr>
              <w:t>449</w:t>
            </w:r>
          </w:p>
        </w:tc>
        <w:tc>
          <w:tcPr>
            <w:tcW w:type="dxa" w:w="105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i w:val="0"/>
                <w:sz w:val="20"/>
              </w:rPr>
              <w:t>501</w:t>
            </w:r>
          </w:p>
        </w:tc>
        <w:tc>
          <w:tcPr>
            <w:tcW w:type="dxa" w:w="105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i w:val="0"/>
                <w:sz w:val="20"/>
              </w:rPr>
              <w:t>89</w:t>
            </w:r>
          </w:p>
        </w:tc>
        <w:tc>
          <w:tcPr>
            <w:tcW w:type="dxa" w:w="105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i w:val="0"/>
                <w:sz w:val="20"/>
              </w:rPr>
              <w:t>514</w:t>
            </w:r>
          </w:p>
        </w:tc>
        <w:tc>
          <w:tcPr>
            <w:tcW w:type="dxa" w:w="105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i w:val="0"/>
                <w:sz w:val="20"/>
              </w:rPr>
              <w:t>348</w:t>
            </w:r>
          </w:p>
        </w:tc>
        <w:tc>
          <w:tcPr>
            <w:tcW w:type="dxa" w:w="105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i w:val="0"/>
                <w:sz w:val="20"/>
              </w:rPr>
              <w:t>1.901</w:t>
            </w:r>
          </w:p>
        </w:tc>
        <w:tc>
          <w:tcPr>
            <w:tcW w:type="dxa" w:w="105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i w:val="0"/>
                <w:sz w:val="20"/>
              </w:rPr>
              <w:t>100,00</w:t>
            </w:r>
          </w:p>
        </w:tc>
      </w:tr>
    </w:tbl>
    <w:p>
      <w:pPr>
        <w:spacing w:before="0" w:after="120" w:line="240" w:lineRule="auto"/>
        <w:jc w:val="left"/>
      </w:pPr>
    </w:p>
    <w:p>
      <w:pPr>
        <w:spacing w:before="0" w:after="200" w:line="240" w:lineRule="auto"/>
        <w:jc w:val="both"/>
      </w:pPr>
      <w:r>
        <w:rPr>
          <w:rFonts w:ascii="Century Gothic" w:hAnsi="Century Gothic" w:cs="Century Gothic" w:eastAsia="Century Gothic"/>
          <w:b w:val="0"/>
          <w:i/>
          <w:sz w:val="20"/>
        </w:rPr>
        <w:t>Fuente: Unidad de Kardex de la Carrera. La caída de 2020 corresponde a la suspensión de actividades por la pandemia.</w:t>
      </w:r>
    </w:p>
    <w:p>
      <w:pPr>
        <w:spacing w:before="0" w:after="200" w:line="240" w:lineRule="auto"/>
        <w:jc w:val="both"/>
      </w:pPr>
      <w:r>
        <w:rPr>
          <w:rFonts w:ascii="Century Gothic" w:hAnsi="Century Gothic" w:cs="Century Gothic" w:eastAsia="Century Gothic"/>
          <w:b w:val="0"/>
          <w:i w:val="0"/>
          <w:sz w:val="20"/>
        </w:rPr>
        <w:t xml:space="preserve">La serie de titulación revela un </w:t>
      </w:r>
      <w:r>
        <w:rPr>
          <w:rFonts w:ascii="Century Gothic" w:hAnsi="Century Gothic" w:cs="Century Gothic" w:eastAsia="Century Gothic"/>
          <w:b/>
          <w:i w:val="0"/>
          <w:sz w:val="20"/>
        </w:rPr>
        <w:t>patrón de concentración creciente en el examen</w:t>
      </w:r>
      <w:r>
        <w:rPr>
          <w:rFonts w:ascii="Century Gothic" w:hAnsi="Century Gothic" w:cs="Century Gothic" w:eastAsia="Century Gothic"/>
          <w:b w:val="0"/>
          <w:i w:val="0"/>
          <w:sz w:val="20"/>
        </w:rPr>
        <w:t>: su participación pasó de 61,0 % en 2018 a 78,2 % en 2022, mientras el Trabajo Dirigido —la modalidad con mayor componente de práctica real— cayó del 24,9 % al 7,8 % del total anual. El diagnóstico de la Carrera atribuye este retroceso a la inexistencia de convenios interinstitucionales que permitan desarrollarlo; es decir, a la misma carencia de vinculación con el medio que los egresados señalan en la encuesta.</w:t>
      </w:r>
    </w:p>
    <w:p>
      <w:pPr>
        <w:spacing w:before="0" w:after="200" w:line="240" w:lineRule="auto"/>
        <w:jc w:val="both"/>
      </w:pPr>
      <w:r>
        <w:rPr>
          <w:rFonts w:ascii="Century Gothic" w:hAnsi="Century Gothic" w:cs="Century Gothic" w:eastAsia="Century Gothic"/>
          <w:b/>
          <w:i w:val="0"/>
          <w:sz w:val="20"/>
        </w:rPr>
        <w:t>Cuadro 7. Planta docente por dedicación</w:t>
      </w:r>
    </w:p>
    <w:tbl>
      <w:tblPr>
        <w:tblW w:type="auto" w:w="0"/>
        <w:jc w:val="center"/>
        <w:tblLayout w:type="fixed"/>
        <w:tblLook w:firstColumn="1" w:firstRow="1" w:lastColumn="0" w:lastRow="0" w:noHBand="0" w:noVBand="1" w:val="04A0"/>
      </w:tblPr>
      <w:tblGrid>
        <w:gridCol w:w="4354"/>
        <w:gridCol w:w="2370"/>
        <w:gridCol w:w="2346"/>
      </w:tblGrid>
      <w:tr>
        <w:trPr>
          <w:tblHeader/>
        </w:trPr>
        <w:tc>
          <w:tcPr>
            <w:tcW w:type="dxa" w:w="4354"/>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20"/>
              </w:rPr>
              <w:t>Carga horaria mensual</w:t>
            </w:r>
          </w:p>
        </w:tc>
        <w:tc>
          <w:tcPr>
            <w:tcW w:type="dxa" w:w="2370"/>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20"/>
              </w:rPr>
              <w:t>Docentes</w:t>
            </w:r>
          </w:p>
        </w:tc>
        <w:tc>
          <w:tcPr>
            <w:tcW w:type="dxa" w:w="2346"/>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20"/>
              </w:rPr>
              <w:t>%</w:t>
            </w:r>
          </w:p>
        </w:tc>
      </w:tr>
      <w:tr>
        <w:tc>
          <w:tcPr>
            <w:tcW w:type="dxa" w:w="435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160 horas (tiempo completo)</w:t>
            </w:r>
          </w:p>
        </w:tc>
        <w:tc>
          <w:tcPr>
            <w:tcW w:type="dxa" w:w="237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11</w:t>
            </w:r>
          </w:p>
        </w:tc>
        <w:tc>
          <w:tcPr>
            <w:tcW w:type="dxa" w:w="234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10,19</w:t>
            </w:r>
          </w:p>
        </w:tc>
      </w:tr>
      <w:tr>
        <w:tc>
          <w:tcPr>
            <w:tcW w:type="dxa" w:w="435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128 horas</w:t>
            </w:r>
          </w:p>
        </w:tc>
        <w:tc>
          <w:tcPr>
            <w:tcW w:type="dxa" w:w="237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17</w:t>
            </w:r>
          </w:p>
        </w:tc>
        <w:tc>
          <w:tcPr>
            <w:tcW w:type="dxa" w:w="234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15,74</w:t>
            </w:r>
          </w:p>
        </w:tc>
      </w:tr>
      <w:tr>
        <w:tc>
          <w:tcPr>
            <w:tcW w:type="dxa" w:w="435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96 a 112 horas</w:t>
            </w:r>
          </w:p>
        </w:tc>
        <w:tc>
          <w:tcPr>
            <w:tcW w:type="dxa" w:w="237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26</w:t>
            </w:r>
          </w:p>
        </w:tc>
        <w:tc>
          <w:tcPr>
            <w:tcW w:type="dxa" w:w="234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24,07</w:t>
            </w:r>
          </w:p>
        </w:tc>
      </w:tr>
      <w:tr>
        <w:tc>
          <w:tcPr>
            <w:tcW w:type="dxa" w:w="435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48 a 64 horas</w:t>
            </w:r>
          </w:p>
        </w:tc>
        <w:tc>
          <w:tcPr>
            <w:tcW w:type="dxa" w:w="237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20</w:t>
            </w:r>
          </w:p>
        </w:tc>
        <w:tc>
          <w:tcPr>
            <w:tcW w:type="dxa" w:w="234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18,52</w:t>
            </w:r>
          </w:p>
        </w:tc>
      </w:tr>
      <w:tr>
        <w:tc>
          <w:tcPr>
            <w:tcW w:type="dxa" w:w="435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32 horas (mínima)</w:t>
            </w:r>
          </w:p>
        </w:tc>
        <w:tc>
          <w:tcPr>
            <w:tcW w:type="dxa" w:w="237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34</w:t>
            </w:r>
          </w:p>
        </w:tc>
        <w:tc>
          <w:tcPr>
            <w:tcW w:type="dxa" w:w="234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31,48</w:t>
            </w:r>
          </w:p>
        </w:tc>
      </w:tr>
      <w:tr>
        <w:tc>
          <w:tcPr>
            <w:tcW w:type="dxa" w:w="435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i w:val="0"/>
                <w:sz w:val="20"/>
              </w:rPr>
              <w:t>Total con carga asignada</w:t>
            </w:r>
          </w:p>
        </w:tc>
        <w:tc>
          <w:tcPr>
            <w:tcW w:type="dxa" w:w="237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i w:val="0"/>
                <w:sz w:val="20"/>
              </w:rPr>
              <w:t>108</w:t>
            </w:r>
          </w:p>
        </w:tc>
        <w:tc>
          <w:tcPr>
            <w:tcW w:type="dxa" w:w="234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i w:val="0"/>
                <w:sz w:val="20"/>
              </w:rPr>
              <w:t>100,00</w:t>
            </w:r>
          </w:p>
        </w:tc>
      </w:tr>
    </w:tbl>
    <w:p>
      <w:pPr>
        <w:spacing w:before="0" w:after="120" w:line="240" w:lineRule="auto"/>
        <w:jc w:val="left"/>
      </w:pPr>
    </w:p>
    <w:p>
      <w:pPr>
        <w:spacing w:before="0" w:after="200" w:line="240" w:lineRule="auto"/>
        <w:jc w:val="both"/>
      </w:pPr>
      <w:r>
        <w:rPr>
          <w:rFonts w:ascii="Century Gothic" w:hAnsi="Century Gothic" w:cs="Century Gothic" w:eastAsia="Century Gothic"/>
          <w:b w:val="0"/>
          <w:i/>
          <w:sz w:val="20"/>
        </w:rPr>
        <w:t>Fuente: Centro de Cómputo de la Carrera.</w:t>
      </w:r>
    </w:p>
    <w:p>
      <w:pPr>
        <w:spacing w:before="0" w:after="200" w:line="240" w:lineRule="auto"/>
        <w:jc w:val="both"/>
      </w:pPr>
      <w:r>
        <w:rPr>
          <w:rFonts w:ascii="Century Gothic" w:hAnsi="Century Gothic" w:cs="Century Gothic" w:eastAsia="Century Gothic"/>
          <w:b w:val="0"/>
          <w:i w:val="0"/>
          <w:sz w:val="20"/>
        </w:rPr>
        <w:t xml:space="preserve">Un modelo por competencias exige tutoría, diseño y corrección de evidencias de desempeño y supervisión de prácticas. Con apenas uno de cada diez docentes a tiempo completo y casi un tercio con la carga mínima, </w:t>
      </w:r>
      <w:r>
        <w:rPr>
          <w:rFonts w:ascii="Century Gothic" w:hAnsi="Century Gothic" w:cs="Century Gothic" w:eastAsia="Century Gothic"/>
          <w:b/>
          <w:i w:val="0"/>
          <w:sz w:val="20"/>
        </w:rPr>
        <w:t>la estructura de dedicación es incompatible con ese modelo</w:t>
      </w:r>
      <w:r>
        <w:rPr>
          <w:rFonts w:ascii="Century Gothic" w:hAnsi="Century Gothic" w:cs="Century Gothic" w:eastAsia="Century Gothic"/>
          <w:b w:val="0"/>
          <w:i w:val="0"/>
          <w:sz w:val="20"/>
        </w:rPr>
        <w:t xml:space="preserve"> y debe corregirse como condición de implementación, no como aspiración.</w:t>
      </w:r>
    </w:p>
    <w:p>
      <w:pPr>
        <w:keepNext/>
        <w:spacing w:before="40" w:after="200" w:line="240" w:lineRule="auto"/>
        <w:jc w:val="left"/>
      </w:pPr>
      <w:r>
        <w:rPr>
          <w:rFonts w:ascii="Century Gothic" w:hAnsi="Century Gothic" w:cs="Century Gothic" w:eastAsia="Century Gothic"/>
          <w:b/>
          <w:i w:val="0"/>
          <w:sz w:val="22"/>
        </w:rPr>
        <w:t>c) Resultados cualitativos: la percepción de los egresados</w:t>
      </w:r>
    </w:p>
    <w:p>
      <w:pPr>
        <w:spacing w:before="0" w:after="200" w:line="240" w:lineRule="auto"/>
        <w:jc w:val="both"/>
      </w:pPr>
      <w:r>
        <w:rPr>
          <w:rFonts w:ascii="Century Gothic" w:hAnsi="Century Gothic" w:cs="Century Gothic" w:eastAsia="Century Gothic"/>
          <w:b w:val="0"/>
          <w:i w:val="0"/>
          <w:sz w:val="20"/>
        </w:rPr>
        <w:t>El estudio de Ipsos CIESMORI (2025), con 160 egresados de Contaduría Pública de entre 4 y 10 años de egreso, permite valorar el plan desde quienes lo cursaron:</w:t>
      </w:r>
    </w:p>
    <w:p>
      <w:pPr>
        <w:numPr>
          <w:ilvl w:val="0"/>
          <w:numId w:val="901"/>
        </w:numPr>
        <w:spacing w:before="0" w:after="160" w:line="240" w:lineRule="auto"/>
        <w:jc w:val="both"/>
      </w:pPr>
      <w:r>
        <w:rPr>
          <w:rFonts w:ascii="Century Gothic" w:hAnsi="Century Gothic" w:cs="Century Gothic" w:eastAsia="Century Gothic"/>
          <w:b/>
          <w:i w:val="0"/>
          <w:sz w:val="20"/>
        </w:rPr>
        <w:t>Fortaleza acreditada: el núcleo contable y normativo.</w:t>
      </w:r>
      <w:r>
        <w:rPr>
          <w:rFonts w:ascii="Century Gothic" w:hAnsi="Century Gothic" w:cs="Century Gothic" w:eastAsia="Century Gothic"/>
          <w:b w:val="0"/>
          <w:i w:val="0"/>
          <w:sz w:val="20"/>
        </w:rPr>
        <w:t xml:space="preserve"> Contabilidad Básica es la asignatura más pertinente (65 %), seguida de Contabilidad de Tributos (27 %) y Gabinete de Auditoría Financiera (24 %); las NIIF y las normas de auditoría se recuerdan como enseñadas con alta frecuencia (51 % y 52 %). Contaduría Pública es, además, la carrera de la Facultad con mayor proporción de egresados que ejerce (63 %, frente a 57 % en Administración y 49 % en Economía).</w:t>
      </w:r>
    </w:p>
    <w:p>
      <w:pPr>
        <w:numPr>
          <w:ilvl w:val="0"/>
          <w:numId w:val="901"/>
        </w:numPr>
        <w:spacing w:before="0" w:after="160" w:line="240" w:lineRule="auto"/>
        <w:jc w:val="both"/>
      </w:pPr>
      <w:r>
        <w:rPr>
          <w:rFonts w:ascii="Century Gothic" w:hAnsi="Century Gothic" w:cs="Century Gothic" w:eastAsia="Century Gothic"/>
          <w:b/>
          <w:i w:val="0"/>
          <w:sz w:val="20"/>
        </w:rPr>
        <w:t>Debilidad principal: los saberes tecnológicos aplicados.</w:t>
      </w:r>
      <w:r>
        <w:rPr>
          <w:rFonts w:ascii="Century Gothic" w:hAnsi="Century Gothic" w:cs="Century Gothic" w:eastAsia="Century Gothic"/>
          <w:b w:val="0"/>
          <w:i w:val="0"/>
          <w:sz w:val="20"/>
        </w:rPr>
        <w:t xml:space="preserve"> El 75 % señala como necesaria la formación en software contable y tributario, ERP y análisis de datos; sólo el 5 % la recibió con frecuencia y el 60 % casi nunca.</w:t>
      </w:r>
    </w:p>
    <w:p>
      <w:pPr>
        <w:numPr>
          <w:ilvl w:val="0"/>
          <w:numId w:val="901"/>
        </w:numPr>
        <w:spacing w:before="0" w:after="160" w:line="240" w:lineRule="auto"/>
        <w:jc w:val="both"/>
      </w:pPr>
      <w:r>
        <w:rPr>
          <w:rFonts w:ascii="Century Gothic" w:hAnsi="Century Gothic" w:cs="Century Gothic" w:eastAsia="Century Gothic"/>
          <w:b/>
          <w:i w:val="0"/>
          <w:sz w:val="20"/>
        </w:rPr>
        <w:t>Debilidades complementarias:</w:t>
      </w:r>
      <w:r>
        <w:rPr>
          <w:rFonts w:ascii="Century Gothic" w:hAnsi="Century Gothic" w:cs="Century Gothic" w:eastAsia="Century Gothic"/>
          <w:b w:val="0"/>
          <w:i w:val="0"/>
          <w:sz w:val="20"/>
        </w:rPr>
        <w:t xml:space="preserve"> práctica de auditoría (44 % de baja frecuencia), papeles de trabajo y simulaciones (39 %), y saberes actitudinales como adaptabilidad (70 %) y actitud emprendedora (55 %).</w:t>
      </w:r>
    </w:p>
    <w:p>
      <w:pPr>
        <w:numPr>
          <w:ilvl w:val="0"/>
          <w:numId w:val="901"/>
        </w:numPr>
        <w:spacing w:before="0" w:after="200" w:line="240" w:lineRule="auto"/>
        <w:jc w:val="both"/>
      </w:pPr>
      <w:r>
        <w:rPr>
          <w:rFonts w:ascii="Century Gothic" w:hAnsi="Century Gothic" w:cs="Century Gothic" w:eastAsia="Century Gothic"/>
          <w:b/>
          <w:i w:val="0"/>
          <w:sz w:val="20"/>
        </w:rPr>
        <w:t>Valoración global moderada, no crítica:</w:t>
      </w:r>
      <w:r>
        <w:rPr>
          <w:rFonts w:ascii="Century Gothic" w:hAnsi="Century Gothic" w:cs="Century Gothic" w:eastAsia="Century Gothic"/>
          <w:b w:val="0"/>
          <w:i w:val="0"/>
          <w:sz w:val="20"/>
        </w:rPr>
        <w:t xml:space="preserve"> el 62 % aprueba la preparación del plantel docente y el 54 % considera el plan adecuado al mercado, pero sólo el 42 % se siente preparado gracias a su formación y el mismo 42 % cree que la UMSA facilita la práctica en contextos reales.</w:t>
      </w:r>
    </w:p>
    <w:p>
      <w:pPr>
        <w:spacing w:before="0" w:after="200" w:line="240" w:lineRule="auto"/>
        <w:jc w:val="both"/>
      </w:pPr>
      <w:r>
        <w:rPr>
          <w:rFonts w:ascii="Century Gothic" w:hAnsi="Century Gothic" w:cs="Century Gothic" w:eastAsia="Century Gothic"/>
          <w:b/>
          <w:i w:val="0"/>
          <w:sz w:val="20"/>
        </w:rPr>
        <w:t>Cuadro 8. Competencias específicas: demanda de los egresados y frecuencia de enseñanza</w:t>
      </w:r>
    </w:p>
    <w:tbl>
      <w:tblPr>
        <w:tblW w:type="auto" w:w="0"/>
        <w:jc w:val="center"/>
        <w:tblLayout w:type="fixed"/>
        <w:tblLook w:firstColumn="1" w:firstRow="1" w:lastColumn="0" w:lastRow="0" w:noHBand="0" w:noVBand="1" w:val="04A0"/>
      </w:tblPr>
      <w:tblGrid>
        <w:gridCol w:w="3093"/>
        <w:gridCol w:w="1918"/>
        <w:gridCol w:w="2030"/>
        <w:gridCol w:w="2030"/>
      </w:tblGrid>
      <w:tr>
        <w:trPr>
          <w:tblHeader/>
        </w:trPr>
        <w:tc>
          <w:tcPr>
            <w:tcW w:type="dxa" w:w="3093"/>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20"/>
              </w:rPr>
              <w:t>Competencia o saber</w:t>
            </w:r>
          </w:p>
        </w:tc>
        <w:tc>
          <w:tcPr>
            <w:tcW w:type="dxa" w:w="1918"/>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20"/>
              </w:rPr>
              <w:t>La señalan como necesaria</w:t>
            </w:r>
          </w:p>
        </w:tc>
        <w:tc>
          <w:tcPr>
            <w:tcW w:type="dxa" w:w="2030"/>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20"/>
              </w:rPr>
              <w:t>Enseñada con alta frecuencia</w:t>
            </w:r>
          </w:p>
        </w:tc>
        <w:tc>
          <w:tcPr>
            <w:tcW w:type="dxa" w:w="2030"/>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20"/>
              </w:rPr>
              <w:t>Enseñada con baja frecuencia</w:t>
            </w:r>
          </w:p>
        </w:tc>
      </w:tr>
      <w:tr>
        <w:tc>
          <w:tcPr>
            <w:tcW w:type="dxa" w:w="309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Software contable y tributario, ERP y análisis de datos</w:t>
            </w:r>
          </w:p>
        </w:tc>
        <w:tc>
          <w:tcPr>
            <w:tcW w:type="dxa" w:w="191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75 %</w:t>
            </w:r>
          </w:p>
        </w:tc>
        <w:tc>
          <w:tcPr>
            <w:tcW w:type="dxa" w:w="203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5 %</w:t>
            </w:r>
          </w:p>
        </w:tc>
        <w:tc>
          <w:tcPr>
            <w:tcW w:type="dxa" w:w="203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60 %</w:t>
            </w:r>
          </w:p>
        </w:tc>
      </w:tr>
      <w:tr>
        <w:tc>
          <w:tcPr>
            <w:tcW w:type="dxa" w:w="309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Sistemas contables, software financiero y plataformas tributarias</w:t>
            </w:r>
          </w:p>
        </w:tc>
        <w:tc>
          <w:tcPr>
            <w:tcW w:type="dxa" w:w="191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56 %</w:t>
            </w:r>
          </w:p>
        </w:tc>
        <w:tc>
          <w:tcPr>
            <w:tcW w:type="dxa" w:w="203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11 %</w:t>
            </w:r>
          </w:p>
        </w:tc>
        <w:tc>
          <w:tcPr>
            <w:tcW w:type="dxa" w:w="203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55 %</w:t>
            </w:r>
          </w:p>
        </w:tc>
      </w:tr>
      <w:tr>
        <w:tc>
          <w:tcPr>
            <w:tcW w:type="dxa" w:w="309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Principios de contabilidad y NIIF</w:t>
            </w:r>
          </w:p>
        </w:tc>
        <w:tc>
          <w:tcPr>
            <w:tcW w:type="dxa" w:w="191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50 %</w:t>
            </w:r>
          </w:p>
        </w:tc>
        <w:tc>
          <w:tcPr>
            <w:tcW w:type="dxa" w:w="203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51 %</w:t>
            </w:r>
          </w:p>
        </w:tc>
        <w:tc>
          <w:tcPr>
            <w:tcW w:type="dxa" w:w="203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18 %</w:t>
            </w:r>
          </w:p>
        </w:tc>
      </w:tr>
      <w:tr>
        <w:tc>
          <w:tcPr>
            <w:tcW w:type="dxa" w:w="309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Tributación práctica y normativa contable y fiscal</w:t>
            </w:r>
          </w:p>
        </w:tc>
        <w:tc>
          <w:tcPr>
            <w:tcW w:type="dxa" w:w="191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42 %</w:t>
            </w:r>
          </w:p>
        </w:tc>
        <w:tc>
          <w:tcPr>
            <w:tcW w:type="dxa" w:w="203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36 %</w:t>
            </w:r>
          </w:p>
        </w:tc>
        <w:tc>
          <w:tcPr>
            <w:tcW w:type="dxa" w:w="203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22 %</w:t>
            </w:r>
          </w:p>
        </w:tc>
      </w:tr>
      <w:tr>
        <w:tc>
          <w:tcPr>
            <w:tcW w:type="dxa" w:w="309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Contabilidad financiera, pública, de costos y estados financieros</w:t>
            </w:r>
          </w:p>
        </w:tc>
        <w:tc>
          <w:tcPr>
            <w:tcW w:type="dxa" w:w="191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31 %</w:t>
            </w:r>
          </w:p>
        </w:tc>
        <w:tc>
          <w:tcPr>
            <w:tcW w:type="dxa" w:w="203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46 %</w:t>
            </w:r>
          </w:p>
        </w:tc>
        <w:tc>
          <w:tcPr>
            <w:tcW w:type="dxa" w:w="203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14 %</w:t>
            </w:r>
          </w:p>
        </w:tc>
      </w:tr>
      <w:tr>
        <w:tc>
          <w:tcPr>
            <w:tcW w:type="dxa" w:w="309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Papeles de trabajo, técnicas de auditoría y simulaciones</w:t>
            </w:r>
          </w:p>
        </w:tc>
        <w:tc>
          <w:tcPr>
            <w:tcW w:type="dxa" w:w="191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28 %</w:t>
            </w:r>
          </w:p>
        </w:tc>
        <w:tc>
          <w:tcPr>
            <w:tcW w:type="dxa" w:w="203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16 %</w:t>
            </w:r>
          </w:p>
        </w:tc>
        <w:tc>
          <w:tcPr>
            <w:tcW w:type="dxa" w:w="203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39 %</w:t>
            </w:r>
          </w:p>
        </w:tc>
      </w:tr>
      <w:tr>
        <w:tc>
          <w:tcPr>
            <w:tcW w:type="dxa" w:w="309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Auditoría financiera, operativa e interna y control interno</w:t>
            </w:r>
          </w:p>
        </w:tc>
        <w:tc>
          <w:tcPr>
            <w:tcW w:type="dxa" w:w="191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24 %</w:t>
            </w:r>
          </w:p>
        </w:tc>
        <w:tc>
          <w:tcPr>
            <w:tcW w:type="dxa" w:w="203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25 %</w:t>
            </w:r>
          </w:p>
        </w:tc>
        <w:tc>
          <w:tcPr>
            <w:tcW w:type="dxa" w:w="203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44 %</w:t>
            </w:r>
          </w:p>
        </w:tc>
      </w:tr>
      <w:tr>
        <w:tc>
          <w:tcPr>
            <w:tcW w:type="dxa" w:w="309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Normas de auditoría y fundamentos</w:t>
            </w:r>
          </w:p>
        </w:tc>
        <w:tc>
          <w:tcPr>
            <w:tcW w:type="dxa" w:w="191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23 %</w:t>
            </w:r>
          </w:p>
        </w:tc>
        <w:tc>
          <w:tcPr>
            <w:tcW w:type="dxa" w:w="203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52 %</w:t>
            </w:r>
          </w:p>
        </w:tc>
        <w:tc>
          <w:tcPr>
            <w:tcW w:type="dxa" w:w="203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16 %</w:t>
            </w:r>
          </w:p>
        </w:tc>
      </w:tr>
      <w:tr>
        <w:tc>
          <w:tcPr>
            <w:tcW w:type="dxa" w:w="309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Adaptabilidad y aplicación práctica del conocimiento</w:t>
            </w:r>
          </w:p>
        </w:tc>
        <w:tc>
          <w:tcPr>
            <w:tcW w:type="dxa" w:w="191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15 %</w:t>
            </w:r>
          </w:p>
        </w:tc>
        <w:tc>
          <w:tcPr>
            <w:tcW w:type="dxa" w:w="203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6 %</w:t>
            </w:r>
          </w:p>
        </w:tc>
        <w:tc>
          <w:tcPr>
            <w:tcW w:type="dxa" w:w="203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70 %</w:t>
            </w:r>
          </w:p>
        </w:tc>
      </w:tr>
      <w:tr>
        <w:tc>
          <w:tcPr>
            <w:tcW w:type="dxa" w:w="309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Actitud emprendedora y vinculación con empresas</w:t>
            </w:r>
          </w:p>
        </w:tc>
        <w:tc>
          <w:tcPr>
            <w:tcW w:type="dxa" w:w="191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8 %</w:t>
            </w:r>
          </w:p>
        </w:tc>
        <w:tc>
          <w:tcPr>
            <w:tcW w:type="dxa" w:w="203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11 %</w:t>
            </w:r>
          </w:p>
        </w:tc>
        <w:tc>
          <w:tcPr>
            <w:tcW w:type="dxa" w:w="203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55 %</w:t>
            </w:r>
          </w:p>
        </w:tc>
      </w:tr>
    </w:tbl>
    <w:p>
      <w:pPr>
        <w:spacing w:before="0" w:after="120" w:line="240" w:lineRule="auto"/>
        <w:jc w:val="left"/>
      </w:pPr>
    </w:p>
    <w:p>
      <w:pPr>
        <w:spacing w:before="0" w:after="200" w:line="240" w:lineRule="auto"/>
        <w:jc w:val="both"/>
      </w:pPr>
      <w:r>
        <w:rPr>
          <w:rFonts w:ascii="Century Gothic" w:hAnsi="Century Gothic" w:cs="Century Gothic" w:eastAsia="Century Gothic"/>
          <w:b w:val="0"/>
          <w:i/>
          <w:sz w:val="20"/>
        </w:rPr>
        <w:t>Fuente: Ipsos CIESMORI (2025, diap. 41–44). Menciones espontáneas; bases de 102 a 135 casos.</w:t>
      </w:r>
    </w:p>
    <w:p>
      <w:pPr>
        <w:spacing w:before="0" w:after="200" w:line="240" w:lineRule="auto"/>
        <w:jc w:val="both"/>
      </w:pPr>
      <w:r>
        <w:rPr>
          <w:rFonts w:ascii="Century Gothic" w:hAnsi="Century Gothic" w:cs="Century Gothic" w:eastAsia="Century Gothic"/>
          <w:b/>
          <w:i w:val="0"/>
          <w:sz w:val="20"/>
        </w:rPr>
        <w:t>Cuadro 9. Valoración global de la formación por los egresados</w:t>
      </w:r>
    </w:p>
    <w:tbl>
      <w:tblPr>
        <w:tblW w:type="auto" w:w="0"/>
        <w:jc w:val="center"/>
        <w:tblLayout w:type="fixed"/>
        <w:tblLook w:firstColumn="1" w:firstRow="1" w:lastColumn="0" w:lastRow="0" w:noHBand="0" w:noVBand="1" w:val="04A0"/>
      </w:tblPr>
      <w:tblGrid>
        <w:gridCol w:w="4058"/>
        <w:gridCol w:w="1657"/>
        <w:gridCol w:w="1467"/>
        <w:gridCol w:w="1889"/>
      </w:tblGrid>
      <w:tr>
        <w:trPr>
          <w:tblHeader/>
        </w:trPr>
        <w:tc>
          <w:tcPr>
            <w:tcW w:type="dxa" w:w="4058"/>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20"/>
              </w:rPr>
              <w:t>Afirmación</w:t>
            </w:r>
          </w:p>
        </w:tc>
        <w:tc>
          <w:tcPr>
            <w:tcW w:type="dxa" w:w="1657"/>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20"/>
              </w:rPr>
              <w:t>De acuerdo</w:t>
            </w:r>
          </w:p>
        </w:tc>
        <w:tc>
          <w:tcPr>
            <w:tcW w:type="dxa" w:w="1467"/>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20"/>
              </w:rPr>
              <w:t>Neutral</w:t>
            </w:r>
          </w:p>
        </w:tc>
        <w:tc>
          <w:tcPr>
            <w:tcW w:type="dxa" w:w="1889"/>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20"/>
              </w:rPr>
              <w:t>En desacuerdo</w:t>
            </w:r>
          </w:p>
        </w:tc>
      </w:tr>
      <w:tr>
        <w:tc>
          <w:tcPr>
            <w:tcW w:type="dxa" w:w="405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El plantel docente está preparado para enseñar lo necesario</w:t>
            </w:r>
          </w:p>
        </w:tc>
        <w:tc>
          <w:tcPr>
            <w:tcW w:type="dxa" w:w="165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62 %</w:t>
            </w:r>
          </w:p>
        </w:tc>
        <w:tc>
          <w:tcPr>
            <w:tcW w:type="dxa" w:w="14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24 %</w:t>
            </w:r>
          </w:p>
        </w:tc>
        <w:tc>
          <w:tcPr>
            <w:tcW w:type="dxa" w:w="188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14 %</w:t>
            </w:r>
          </w:p>
        </w:tc>
      </w:tr>
      <w:tr>
        <w:tc>
          <w:tcPr>
            <w:tcW w:type="dxa" w:w="405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El plan está diseñado para afrontar las demandas del mercado</w:t>
            </w:r>
          </w:p>
        </w:tc>
        <w:tc>
          <w:tcPr>
            <w:tcW w:type="dxa" w:w="165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54 %</w:t>
            </w:r>
          </w:p>
        </w:tc>
        <w:tc>
          <w:tcPr>
            <w:tcW w:type="dxa" w:w="14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29 %</w:t>
            </w:r>
          </w:p>
        </w:tc>
        <w:tc>
          <w:tcPr>
            <w:tcW w:type="dxa" w:w="188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16 %</w:t>
            </w:r>
          </w:p>
        </w:tc>
      </w:tr>
      <w:tr>
        <w:tc>
          <w:tcPr>
            <w:tcW w:type="dxa" w:w="405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Los egresados de la UMSA tienen ventaja competitiva</w:t>
            </w:r>
          </w:p>
        </w:tc>
        <w:tc>
          <w:tcPr>
            <w:tcW w:type="dxa" w:w="165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45 %</w:t>
            </w:r>
          </w:p>
        </w:tc>
        <w:tc>
          <w:tcPr>
            <w:tcW w:type="dxa" w:w="14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33 %</w:t>
            </w:r>
          </w:p>
        </w:tc>
        <w:tc>
          <w:tcPr>
            <w:tcW w:type="dxa" w:w="188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22 %</w:t>
            </w:r>
          </w:p>
        </w:tc>
      </w:tr>
      <w:tr>
        <w:tc>
          <w:tcPr>
            <w:tcW w:type="dxa" w:w="405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La universidad enseña tecnología actual útil para el trabajo</w:t>
            </w:r>
          </w:p>
        </w:tc>
        <w:tc>
          <w:tcPr>
            <w:tcW w:type="dxa" w:w="165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43 %</w:t>
            </w:r>
          </w:p>
        </w:tc>
        <w:tc>
          <w:tcPr>
            <w:tcW w:type="dxa" w:w="14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42 %</w:t>
            </w:r>
          </w:p>
        </w:tc>
        <w:tc>
          <w:tcPr>
            <w:tcW w:type="dxa" w:w="188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15 %</w:t>
            </w:r>
          </w:p>
        </w:tc>
      </w:tr>
      <w:tr>
        <w:tc>
          <w:tcPr>
            <w:tcW w:type="dxa" w:w="405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Me siento preparado gracias a mi formación en la UMSA</w:t>
            </w:r>
          </w:p>
        </w:tc>
        <w:tc>
          <w:tcPr>
            <w:tcW w:type="dxa" w:w="165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42 %</w:t>
            </w:r>
          </w:p>
        </w:tc>
        <w:tc>
          <w:tcPr>
            <w:tcW w:type="dxa" w:w="14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38 %</w:t>
            </w:r>
          </w:p>
        </w:tc>
        <w:tc>
          <w:tcPr>
            <w:tcW w:type="dxa" w:w="188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20 %</w:t>
            </w:r>
          </w:p>
        </w:tc>
      </w:tr>
      <w:tr>
        <w:tc>
          <w:tcPr>
            <w:tcW w:type="dxa" w:w="405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La universidad facilita la práctica en contextos reales</w:t>
            </w:r>
          </w:p>
        </w:tc>
        <w:tc>
          <w:tcPr>
            <w:tcW w:type="dxa" w:w="165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42 %</w:t>
            </w:r>
          </w:p>
        </w:tc>
        <w:tc>
          <w:tcPr>
            <w:tcW w:type="dxa" w:w="14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32 %</w:t>
            </w:r>
          </w:p>
        </w:tc>
        <w:tc>
          <w:tcPr>
            <w:tcW w:type="dxa" w:w="188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26 %</w:t>
            </w:r>
          </w:p>
        </w:tc>
      </w:tr>
    </w:tbl>
    <w:p>
      <w:pPr>
        <w:spacing w:before="0" w:after="120" w:line="240" w:lineRule="auto"/>
        <w:jc w:val="left"/>
      </w:pPr>
    </w:p>
    <w:p>
      <w:pPr>
        <w:spacing w:before="0" w:after="200" w:line="240" w:lineRule="auto"/>
        <w:jc w:val="both"/>
      </w:pPr>
      <w:r>
        <w:rPr>
          <w:rFonts w:ascii="Century Gothic" w:hAnsi="Century Gothic" w:cs="Century Gothic" w:eastAsia="Century Gothic"/>
          <w:b w:val="0"/>
          <w:i/>
          <w:sz w:val="20"/>
        </w:rPr>
        <w:t>Fuente: Ipsos CIESMORI (2025, diap. 59–65).</w:t>
      </w:r>
    </w:p>
    <w:p>
      <w:pPr>
        <w:spacing w:before="0" w:after="200" w:line="240" w:lineRule="auto"/>
        <w:jc w:val="both"/>
      </w:pPr>
      <w:r>
        <w:rPr>
          <w:rFonts w:ascii="Century Gothic" w:hAnsi="Century Gothic" w:cs="Century Gothic" w:eastAsia="Century Gothic"/>
          <w:b w:val="0"/>
          <w:i w:val="0"/>
          <w:sz w:val="20"/>
        </w:rPr>
        <w:t xml:space="preserve">La lectura conjunta de ambos cuadros es consistente: </w:t>
      </w:r>
      <w:r>
        <w:rPr>
          <w:rFonts w:ascii="Century Gothic" w:hAnsi="Century Gothic" w:cs="Century Gothic" w:eastAsia="Century Gothic"/>
          <w:b/>
          <w:i w:val="0"/>
          <w:sz w:val="20"/>
        </w:rPr>
        <w:t>lo que la Carrera enseña con frecuencia (núcleo contable, NIIF, normas de auditoría) es lo que los egresados valoran; lo que enseña poco (herramientas, práctica, actitudes) es lo que más les faltó</w:t>
      </w:r>
      <w:r>
        <w:rPr>
          <w:rFonts w:ascii="Century Gothic" w:hAnsi="Century Gothic" w:cs="Century Gothic" w:eastAsia="Century Gothic"/>
          <w:b w:val="0"/>
          <w:i w:val="0"/>
          <w:sz w:val="20"/>
        </w:rPr>
        <w:t>. Esta convergencia permite definir con precisión qué conservar y qué transformar:</w:t>
      </w:r>
    </w:p>
    <w:p>
      <w:pPr>
        <w:spacing w:before="0" w:after="200" w:line="240" w:lineRule="auto"/>
        <w:jc w:val="both"/>
      </w:pPr>
      <w:r>
        <w:rPr>
          <w:rFonts w:ascii="Century Gothic" w:hAnsi="Century Gothic" w:cs="Century Gothic" w:eastAsia="Century Gothic"/>
          <w:b/>
          <w:i w:val="0"/>
          <w:sz w:val="20"/>
        </w:rPr>
        <w:t>Cuadro 10. Tratamiento previsto de los componentes del Plan 2013</w:t>
      </w:r>
    </w:p>
    <w:tbl>
      <w:tblPr>
        <w:tblW w:type="auto" w:w="0"/>
        <w:jc w:val="center"/>
        <w:tblLayout w:type="fixed"/>
        <w:tblLook w:firstColumn="1" w:firstRow="1" w:lastColumn="0" w:lastRow="0" w:noHBand="0" w:noVBand="1" w:val="04A0"/>
      </w:tblPr>
      <w:tblGrid>
        <w:gridCol w:w="1393"/>
        <w:gridCol w:w="4833"/>
        <w:gridCol w:w="2845"/>
      </w:tblGrid>
      <w:tr>
        <w:trPr>
          <w:tblHeader/>
        </w:trPr>
        <w:tc>
          <w:tcPr>
            <w:tcW w:type="dxa" w:w="1393"/>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20"/>
              </w:rPr>
              <w:t>Tratamiento</w:t>
            </w:r>
          </w:p>
        </w:tc>
        <w:tc>
          <w:tcPr>
            <w:tcW w:type="dxa" w:w="4833"/>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20"/>
              </w:rPr>
              <w:t>Componentes</w:t>
            </w:r>
          </w:p>
        </w:tc>
        <w:tc>
          <w:tcPr>
            <w:tcW w:type="dxa" w:w="2845"/>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20"/>
              </w:rPr>
              <w:t>Fundamento</w:t>
            </w:r>
          </w:p>
        </w:tc>
      </w:tr>
      <w:tr>
        <w:tc>
          <w:tcPr>
            <w:tcW w:type="dxa" w:w="139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i w:val="0"/>
                <w:sz w:val="20"/>
              </w:rPr>
              <w:t>Se conserva y actualiza</w:t>
            </w:r>
          </w:p>
        </w:tc>
        <w:tc>
          <w:tcPr>
            <w:tcW w:type="dxa" w:w="483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Núcleo de Información Financiera; gabinetes de auditoría; áreas de Administración, Derecho y Economía</w:t>
            </w:r>
          </w:p>
        </w:tc>
        <w:tc>
          <w:tcPr>
            <w:tcW w:type="dxa" w:w="284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Alta pertinencia y frecuencia de enseñanza; el diagnóstico no exige nuevas áreas de conocimiento</w:t>
            </w:r>
          </w:p>
        </w:tc>
      </w:tr>
      <w:tr>
        <w:tc>
          <w:tcPr>
            <w:tcW w:type="dxa" w:w="139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i w:val="0"/>
                <w:sz w:val="20"/>
              </w:rPr>
              <w:t>Se reorienta</w:t>
            </w:r>
          </w:p>
        </w:tc>
        <w:tc>
          <w:tcPr>
            <w:tcW w:type="dxa" w:w="483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Matemáticas (Cálculo, Álgebra y Programación Lineales, Matemáticas Actuariales, Estadística) hacia matemática financiera, estadística y analítica aplicada; Sistemas (CPA-305, 404, 405) hacia ERP, gobernanza de datos e IA aplicada; Seminario de Grado hacia tutoría de titulación</w:t>
            </w:r>
          </w:p>
        </w:tc>
        <w:tc>
          <w:tcPr>
            <w:tcW w:type="dxa" w:w="284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Menor pertinencia percibida (29–42 %); brecha tecnológica de 43–51 pp</w:t>
            </w:r>
          </w:p>
        </w:tc>
      </w:tr>
      <w:tr>
        <w:tc>
          <w:tcPr>
            <w:tcW w:type="dxa" w:w="139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i w:val="0"/>
                <w:sz w:val="20"/>
              </w:rPr>
              <w:t>Se transversaliza</w:t>
            </w:r>
          </w:p>
        </w:tc>
        <w:tc>
          <w:tcPr>
            <w:tcW w:type="dxa" w:w="483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Ética profesional (hoy CPA-510, única y terminal); competencias tecnológicas; comunicación y liderazgo</w:t>
            </w:r>
          </w:p>
        </w:tc>
        <w:tc>
          <w:tcPr>
            <w:tcW w:type="dxa" w:w="284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NIE 4; Código IESBA; brechas de 37–40 pp en conducción</w:t>
            </w:r>
          </w:p>
        </w:tc>
      </w:tr>
      <w:tr>
        <w:tc>
          <w:tcPr>
            <w:tcW w:type="dxa" w:w="139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i w:val="0"/>
                <w:sz w:val="20"/>
              </w:rPr>
              <w:t>Se incorpora</w:t>
            </w:r>
          </w:p>
        </w:tc>
        <w:tc>
          <w:tcPr>
            <w:tcW w:type="dxa" w:w="483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Información y aseguramiento de sostenibilidad; prácticas preprofesionales; inglés técnico contable; analítica de datos</w:t>
            </w:r>
          </w:p>
        </w:tc>
        <w:tc>
          <w:tcPr>
            <w:tcW w:type="dxa" w:w="284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CTNAC 01/2024; Art. 8 Res. HCU 032/2025; demanda estudiantil y laboral</w:t>
            </w:r>
          </w:p>
        </w:tc>
      </w:tr>
    </w:tbl>
    <w:p>
      <w:pPr>
        <w:spacing w:before="0" w:after="120" w:line="240" w:lineRule="auto"/>
        <w:jc w:val="left"/>
      </w:pPr>
    </w:p>
    <w:p>
      <w:pPr>
        <w:keepNext/>
        <w:spacing w:before="40" w:after="200" w:line="240" w:lineRule="auto"/>
        <w:jc w:val="left"/>
      </w:pPr>
      <w:r>
        <w:rPr>
          <w:rFonts w:ascii="Century Gothic" w:hAnsi="Century Gothic" w:cs="Century Gothic" w:eastAsia="Century Gothic"/>
          <w:b/>
          <w:i w:val="0"/>
          <w:sz w:val="22"/>
        </w:rPr>
        <w:t>d) Conclusión del subpunto</w:t>
      </w:r>
    </w:p>
    <w:p>
      <w:pPr>
        <w:spacing w:before="0" w:after="200" w:line="240" w:lineRule="auto"/>
        <w:jc w:val="both"/>
      </w:pPr>
      <w:r>
        <w:rPr>
          <w:rFonts w:ascii="Century Gothic" w:hAnsi="Century Gothic" w:cs="Century Gothic" w:eastAsia="Century Gothic"/>
          <w:b w:val="0"/>
          <w:i w:val="0"/>
          <w:sz w:val="20"/>
        </w:rPr>
        <w:t xml:space="preserve">El Plan 2013 </w:t>
      </w:r>
      <w:r>
        <w:rPr>
          <w:rFonts w:ascii="Century Gothic" w:hAnsi="Century Gothic" w:cs="Century Gothic" w:eastAsia="Century Gothic"/>
          <w:b/>
          <w:i w:val="0"/>
          <w:sz w:val="20"/>
        </w:rPr>
        <w:t>no fracasó</w:t>
      </w:r>
      <w:r>
        <w:rPr>
          <w:rFonts w:ascii="Century Gothic" w:hAnsi="Century Gothic" w:cs="Century Gothic" w:eastAsia="Century Gothic"/>
          <w:b w:val="0"/>
          <w:i w:val="0"/>
          <w:sz w:val="20"/>
        </w:rPr>
        <w:t xml:space="preserve">: formó profesionales con un núcleo técnico sólido y alta inserción. Su desfase es específico y documentado: herramientas tecnológicas, práctica profesional, evaluación de desempeño, investigación y competencias actitudinales. </w:t>
      </w:r>
      <w:r>
        <w:rPr>
          <w:rFonts w:ascii="Century Gothic" w:hAnsi="Century Gothic" w:cs="Century Gothic" w:eastAsia="Century Gothic"/>
          <w:b/>
          <w:i w:val="0"/>
          <w:sz w:val="20"/>
        </w:rPr>
        <w:t>El rediseño debe conservar y actualizar el núcleo contable, y transformar todo lo demás.</w:t>
      </w:r>
    </w:p>
    <w:p>
      <w:pPr>
        <w:keepNext/>
        <w:tabs>
          <w:tab w:pos="709" w:val="left"/>
        </w:tabs>
        <w:spacing w:before="120" w:after="200" w:line="240" w:lineRule="auto"/>
        <w:ind w:left="709" w:hanging="709"/>
        <w:jc w:val="left"/>
      </w:pPr>
      <w:r>
        <w:rPr>
          <w:rFonts w:ascii="Century Gothic" w:hAnsi="Century Gothic" w:cs="Century Gothic" w:eastAsia="Century Gothic"/>
          <w:b/>
          <w:i w:val="0"/>
          <w:sz w:val="24"/>
        </w:rPr>
        <w:t>3.2</w:t>
        <w:tab/>
      </w:r>
      <w:r>
        <w:rPr>
          <w:rFonts w:ascii="Century Gothic" w:hAnsi="Century Gothic" w:cs="Century Gothic" w:eastAsia="Century Gothic"/>
          <w:b/>
          <w:i w:val="0"/>
          <w:sz w:val="24"/>
        </w:rPr>
        <w:t>Análisis de las políticas y normas (internacionales, nacionales y universitarias)</w:t>
      </w:r>
    </w:p>
    <w:p>
      <w:pPr>
        <w:spacing w:before="0" w:after="200" w:line="240" w:lineRule="auto"/>
        <w:jc w:val="both"/>
      </w:pPr>
      <w:r>
        <w:rPr>
          <w:rFonts w:ascii="Century Gothic" w:hAnsi="Century Gothic" w:cs="Century Gothic" w:eastAsia="Century Gothic"/>
          <w:b w:val="0"/>
          <w:i w:val="0"/>
          <w:sz w:val="20"/>
        </w:rPr>
        <w:t xml:space="preserve">En Contaduría Pública la normativa técnica </w:t>
      </w:r>
      <w:r>
        <w:rPr>
          <w:rFonts w:ascii="Century Gothic" w:hAnsi="Century Gothic" w:cs="Century Gothic" w:eastAsia="Century Gothic"/>
          <w:b/>
          <w:i w:val="0"/>
          <w:sz w:val="20"/>
        </w:rPr>
        <w:t>es</w:t>
      </w:r>
      <w:r>
        <w:rPr>
          <w:rFonts w:ascii="Century Gothic" w:hAnsi="Century Gothic" w:cs="Century Gothic" w:eastAsia="Century Gothic"/>
          <w:b w:val="0"/>
          <w:i w:val="0"/>
          <w:sz w:val="20"/>
        </w:rPr>
        <w:t xml:space="preserve"> contenido curricular: cuando cambia la norma, cambia el objeto de enseñanza. Por ello, el análisis normativo se organiza como una base de datos de normas con su implicancia curricular.</w:t>
      </w:r>
    </w:p>
    <w:p>
      <w:pPr>
        <w:keepNext/>
        <w:spacing w:before="40" w:after="200" w:line="240" w:lineRule="auto"/>
        <w:jc w:val="left"/>
      </w:pPr>
      <w:r>
        <w:rPr>
          <w:rFonts w:ascii="Century Gothic" w:hAnsi="Century Gothic" w:cs="Century Gothic" w:eastAsia="Century Gothic"/>
          <w:b/>
          <w:i w:val="0"/>
          <w:sz w:val="22"/>
        </w:rPr>
        <w:t>a) Normativa universitaria</w:t>
      </w:r>
    </w:p>
    <w:p>
      <w:pPr>
        <w:spacing w:before="0" w:after="200" w:line="240" w:lineRule="auto"/>
        <w:jc w:val="both"/>
      </w:pPr>
      <w:r>
        <w:rPr>
          <w:rFonts w:ascii="Century Gothic" w:hAnsi="Century Gothic" w:cs="Century Gothic" w:eastAsia="Century Gothic"/>
          <w:b/>
          <w:i w:val="0"/>
          <w:sz w:val="20"/>
        </w:rPr>
        <w:t>Cuadro 11. Base normativa universitaria</w:t>
      </w:r>
    </w:p>
    <w:tbl>
      <w:tblPr>
        <w:tblW w:type="auto" w:w="0"/>
        <w:jc w:val="center"/>
        <w:tblLayout w:type="fixed"/>
        <w:tblLook w:firstColumn="1" w:firstRow="1" w:lastColumn="0" w:lastRow="0" w:noHBand="0" w:noVBand="1" w:val="04A0"/>
      </w:tblPr>
      <w:tblGrid>
        <w:gridCol w:w="2777"/>
        <w:gridCol w:w="4460"/>
        <w:gridCol w:w="1835"/>
      </w:tblGrid>
      <w:tr>
        <w:trPr>
          <w:tblHeader/>
        </w:trPr>
        <w:tc>
          <w:tcPr>
            <w:tcW w:type="dxa" w:w="2777"/>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20"/>
              </w:rPr>
              <w:t>Norma</w:t>
            </w:r>
          </w:p>
        </w:tc>
        <w:tc>
          <w:tcPr>
            <w:tcW w:type="dxa" w:w="4460"/>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20"/>
              </w:rPr>
              <w:t>Disposición relevante</w:t>
            </w:r>
          </w:p>
        </w:tc>
        <w:tc>
          <w:tcPr>
            <w:tcW w:type="dxa" w:w="1835"/>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20"/>
              </w:rPr>
              <w:t>Implicancia</w:t>
            </w:r>
          </w:p>
        </w:tc>
      </w:tr>
      <w:tr>
        <w:tc>
          <w:tcPr>
            <w:tcW w:type="dxa" w:w="277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i w:val="0"/>
                <w:sz w:val="20"/>
              </w:rPr>
              <w:t>Res. HCU N° 032/2025</w:t>
            </w:r>
            <w:r>
              <w:rPr>
                <w:rFonts w:ascii="Century Gothic" w:hAnsi="Century Gothic" w:cs="Century Gothic" w:eastAsia="Century Gothic"/>
                <w:b w:val="0"/>
                <w:i w:val="0"/>
                <w:sz w:val="20"/>
              </w:rPr>
              <w:t xml:space="preserve"> — Reglamento de Innovación Curricular UMSA</w:t>
            </w:r>
          </w:p>
        </w:tc>
        <w:tc>
          <w:tcPr>
            <w:tcW w:type="dxa" w:w="446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 xml:space="preserve">Art. 5: rediseño obligatorio </w:t>
            </w:r>
            <w:r>
              <w:rPr>
                <w:rFonts w:ascii="Century Gothic" w:hAnsi="Century Gothic" w:cs="Century Gothic" w:eastAsia="Century Gothic"/>
                <w:b/>
                <w:i w:val="0"/>
                <w:sz w:val="20"/>
              </w:rPr>
              <w:t>cada 7 años</w:t>
            </w:r>
            <w:r>
              <w:rPr>
                <w:rFonts w:ascii="Century Gothic" w:hAnsi="Century Gothic" w:cs="Century Gothic" w:eastAsia="Century Gothic"/>
                <w:b w:val="0"/>
                <w:i w:val="0"/>
                <w:sz w:val="20"/>
              </w:rPr>
              <w:t xml:space="preserve">; implica reformular el perfil de egreso. Art. 6: el ajuste </w:t>
            </w:r>
            <w:r>
              <w:rPr>
                <w:rFonts w:ascii="Century Gothic" w:hAnsi="Century Gothic" w:cs="Century Gothic" w:eastAsia="Century Gothic"/>
                <w:b/>
                <w:i w:val="0"/>
                <w:sz w:val="20"/>
              </w:rPr>
              <w:t>no puede afectar el perfil ni la estructura curricular</w:t>
            </w:r>
            <w:r>
              <w:rPr>
                <w:rFonts w:ascii="Century Gothic" w:hAnsi="Century Gothic" w:cs="Century Gothic" w:eastAsia="Century Gothic"/>
                <w:b w:val="0"/>
                <w:i w:val="0"/>
                <w:sz w:val="20"/>
              </w:rPr>
              <w:t>. Art. 8: mapa de competencias y prácticas preprofesionales obligatorias. Art. 11: criterios de pertinencia, relación con el mundo laboral, transferibilidad y articulación</w:t>
            </w:r>
          </w:p>
        </w:tc>
        <w:tc>
          <w:tcPr>
            <w:tcW w:type="dxa" w:w="183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Fundamenta la obligatoriedad y el nivel de rediseño</w:t>
            </w:r>
          </w:p>
        </w:tc>
      </w:tr>
      <w:tr>
        <w:tc>
          <w:tcPr>
            <w:tcW w:type="dxa" w:w="277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i w:val="0"/>
                <w:sz w:val="20"/>
              </w:rPr>
              <w:t>Norma de Innovación Curricular del SUB</w:t>
            </w:r>
          </w:p>
        </w:tc>
        <w:tc>
          <w:tcPr>
            <w:tcW w:type="dxa" w:w="446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 xml:space="preserve">Rediseño = «cambios estructurales en el Currículo»; cada </w:t>
            </w:r>
            <w:r>
              <w:rPr>
                <w:rFonts w:ascii="Century Gothic" w:hAnsi="Century Gothic" w:cs="Century Gothic" w:eastAsia="Century Gothic"/>
                <w:b/>
                <w:i w:val="0"/>
                <w:sz w:val="20"/>
              </w:rPr>
              <w:t>10 años</w:t>
            </w:r>
            <w:r>
              <w:rPr>
                <w:rFonts w:ascii="Century Gothic" w:hAnsi="Century Gothic" w:cs="Century Gothic" w:eastAsia="Century Gothic"/>
                <w:b w:val="0"/>
                <w:i w:val="0"/>
                <w:sz w:val="20"/>
              </w:rPr>
              <w:t xml:space="preserve"> o antes por necesidad</w:t>
            </w:r>
          </w:p>
        </w:tc>
        <w:tc>
          <w:tcPr>
            <w:tcW w:type="dxa" w:w="183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Plazo igualmente vencido</w:t>
            </w:r>
          </w:p>
        </w:tc>
      </w:tr>
      <w:tr>
        <w:tc>
          <w:tcPr>
            <w:tcW w:type="dxa" w:w="277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i w:val="0"/>
                <w:sz w:val="20"/>
              </w:rPr>
              <w:t>Reglamento General de Títulos y Grados</w:t>
            </w:r>
            <w:r>
              <w:rPr>
                <w:rFonts w:ascii="Century Gothic" w:hAnsi="Century Gothic" w:cs="Century Gothic" w:eastAsia="Century Gothic"/>
                <w:b w:val="0"/>
                <w:i w:val="0"/>
                <w:sz w:val="20"/>
              </w:rPr>
              <w:t xml:space="preserve"> (XI Congreso, 2009)</w:t>
            </w:r>
          </w:p>
        </w:tc>
        <w:tc>
          <w:tcPr>
            <w:tcW w:type="dxa" w:w="446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Art. 28: máximo de 6.000 horas en licenciatura</w:t>
            </w:r>
          </w:p>
        </w:tc>
        <w:tc>
          <w:tcPr>
            <w:tcW w:type="dxa" w:w="183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Rediseño por redistribución, no por adición</w:t>
            </w:r>
          </w:p>
        </w:tc>
      </w:tr>
      <w:tr>
        <w:tc>
          <w:tcPr>
            <w:tcW w:type="dxa" w:w="277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i w:val="0"/>
                <w:sz w:val="20"/>
              </w:rPr>
              <w:t>III-XIII Reunión Sectorial de Contaduría Pública</w:t>
            </w:r>
            <w:r>
              <w:rPr>
                <w:rFonts w:ascii="Century Gothic" w:hAnsi="Century Gothic" w:cs="Century Gothic" w:eastAsia="Century Gothic"/>
                <w:b w:val="0"/>
                <w:i w:val="0"/>
                <w:sz w:val="20"/>
              </w:rPr>
              <w:t xml:space="preserve"> (15-05-2024) y </w:t>
            </w:r>
            <w:r>
              <w:rPr>
                <w:rFonts w:ascii="Century Gothic" w:hAnsi="Century Gothic" w:cs="Century Gothic" w:eastAsia="Century Gothic"/>
                <w:b/>
                <w:i w:val="0"/>
                <w:sz w:val="20"/>
              </w:rPr>
              <w:t>Res. N° 07/2024</w:t>
            </w:r>
            <w:r>
              <w:rPr>
                <w:rFonts w:ascii="Century Gothic" w:hAnsi="Century Gothic" w:cs="Century Gothic" w:eastAsia="Century Gothic"/>
                <w:b w:val="0"/>
                <w:i w:val="0"/>
                <w:sz w:val="20"/>
              </w:rPr>
              <w:t xml:space="preserve"> de la VI Conferencia Nacional de Universidades</w:t>
            </w:r>
          </w:p>
        </w:tc>
        <w:tc>
          <w:tcPr>
            <w:tcW w:type="dxa" w:w="446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 xml:space="preserve">Perfil de </w:t>
            </w:r>
            <w:r>
              <w:rPr>
                <w:rFonts w:ascii="Century Gothic" w:hAnsi="Century Gothic" w:cs="Century Gothic" w:eastAsia="Century Gothic"/>
                <w:b/>
                <w:i w:val="0"/>
                <w:sz w:val="20"/>
              </w:rPr>
              <w:t>Contador Público Autorizado</w:t>
            </w:r>
            <w:r>
              <w:rPr>
                <w:rFonts w:ascii="Century Gothic" w:hAnsi="Century Gothic" w:cs="Century Gothic" w:eastAsia="Century Gothic"/>
                <w:b w:val="0"/>
                <w:i w:val="0"/>
                <w:sz w:val="20"/>
              </w:rPr>
              <w:t xml:space="preserve"> para el Sistema</w:t>
            </w:r>
          </w:p>
        </w:tc>
        <w:tc>
          <w:tcPr>
            <w:tcW w:type="dxa" w:w="183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Cambio de perfil de egreso</w:t>
            </w:r>
          </w:p>
        </w:tc>
      </w:tr>
      <w:tr>
        <w:tc>
          <w:tcPr>
            <w:tcW w:type="dxa" w:w="277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i w:val="0"/>
                <w:sz w:val="20"/>
              </w:rPr>
              <w:t>PEI UMSA 2019–2025 con visión al 2030</w:t>
            </w:r>
          </w:p>
        </w:tc>
        <w:tc>
          <w:tcPr>
            <w:tcW w:type="dxa" w:w="446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 xml:space="preserve">Formación de excelencia (AE1), investigación vinculada a la demanda social (AE2), interacción social (AE3), calidad docente (AE4); meta de </w:t>
            </w:r>
            <w:r>
              <w:rPr>
                <w:rFonts w:ascii="Century Gothic" w:hAnsi="Century Gothic" w:cs="Century Gothic" w:eastAsia="Century Gothic"/>
                <w:b/>
                <w:i w:val="0"/>
                <w:sz w:val="20"/>
              </w:rPr>
              <w:t>acreditación internacional</w:t>
            </w:r>
          </w:p>
        </w:tc>
        <w:tc>
          <w:tcPr>
            <w:tcW w:type="dxa" w:w="183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El rediseño es condición habilitante de la acreditación</w:t>
            </w:r>
          </w:p>
        </w:tc>
      </w:tr>
    </w:tbl>
    <w:p>
      <w:pPr>
        <w:spacing w:before="0" w:after="120" w:line="240" w:lineRule="auto"/>
        <w:jc w:val="left"/>
      </w:pPr>
    </w:p>
    <w:p>
      <w:pPr>
        <w:spacing w:before="0" w:after="200" w:line="240" w:lineRule="auto"/>
        <w:jc w:val="both"/>
      </w:pPr>
      <w:r>
        <w:rPr>
          <w:rFonts w:ascii="Century Gothic" w:hAnsi="Century Gothic" w:cs="Century Gothic" w:eastAsia="Century Gothic"/>
          <w:b w:val="0"/>
          <w:i w:val="0"/>
          <w:sz w:val="20"/>
        </w:rPr>
        <w:t xml:space="preserve">El Art. 11 de la Res. HCU 032/2025 fija los criterios generales con que Secretaría Académica evaluará el plan </w:t>
      </w:r>
      <w:r>
        <w:rPr>
          <w:rFonts w:ascii="Century Gothic" w:hAnsi="Century Gothic" w:cs="Century Gothic" w:eastAsia="Century Gothic"/>
          <w:b w:val="0"/>
          <w:i/>
          <w:sz w:val="20"/>
        </w:rPr>
        <w:t>ex ante</w:t>
      </w:r>
      <w:r>
        <w:rPr>
          <w:rFonts w:ascii="Century Gothic" w:hAnsi="Century Gothic" w:cs="Century Gothic" w:eastAsia="Century Gothic"/>
          <w:b w:val="0"/>
          <w:i w:val="0"/>
          <w:sz w:val="20"/>
        </w:rPr>
        <w:t>. El rediseño responde a cada uno:</w:t>
      </w:r>
    </w:p>
    <w:p>
      <w:pPr>
        <w:spacing w:before="0" w:after="200" w:line="240" w:lineRule="auto"/>
        <w:jc w:val="both"/>
      </w:pPr>
      <w:r>
        <w:rPr>
          <w:rFonts w:ascii="Century Gothic" w:hAnsi="Century Gothic" w:cs="Century Gothic" w:eastAsia="Century Gothic"/>
          <w:b/>
          <w:i w:val="0"/>
          <w:sz w:val="20"/>
        </w:rPr>
        <w:t>Cuadro 12. Criterios de calidad del Art. 11 y respuesta del rediseño</w:t>
      </w:r>
    </w:p>
    <w:tbl>
      <w:tblPr>
        <w:tblW w:type="auto" w:w="0"/>
        <w:jc w:val="center"/>
        <w:tblLayout w:type="fixed"/>
        <w:tblLook w:firstColumn="1" w:firstRow="1" w:lastColumn="0" w:lastRow="0" w:noHBand="0" w:noVBand="1" w:val="04A0"/>
      </w:tblPr>
      <w:tblGrid>
        <w:gridCol w:w="2107"/>
        <w:gridCol w:w="3397"/>
        <w:gridCol w:w="3567"/>
      </w:tblGrid>
      <w:tr>
        <w:trPr>
          <w:tblHeader/>
        </w:trPr>
        <w:tc>
          <w:tcPr>
            <w:tcW w:type="dxa" w:w="2107"/>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20"/>
              </w:rPr>
              <w:t>Criterio</w:t>
            </w:r>
          </w:p>
        </w:tc>
        <w:tc>
          <w:tcPr>
            <w:tcW w:type="dxa" w:w="3397"/>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20"/>
              </w:rPr>
              <w:t>Exigencia</w:t>
            </w:r>
          </w:p>
        </w:tc>
        <w:tc>
          <w:tcPr>
            <w:tcW w:type="dxa" w:w="3567"/>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20"/>
              </w:rPr>
              <w:t>Respuesta del rediseño</w:t>
            </w:r>
          </w:p>
        </w:tc>
      </w:tr>
      <w:tr>
        <w:tc>
          <w:tcPr>
            <w:tcW w:type="dxa" w:w="210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Coherencia</w:t>
            </w:r>
          </w:p>
        </w:tc>
        <w:tc>
          <w:tcPr>
            <w:tcW w:type="dxa" w:w="339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Correspondencia entre misión, perfil, competencias, metodología y evaluación</w:t>
            </w:r>
          </w:p>
        </w:tc>
        <w:tc>
          <w:tcPr>
            <w:tcW w:type="dxa" w:w="3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Visión, misión, perfil y mapa de competencias 2026 formulados de manera articulada</w:t>
            </w:r>
          </w:p>
        </w:tc>
      </w:tr>
      <w:tr>
        <w:tc>
          <w:tcPr>
            <w:tcW w:type="dxa" w:w="210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Pertinencia</w:t>
            </w:r>
          </w:p>
        </w:tc>
        <w:tc>
          <w:tcPr>
            <w:tcW w:type="dxa" w:w="339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Diseño basado en información del medio externo</w:t>
            </w:r>
          </w:p>
        </w:tc>
        <w:tc>
          <w:tcPr>
            <w:tcW w:type="dxa" w:w="3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Ipsos CIESMORI (2025), BID (2023), FODA IICCFA (2025), normativa CTNAC e internacional</w:t>
            </w:r>
          </w:p>
        </w:tc>
      </w:tr>
      <w:tr>
        <w:tc>
          <w:tcPr>
            <w:tcW w:type="dxa" w:w="210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Contexto sociocultural</w:t>
            </w:r>
          </w:p>
        </w:tc>
        <w:tc>
          <w:tcPr>
            <w:tcW w:type="dxa" w:w="339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Profesionales responsables, emprendedores, constructores de una sociedad justa</w:t>
            </w:r>
          </w:p>
        </w:tc>
        <w:tc>
          <w:tcPr>
            <w:tcW w:type="dxa" w:w="3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Ética transversal, responsabilidad pública, emprendimiento profesional</w:t>
            </w:r>
          </w:p>
        </w:tc>
      </w:tr>
      <w:tr>
        <w:tc>
          <w:tcPr>
            <w:tcW w:type="dxa" w:w="210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Alcance económico</w:t>
            </w:r>
          </w:p>
        </w:tc>
        <w:tc>
          <w:tcPr>
            <w:tcW w:type="dxa" w:w="339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Considerar avances tecnológicos y científicos y sus costos</w:t>
            </w:r>
          </w:p>
        </w:tc>
        <w:tc>
          <w:tcPr>
            <w:tcW w:type="dxa" w:w="3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Eje tecnológico transversal; software de licencia académica o abierta</w:t>
            </w:r>
          </w:p>
        </w:tc>
      </w:tr>
      <w:tr>
        <w:tc>
          <w:tcPr>
            <w:tcW w:type="dxa" w:w="210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Relación con el mundo laboral</w:t>
            </w:r>
          </w:p>
        </w:tc>
        <w:tc>
          <w:tcPr>
            <w:tcW w:type="dxa" w:w="339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Conectar al estudiante con el mundo laboral</w:t>
            </w:r>
          </w:p>
        </w:tc>
        <w:tc>
          <w:tcPr>
            <w:tcW w:type="dxa" w:w="3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Prácticas preprofesionales obligatorias y proyectos reales</w:t>
            </w:r>
          </w:p>
        </w:tc>
      </w:tr>
      <w:tr>
        <w:tc>
          <w:tcPr>
            <w:tcW w:type="dxa" w:w="210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Integralidad y transversalidad</w:t>
            </w:r>
          </w:p>
        </w:tc>
        <w:tc>
          <w:tcPr>
            <w:tcW w:type="dxa" w:w="339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Desarrollo de todas las dimensiones humanas</w:t>
            </w:r>
          </w:p>
        </w:tc>
        <w:tc>
          <w:tcPr>
            <w:tcW w:type="dxa" w:w="3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Estructura saber conocer / hacer / ser y convivir</w:t>
            </w:r>
          </w:p>
        </w:tc>
      </w:tr>
      <w:tr>
        <w:tc>
          <w:tcPr>
            <w:tcW w:type="dxa" w:w="210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Transferibilidad</w:t>
            </w:r>
          </w:p>
        </w:tc>
        <w:tc>
          <w:tcPr>
            <w:tcW w:type="dxa" w:w="339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Actividades en que el estudiante evidencie empíricamente sus saberes</w:t>
            </w:r>
          </w:p>
        </w:tc>
        <w:tc>
          <w:tcPr>
            <w:tcW w:type="dxa" w:w="3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Evaluación por evidencias de desempeño, producto y conocimiento</w:t>
            </w:r>
          </w:p>
        </w:tc>
      </w:tr>
      <w:tr>
        <w:tc>
          <w:tcPr>
            <w:tcW w:type="dxa" w:w="210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Articulación</w:t>
            </w:r>
          </w:p>
        </w:tc>
        <w:tc>
          <w:tcPr>
            <w:tcW w:type="dxa" w:w="339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Ciclos formativos hasta el postgrado</w:t>
            </w:r>
          </w:p>
        </w:tc>
        <w:tc>
          <w:tcPr>
            <w:tcW w:type="dxa" w:w="3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Certificaciones intermedias y articulación con la Unidad de Postgrado</w:t>
            </w:r>
          </w:p>
        </w:tc>
      </w:tr>
    </w:tbl>
    <w:p>
      <w:pPr>
        <w:spacing w:before="0" w:after="120" w:line="240" w:lineRule="auto"/>
        <w:jc w:val="left"/>
      </w:pPr>
    </w:p>
    <w:p>
      <w:pPr>
        <w:spacing w:before="0" w:after="200" w:line="240" w:lineRule="auto"/>
        <w:jc w:val="both"/>
      </w:pPr>
      <w:r>
        <w:rPr>
          <w:rFonts w:ascii="Century Gothic" w:hAnsi="Century Gothic" w:cs="Century Gothic" w:eastAsia="Century Gothic"/>
          <w:b w:val="0"/>
          <w:i w:val="0"/>
          <w:sz w:val="20"/>
        </w:rPr>
        <w:t xml:space="preserve">En el plano institucional, el </w:t>
      </w:r>
      <w:r>
        <w:rPr>
          <w:rFonts w:ascii="Century Gothic" w:hAnsi="Century Gothic" w:cs="Century Gothic" w:eastAsia="Century Gothic"/>
          <w:b/>
          <w:i w:val="0"/>
          <w:sz w:val="20"/>
        </w:rPr>
        <w:t>PEI de la UMSA 2019–2025 con visión al 2030</w:t>
      </w:r>
      <w:r>
        <w:rPr>
          <w:rFonts w:ascii="Century Gothic" w:hAnsi="Century Gothic" w:cs="Century Gothic" w:eastAsia="Century Gothic"/>
          <w:b w:val="0"/>
          <w:i w:val="0"/>
          <w:sz w:val="20"/>
        </w:rPr>
        <w:t xml:space="preserve"> se organiza en cuatro áreas estratégicas —formación de grado y postgrado (AE1), investigación (AE2), interacción social (AE3) y gestión de calidad (AE4)— y fija como objetivo de la Visión 2030 la </w:t>
      </w:r>
      <w:r>
        <w:rPr>
          <w:rFonts w:ascii="Century Gothic" w:hAnsi="Century Gothic" w:cs="Century Gothic" w:eastAsia="Century Gothic"/>
          <w:b/>
          <w:i w:val="0"/>
          <w:sz w:val="20"/>
        </w:rPr>
        <w:t>acreditación internacional plena</w:t>
      </w:r>
      <w:r>
        <w:rPr>
          <w:rFonts w:ascii="Century Gothic" w:hAnsi="Century Gothic" w:cs="Century Gothic" w:eastAsia="Century Gothic"/>
          <w:b w:val="0"/>
          <w:i w:val="0"/>
          <w:sz w:val="20"/>
        </w:rPr>
        <w:t xml:space="preserve"> de la Universidad. Un programa de Contaduría Pública difícilmente puede acreditarse internacionalmente sin alineamiento con las Normas Internacionales de Educación de la IFAC, prácticas profesionales estructuradas y evaluación por competencias; por ello, </w:t>
      </w:r>
      <w:r>
        <w:rPr>
          <w:rFonts w:ascii="Century Gothic" w:hAnsi="Century Gothic" w:cs="Century Gothic" w:eastAsia="Century Gothic"/>
          <w:b/>
          <w:i w:val="0"/>
          <w:sz w:val="20"/>
        </w:rPr>
        <w:t>el rediseño es condición habilitante de la meta institucional de acreditación</w:t>
      </w:r>
      <w:r>
        <w:rPr>
          <w:rFonts w:ascii="Century Gothic" w:hAnsi="Century Gothic" w:cs="Century Gothic" w:eastAsia="Century Gothic"/>
          <w:b w:val="0"/>
          <w:i w:val="0"/>
          <w:sz w:val="20"/>
        </w:rPr>
        <w:t>. Si la UMSA aprobase un nuevo PEI, esta alineación deberá actualizarse.</w:t>
      </w:r>
    </w:p>
    <w:p>
      <w:pPr>
        <w:keepNext/>
        <w:spacing w:before="40" w:after="200" w:line="240" w:lineRule="auto"/>
        <w:jc w:val="left"/>
      </w:pPr>
      <w:r>
        <w:rPr>
          <w:rFonts w:ascii="Century Gothic" w:hAnsi="Century Gothic" w:cs="Century Gothic" w:eastAsia="Century Gothic"/>
          <w:b/>
          <w:i w:val="0"/>
          <w:sz w:val="22"/>
        </w:rPr>
        <w:t>b) Normativa nacional</w:t>
      </w:r>
    </w:p>
    <w:p>
      <w:pPr>
        <w:spacing w:before="0" w:after="200" w:line="240" w:lineRule="auto"/>
        <w:jc w:val="both"/>
      </w:pPr>
      <w:r>
        <w:rPr>
          <w:rFonts w:ascii="Century Gothic" w:hAnsi="Century Gothic" w:cs="Century Gothic" w:eastAsia="Century Gothic"/>
          <w:b w:val="0"/>
          <w:i w:val="0"/>
          <w:sz w:val="20"/>
        </w:rPr>
        <w:t xml:space="preserve">La </w:t>
      </w:r>
      <w:r>
        <w:rPr>
          <w:rFonts w:ascii="Century Gothic" w:hAnsi="Century Gothic" w:cs="Century Gothic" w:eastAsia="Century Gothic"/>
          <w:b/>
          <w:i w:val="0"/>
          <w:sz w:val="20"/>
        </w:rPr>
        <w:t>Constitución Política del Estado</w:t>
      </w:r>
      <w:r>
        <w:rPr>
          <w:rFonts w:ascii="Century Gothic" w:hAnsi="Century Gothic" w:cs="Century Gothic" w:eastAsia="Century Gothic"/>
          <w:b w:val="0"/>
          <w:i w:val="0"/>
          <w:sz w:val="20"/>
        </w:rPr>
        <w:t xml:space="preserve"> orienta la educación superior al desarrollo económico y social del país, y la </w:t>
      </w:r>
      <w:r>
        <w:rPr>
          <w:rFonts w:ascii="Century Gothic" w:hAnsi="Century Gothic" w:cs="Century Gothic" w:eastAsia="Century Gothic"/>
          <w:b/>
          <w:i w:val="0"/>
          <w:sz w:val="20"/>
        </w:rPr>
        <w:t>Ley N° 070</w:t>
      </w:r>
      <w:r>
        <w:rPr>
          <w:rFonts w:ascii="Century Gothic" w:hAnsi="Century Gothic" w:cs="Century Gothic" w:eastAsia="Century Gothic"/>
          <w:b w:val="0"/>
          <w:i w:val="0"/>
          <w:sz w:val="20"/>
        </w:rPr>
        <w:t xml:space="preserve"> (2010) establece una formación científica, productiva y con compromiso social. El ejercicio profesional está regulado por el </w:t>
      </w:r>
      <w:r>
        <w:rPr>
          <w:rFonts w:ascii="Century Gothic" w:hAnsi="Century Gothic" w:cs="Century Gothic" w:eastAsia="Century Gothic"/>
          <w:b/>
          <w:i w:val="0"/>
          <w:sz w:val="20"/>
        </w:rPr>
        <w:t>DS N° 3911</w:t>
      </w:r>
      <w:r>
        <w:rPr>
          <w:rFonts w:ascii="Century Gothic" w:hAnsi="Century Gothic" w:cs="Century Gothic" w:eastAsia="Century Gothic"/>
          <w:b w:val="0"/>
          <w:i w:val="0"/>
          <w:sz w:val="20"/>
        </w:rPr>
        <w:t xml:space="preserve"> (1954, elevado a ley en 1957), el </w:t>
      </w:r>
      <w:r>
        <w:rPr>
          <w:rFonts w:ascii="Century Gothic" w:hAnsi="Century Gothic" w:cs="Century Gothic" w:eastAsia="Century Gothic"/>
          <w:b/>
          <w:i w:val="0"/>
          <w:sz w:val="20"/>
        </w:rPr>
        <w:t>DL N° 12042</w:t>
      </w:r>
      <w:r>
        <w:rPr>
          <w:rFonts w:ascii="Century Gothic" w:hAnsi="Century Gothic" w:cs="Century Gothic" w:eastAsia="Century Gothic"/>
          <w:b w:val="0"/>
          <w:i w:val="0"/>
          <w:sz w:val="20"/>
        </w:rPr>
        <w:t xml:space="preserve"> (firma y sello profesional) y el </w:t>
      </w:r>
      <w:r>
        <w:rPr>
          <w:rFonts w:ascii="Century Gothic" w:hAnsi="Century Gothic" w:cs="Century Gothic" w:eastAsia="Century Gothic"/>
          <w:b/>
          <w:i w:val="0"/>
          <w:sz w:val="20"/>
        </w:rPr>
        <w:t>DS N° 22274</w:t>
      </w:r>
      <w:r>
        <w:rPr>
          <w:rFonts w:ascii="Century Gothic" w:hAnsi="Century Gothic" w:cs="Century Gothic" w:eastAsia="Century Gothic"/>
          <w:b w:val="0"/>
          <w:i w:val="0"/>
          <w:sz w:val="20"/>
        </w:rPr>
        <w:t xml:space="preserve"> (1989), bajo la rectoría del </w:t>
      </w:r>
      <w:r>
        <w:rPr>
          <w:rFonts w:ascii="Century Gothic" w:hAnsi="Century Gothic" w:cs="Century Gothic" w:eastAsia="Century Gothic"/>
          <w:b/>
          <w:i w:val="0"/>
          <w:sz w:val="20"/>
        </w:rPr>
        <w:t>Colegio de Auditores o Contadores Públicos de Bolivia (CAUB)</w:t>
      </w:r>
      <w:r>
        <w:rPr>
          <w:rFonts w:ascii="Century Gothic" w:hAnsi="Century Gothic" w:cs="Century Gothic" w:eastAsia="Century Gothic"/>
          <w:b w:val="0"/>
          <w:i w:val="0"/>
          <w:sz w:val="20"/>
        </w:rPr>
        <w:t>, cuyo Consejo Técnico (CTNAC) emite las normas técnicas que el egresado debe dominar:</w:t>
      </w:r>
    </w:p>
    <w:p>
      <w:pPr>
        <w:spacing w:before="0" w:after="200" w:line="240" w:lineRule="auto"/>
        <w:jc w:val="both"/>
      </w:pPr>
      <w:r>
        <w:rPr>
          <w:rFonts w:ascii="Century Gothic" w:hAnsi="Century Gothic" w:cs="Century Gothic" w:eastAsia="Century Gothic"/>
          <w:b/>
          <w:i w:val="0"/>
          <w:sz w:val="20"/>
        </w:rPr>
        <w:t>Cuadro 13. Normas profesionales nacionales posteriores al Plan 2013</w:t>
      </w:r>
    </w:p>
    <w:tbl>
      <w:tblPr>
        <w:tblW w:type="auto" w:w="0"/>
        <w:jc w:val="center"/>
        <w:tblLayout w:type="fixed"/>
        <w:tblLook w:firstColumn="1" w:firstRow="1" w:lastColumn="0" w:lastRow="0" w:noHBand="0" w:noVBand="1" w:val="04A0"/>
      </w:tblPr>
      <w:tblGrid>
        <w:gridCol w:w="1988"/>
        <w:gridCol w:w="5094"/>
        <w:gridCol w:w="1988"/>
      </w:tblGrid>
      <w:tr>
        <w:trPr>
          <w:tblHeader/>
        </w:trPr>
        <w:tc>
          <w:tcPr>
            <w:tcW w:type="dxa" w:w="1988"/>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20"/>
              </w:rPr>
              <w:t>Resolución CTNAC</w:t>
            </w:r>
          </w:p>
        </w:tc>
        <w:tc>
          <w:tcPr>
            <w:tcW w:type="dxa" w:w="5094"/>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20"/>
              </w:rPr>
              <w:t>Contenido</w:t>
            </w:r>
          </w:p>
        </w:tc>
        <w:tc>
          <w:tcPr>
            <w:tcW w:type="dxa" w:w="1988"/>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20"/>
              </w:rPr>
              <w:t>Vigencia</w:t>
            </w:r>
          </w:p>
        </w:tc>
      </w:tr>
      <w:tr>
        <w:tc>
          <w:tcPr>
            <w:tcW w:type="dxa" w:w="198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N° 001/2015</w:t>
            </w:r>
          </w:p>
        </w:tc>
        <w:tc>
          <w:tcPr>
            <w:tcW w:type="dxa" w:w="509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Adopción supletoria de las NIA, NIER, NIEA y NISR</w:t>
            </w:r>
          </w:p>
        </w:tc>
        <w:tc>
          <w:tcPr>
            <w:tcW w:type="dxa" w:w="198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Vigente</w:t>
            </w:r>
          </w:p>
        </w:tc>
      </w:tr>
      <w:tr>
        <w:tc>
          <w:tcPr>
            <w:tcW w:type="dxa" w:w="198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N° 01/2020</w:t>
            </w:r>
          </w:p>
        </w:tc>
        <w:tc>
          <w:tcPr>
            <w:tcW w:type="dxa" w:w="509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 xml:space="preserve">Adopción del </w:t>
            </w:r>
            <w:r>
              <w:rPr>
                <w:rFonts w:ascii="Century Gothic" w:hAnsi="Century Gothic" w:cs="Century Gothic" w:eastAsia="Century Gothic"/>
                <w:b/>
                <w:i w:val="0"/>
                <w:sz w:val="20"/>
              </w:rPr>
              <w:t>Código de Ética del IESBA</w:t>
            </w:r>
          </w:p>
        </w:tc>
        <w:tc>
          <w:tcPr>
            <w:tcW w:type="dxa" w:w="198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Desde 01-01-2021</w:t>
            </w:r>
          </w:p>
        </w:tc>
      </w:tr>
      <w:tr>
        <w:tc>
          <w:tcPr>
            <w:tcW w:type="dxa" w:w="198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N° 002/2020</w:t>
            </w:r>
          </w:p>
        </w:tc>
        <w:tc>
          <w:tcPr>
            <w:tcW w:type="dxa" w:w="509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 xml:space="preserve">Adopción de las </w:t>
            </w:r>
            <w:r>
              <w:rPr>
                <w:rFonts w:ascii="Century Gothic" w:hAnsi="Century Gothic" w:cs="Century Gothic" w:eastAsia="Century Gothic"/>
                <w:b/>
                <w:i w:val="0"/>
                <w:sz w:val="20"/>
              </w:rPr>
              <w:t>Normas Internacionales de Gestión de la Calidad</w:t>
            </w:r>
          </w:p>
        </w:tc>
        <w:tc>
          <w:tcPr>
            <w:tcW w:type="dxa" w:w="198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Desde 01-01-2021</w:t>
            </w:r>
          </w:p>
        </w:tc>
      </w:tr>
      <w:tr>
        <w:tc>
          <w:tcPr>
            <w:tcW w:type="dxa" w:w="198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i w:val="0"/>
                <w:sz w:val="20"/>
              </w:rPr>
              <w:t>N° 01/2024</w:t>
            </w:r>
          </w:p>
        </w:tc>
        <w:tc>
          <w:tcPr>
            <w:tcW w:type="dxa" w:w="509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 xml:space="preserve">Adopción de las </w:t>
            </w:r>
            <w:r>
              <w:rPr>
                <w:rFonts w:ascii="Century Gothic" w:hAnsi="Century Gothic" w:cs="Century Gothic" w:eastAsia="Century Gothic"/>
                <w:b/>
                <w:i w:val="0"/>
                <w:sz w:val="20"/>
              </w:rPr>
              <w:t>NIIF de Sostenibilidad (ISSB)</w:t>
            </w:r>
            <w:r>
              <w:rPr>
                <w:rFonts w:ascii="Century Gothic" w:hAnsi="Century Gothic" w:cs="Century Gothic" w:eastAsia="Century Gothic"/>
                <w:b w:val="0"/>
                <w:i w:val="0"/>
                <w:sz w:val="20"/>
              </w:rPr>
              <w:t xml:space="preserve"> para todas las entidades con actividad económica en Bolivia</w:t>
            </w:r>
          </w:p>
        </w:tc>
        <w:tc>
          <w:tcPr>
            <w:tcW w:type="dxa" w:w="198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i w:val="0"/>
                <w:sz w:val="20"/>
              </w:rPr>
              <w:t>Desde 01-01-2027</w:t>
            </w:r>
          </w:p>
        </w:tc>
      </w:tr>
    </w:tbl>
    <w:p>
      <w:pPr>
        <w:spacing w:before="0" w:after="120" w:line="240" w:lineRule="auto"/>
        <w:jc w:val="left"/>
      </w:pPr>
    </w:p>
    <w:p>
      <w:pPr>
        <w:spacing w:before="0" w:after="200" w:line="240" w:lineRule="auto"/>
        <w:jc w:val="both"/>
      </w:pPr>
      <w:r>
        <w:rPr>
          <w:rFonts w:ascii="Century Gothic" w:hAnsi="Century Gothic" w:cs="Century Gothic" w:eastAsia="Century Gothic"/>
          <w:b w:val="0"/>
          <w:i/>
          <w:sz w:val="20"/>
        </w:rPr>
        <w:t>Fuente: CAUB (2021); CTNAC (2024). Las Normas de Contabilidad N° 1 a 14 (RA SEMP 370/2008 y 028/2009; CTNAC 001/2012) continúan vigentes, con aplicación supletoria de las NIIF.</w:t>
      </w:r>
    </w:p>
    <w:p>
      <w:pPr>
        <w:spacing w:before="0" w:after="200" w:line="240" w:lineRule="auto"/>
        <w:jc w:val="both"/>
      </w:pPr>
      <w:r>
        <w:rPr>
          <w:rFonts w:ascii="Century Gothic" w:hAnsi="Century Gothic" w:cs="Century Gothic" w:eastAsia="Century Gothic"/>
          <w:b w:val="0"/>
          <w:i w:val="0"/>
          <w:sz w:val="20"/>
        </w:rPr>
        <w:t xml:space="preserve">Completan el marco nacional la </w:t>
      </w:r>
      <w:r>
        <w:rPr>
          <w:rFonts w:ascii="Century Gothic" w:hAnsi="Century Gothic" w:cs="Century Gothic" w:eastAsia="Century Gothic"/>
          <w:b/>
          <w:i w:val="0"/>
          <w:sz w:val="20"/>
        </w:rPr>
        <w:t>Ley N° 1178 (SAFCO)</w:t>
      </w:r>
      <w:r>
        <w:rPr>
          <w:rFonts w:ascii="Century Gothic" w:hAnsi="Century Gothic" w:cs="Century Gothic" w:eastAsia="Century Gothic"/>
          <w:b w:val="0"/>
          <w:i w:val="0"/>
          <w:sz w:val="20"/>
        </w:rPr>
        <w:t xml:space="preserve"> y las Normas de Auditoría Gubernamental de la Contraloría General del Estado; la </w:t>
      </w:r>
      <w:r>
        <w:rPr>
          <w:rFonts w:ascii="Century Gothic" w:hAnsi="Century Gothic" w:cs="Century Gothic" w:eastAsia="Century Gothic"/>
          <w:b/>
          <w:i w:val="0"/>
          <w:sz w:val="20"/>
        </w:rPr>
        <w:t>Ley N° 843</w:t>
      </w:r>
      <w:r>
        <w:rPr>
          <w:rFonts w:ascii="Century Gothic" w:hAnsi="Century Gothic" w:cs="Century Gothic" w:eastAsia="Century Gothic"/>
          <w:b w:val="0"/>
          <w:i w:val="0"/>
          <w:sz w:val="20"/>
        </w:rPr>
        <w:t xml:space="preserve">, la </w:t>
      </w:r>
      <w:r>
        <w:rPr>
          <w:rFonts w:ascii="Century Gothic" w:hAnsi="Century Gothic" w:cs="Century Gothic" w:eastAsia="Century Gothic"/>
          <w:b/>
          <w:i w:val="0"/>
          <w:sz w:val="20"/>
        </w:rPr>
        <w:t>Ley N° 2492 (Código Tributario)</w:t>
      </w:r>
      <w:r>
        <w:rPr>
          <w:rFonts w:ascii="Century Gothic" w:hAnsi="Century Gothic" w:cs="Century Gothic" w:eastAsia="Century Gothic"/>
          <w:b w:val="0"/>
          <w:i w:val="0"/>
          <w:sz w:val="20"/>
        </w:rPr>
        <w:t xml:space="preserve"> y la </w:t>
      </w:r>
      <w:r>
        <w:rPr>
          <w:rFonts w:ascii="Century Gothic" w:hAnsi="Century Gothic" w:cs="Century Gothic" w:eastAsia="Century Gothic"/>
          <w:b/>
          <w:i w:val="0"/>
          <w:sz w:val="20"/>
        </w:rPr>
        <w:t>RND N° 102100000011</w:t>
      </w:r>
      <w:r>
        <w:rPr>
          <w:rFonts w:ascii="Century Gothic" w:hAnsi="Century Gothic" w:cs="Century Gothic" w:eastAsia="Century Gothic"/>
          <w:b w:val="0"/>
          <w:i w:val="0"/>
          <w:sz w:val="20"/>
        </w:rPr>
        <w:t xml:space="preserve">, que implantó el Sistema de Facturación en Línea; y la </w:t>
      </w:r>
      <w:r>
        <w:rPr>
          <w:rFonts w:ascii="Century Gothic" w:hAnsi="Century Gothic" w:cs="Century Gothic" w:eastAsia="Century Gothic"/>
          <w:b/>
          <w:i w:val="0"/>
          <w:sz w:val="20"/>
        </w:rPr>
        <w:t>Ley N° 393 de Servicios Financieros</w:t>
      </w:r>
      <w:r>
        <w:rPr>
          <w:rFonts w:ascii="Century Gothic" w:hAnsi="Century Gothic" w:cs="Century Gothic" w:eastAsia="Century Gothic"/>
          <w:b w:val="0"/>
          <w:i w:val="0"/>
          <w:sz w:val="20"/>
        </w:rPr>
        <w:t>.</w:t>
      </w:r>
    </w:p>
    <w:p>
      <w:pPr>
        <w:spacing w:before="0" w:after="200" w:line="240" w:lineRule="auto"/>
        <w:jc w:val="both"/>
      </w:pPr>
      <w:r>
        <w:rPr>
          <w:rFonts w:ascii="Century Gothic" w:hAnsi="Century Gothic" w:cs="Century Gothic" w:eastAsia="Century Gothic"/>
          <w:b/>
          <w:i w:val="0"/>
          <w:sz w:val="20"/>
        </w:rPr>
        <w:t>Cuadro 14. Normativa nacional de aplicación directa en el ejercicio profesional</w:t>
      </w:r>
    </w:p>
    <w:tbl>
      <w:tblPr>
        <w:tblW w:type="auto" w:w="0"/>
        <w:jc w:val="center"/>
        <w:tblLayout w:type="fixed"/>
        <w:tblLook w:firstColumn="1" w:firstRow="1" w:lastColumn="0" w:lastRow="0" w:noHBand="0" w:noVBand="1" w:val="04A0"/>
      </w:tblPr>
      <w:tblGrid>
        <w:gridCol w:w="2080"/>
        <w:gridCol w:w="3711"/>
        <w:gridCol w:w="3279"/>
      </w:tblGrid>
      <w:tr>
        <w:trPr>
          <w:tblHeader/>
        </w:trPr>
        <w:tc>
          <w:tcPr>
            <w:tcW w:type="dxa" w:w="2080"/>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20"/>
              </w:rPr>
              <w:t>Ámbito</w:t>
            </w:r>
          </w:p>
        </w:tc>
        <w:tc>
          <w:tcPr>
            <w:tcW w:type="dxa" w:w="3711"/>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20"/>
              </w:rPr>
              <w:t>Norma</w:t>
            </w:r>
          </w:p>
        </w:tc>
        <w:tc>
          <w:tcPr>
            <w:tcW w:type="dxa" w:w="3279"/>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20"/>
              </w:rPr>
              <w:t>Implicancia curricular</w:t>
            </w:r>
          </w:p>
        </w:tc>
      </w:tr>
      <w:tr>
        <w:tc>
          <w:tcPr>
            <w:tcW w:type="dxa" w:w="208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Ejercicio profesional</w:t>
            </w:r>
          </w:p>
        </w:tc>
        <w:tc>
          <w:tcPr>
            <w:tcW w:type="dxa" w:w="371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DS N° 3911 (1954, ley en 1957); DL N° 12042; DS N° 22274 (1989); RS N° 209343 (1991, personería del CAUB)</w:t>
            </w:r>
          </w:p>
        </w:tc>
        <w:tc>
          <w:tcPr>
            <w:tcW w:type="dxa" w:w="327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Requisitos, firma y sello profesional; responsabilidad del CPA</w:t>
            </w:r>
          </w:p>
        </w:tc>
      </w:tr>
      <w:tr>
        <w:tc>
          <w:tcPr>
            <w:tcW w:type="dxa" w:w="208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Contabilidad y auditoría</w:t>
            </w:r>
          </w:p>
        </w:tc>
        <w:tc>
          <w:tcPr>
            <w:tcW w:type="dxa" w:w="371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Normas de Contabilidad N° 1 a 14; NIIF supletorias; Norma de Auditoría N° 1 y NIA supletorias</w:t>
            </w:r>
          </w:p>
        </w:tc>
        <w:tc>
          <w:tcPr>
            <w:tcW w:type="dxa" w:w="327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Núcleo de Información Financiera y de Aseguramiento</w:t>
            </w:r>
          </w:p>
        </w:tc>
      </w:tr>
      <w:tr>
        <w:tc>
          <w:tcPr>
            <w:tcW w:type="dxa" w:w="208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Sector público</w:t>
            </w:r>
          </w:p>
        </w:tc>
        <w:tc>
          <w:tcPr>
            <w:tcW w:type="dxa" w:w="371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Ley N° 1178 (SAFCO), NB-SCI, Normas de Auditoría Gubernamental de la CGE</w:t>
            </w:r>
          </w:p>
        </w:tc>
        <w:tc>
          <w:tcPr>
            <w:tcW w:type="dxa" w:w="327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Contabilidad gubernamental y auditoría gubernamental</w:t>
            </w:r>
          </w:p>
        </w:tc>
      </w:tr>
      <w:tr>
        <w:tc>
          <w:tcPr>
            <w:tcW w:type="dxa" w:w="208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Comercial</w:t>
            </w:r>
          </w:p>
        </w:tc>
        <w:tc>
          <w:tcPr>
            <w:tcW w:type="dxa" w:w="371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Código de Comercio (DL N° 14379)</w:t>
            </w:r>
          </w:p>
        </w:tc>
        <w:tc>
          <w:tcPr>
            <w:tcW w:type="dxa" w:w="327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Libros, estados financieros y sociedades</w:t>
            </w:r>
          </w:p>
        </w:tc>
      </w:tr>
      <w:tr>
        <w:tc>
          <w:tcPr>
            <w:tcW w:type="dxa" w:w="208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Tributario</w:t>
            </w:r>
          </w:p>
        </w:tc>
        <w:tc>
          <w:tcPr>
            <w:tcW w:type="dxa" w:w="371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Ley N° 843; Ley N° 2492; RND N° 102100000011 (Facturación en Línea)</w:t>
            </w:r>
          </w:p>
        </w:tc>
        <w:tc>
          <w:tcPr>
            <w:tcW w:type="dxa" w:w="327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Contabilidad de tributos, auditoría tributaria y plataformas fiscales electrónicas</w:t>
            </w:r>
          </w:p>
        </w:tc>
      </w:tr>
      <w:tr>
        <w:tc>
          <w:tcPr>
            <w:tcW w:type="dxa" w:w="208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Financiero</w:t>
            </w:r>
          </w:p>
        </w:tc>
        <w:tc>
          <w:tcPr>
            <w:tcW w:type="dxa" w:w="371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Ley N° 393 de Servicios Financieros; normativa ASFI</w:t>
            </w:r>
          </w:p>
        </w:tc>
        <w:tc>
          <w:tcPr>
            <w:tcW w:type="dxa" w:w="327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Contabilidad y auditoría de entidades financieras</w:t>
            </w:r>
          </w:p>
        </w:tc>
      </w:tr>
      <w:tr>
        <w:tc>
          <w:tcPr>
            <w:tcW w:type="dxa" w:w="208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Prevención de delitos financieros</w:t>
            </w:r>
          </w:p>
        </w:tc>
        <w:tc>
          <w:tcPr>
            <w:tcW w:type="dxa" w:w="371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Normativa de la Unidad de Investigaciones Financieras</w:t>
            </w:r>
          </w:p>
        </w:tc>
        <w:tc>
          <w:tcPr>
            <w:tcW w:type="dxa" w:w="327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Auditoría forense y programas de cumplimiento</w:t>
            </w:r>
          </w:p>
        </w:tc>
      </w:tr>
    </w:tbl>
    <w:p>
      <w:pPr>
        <w:spacing w:before="0" w:after="120" w:line="240" w:lineRule="auto"/>
        <w:jc w:val="left"/>
      </w:pPr>
    </w:p>
    <w:p>
      <w:pPr>
        <w:spacing w:before="0" w:after="200" w:line="240" w:lineRule="auto"/>
        <w:jc w:val="both"/>
      </w:pPr>
      <w:r>
        <w:rPr>
          <w:rFonts w:ascii="Century Gothic" w:hAnsi="Century Gothic" w:cs="Century Gothic" w:eastAsia="Century Gothic"/>
          <w:b w:val="0"/>
          <w:i/>
          <w:sz w:val="20"/>
        </w:rPr>
        <w:t>Fuente: CAUB (2021) y legislación citada.</w:t>
      </w:r>
    </w:p>
    <w:p>
      <w:pPr>
        <w:spacing w:before="0" w:after="200" w:line="240" w:lineRule="auto"/>
        <w:jc w:val="both"/>
      </w:pPr>
      <w:r>
        <w:rPr>
          <w:rFonts w:ascii="Century Gothic" w:hAnsi="Century Gothic" w:cs="Century Gothic" w:eastAsia="Century Gothic"/>
          <w:b w:val="0"/>
          <w:i w:val="0"/>
          <w:sz w:val="20"/>
        </w:rPr>
        <w:t xml:space="preserve">La implantación del </w:t>
      </w:r>
      <w:r>
        <w:rPr>
          <w:rFonts w:ascii="Century Gothic" w:hAnsi="Century Gothic" w:cs="Century Gothic" w:eastAsia="Century Gothic"/>
          <w:b/>
          <w:i w:val="0"/>
          <w:sz w:val="20"/>
        </w:rPr>
        <w:t>Sistema de Facturación en Línea</w:t>
      </w:r>
      <w:r>
        <w:rPr>
          <w:rFonts w:ascii="Century Gothic" w:hAnsi="Century Gothic" w:cs="Century Gothic" w:eastAsia="Century Gothic"/>
          <w:b w:val="0"/>
          <w:i w:val="0"/>
          <w:sz w:val="20"/>
        </w:rPr>
        <w:t xml:space="preserve"> merece atención especial: transformó el ciclo documental tributario de un soporte físico y manual a un flujo electrónico con validación en tiempo real. Su operación es hoy una competencia de entrada al mercado, coherente con el 75 % de egresados que demanda dominio de software contable y tributario.</w:t>
      </w:r>
    </w:p>
    <w:p>
      <w:pPr>
        <w:keepNext/>
        <w:spacing w:before="40" w:after="200" w:line="240" w:lineRule="auto"/>
        <w:jc w:val="left"/>
      </w:pPr>
      <w:r>
        <w:rPr>
          <w:rFonts w:ascii="Century Gothic" w:hAnsi="Century Gothic" w:cs="Century Gothic" w:eastAsia="Century Gothic"/>
          <w:b/>
          <w:i w:val="0"/>
          <w:sz w:val="22"/>
        </w:rPr>
        <w:t>c) Normativa internacional</w:t>
      </w:r>
    </w:p>
    <w:p>
      <w:pPr>
        <w:spacing w:before="0" w:after="200" w:line="240" w:lineRule="auto"/>
        <w:jc w:val="both"/>
      </w:pPr>
      <w:r>
        <w:rPr>
          <w:rFonts w:ascii="Century Gothic" w:hAnsi="Century Gothic" w:cs="Century Gothic" w:eastAsia="Century Gothic"/>
          <w:b w:val="0"/>
          <w:i w:val="0"/>
          <w:sz w:val="20"/>
        </w:rPr>
        <w:t xml:space="preserve">El CAUB es </w:t>
      </w:r>
      <w:r>
        <w:rPr>
          <w:rFonts w:ascii="Century Gothic" w:hAnsi="Century Gothic" w:cs="Century Gothic" w:eastAsia="Century Gothic"/>
          <w:b/>
          <w:i w:val="0"/>
          <w:sz w:val="20"/>
        </w:rPr>
        <w:t>miembro pleno de la IFAC</w:t>
      </w:r>
      <w:r>
        <w:rPr>
          <w:rFonts w:ascii="Century Gothic" w:hAnsi="Century Gothic" w:cs="Century Gothic" w:eastAsia="Century Gothic"/>
          <w:b w:val="0"/>
          <w:i w:val="0"/>
          <w:sz w:val="20"/>
        </w:rPr>
        <w:t xml:space="preserve">, y la propia IFAC califica la adopción de sus </w:t>
      </w:r>
      <w:r>
        <w:rPr>
          <w:rFonts w:ascii="Century Gothic" w:hAnsi="Century Gothic" w:cs="Century Gothic" w:eastAsia="Century Gothic"/>
          <w:b/>
          <w:i w:val="0"/>
          <w:sz w:val="20"/>
        </w:rPr>
        <w:t>Normas Internacionales de Educación (NIE 1 a 8)</w:t>
      </w:r>
      <w:r>
        <w:rPr>
          <w:rFonts w:ascii="Century Gothic" w:hAnsi="Century Gothic" w:cs="Century Gothic" w:eastAsia="Century Gothic"/>
          <w:b w:val="0"/>
          <w:i w:val="0"/>
          <w:sz w:val="20"/>
        </w:rPr>
        <w:t xml:space="preserve"> en Bolivia como </w:t>
      </w:r>
      <w:r>
        <w:rPr>
          <w:rFonts w:ascii="Century Gothic" w:hAnsi="Century Gothic" w:cs="Century Gothic" w:eastAsia="Century Gothic"/>
          <w:b/>
          <w:i w:val="0"/>
          <w:sz w:val="20"/>
        </w:rPr>
        <w:t>«parcial»</w:t>
      </w:r>
      <w:r>
        <w:rPr>
          <w:rFonts w:ascii="Century Gothic" w:hAnsi="Century Gothic" w:cs="Century Gothic" w:eastAsia="Century Gothic"/>
          <w:b w:val="0"/>
          <w:i w:val="0"/>
          <w:sz w:val="20"/>
        </w:rPr>
        <w:t xml:space="preserve">: por la autonomía universitaria se usan como referencia, sin que los planes incorporen sus versiones recientes (IFAC, s. f.). Las NIE 2, 3, 4 y 8 fueron revisadas en materia de </w:t>
      </w:r>
      <w:r>
        <w:rPr>
          <w:rFonts w:ascii="Century Gothic" w:hAnsi="Century Gothic" w:cs="Century Gothic" w:eastAsia="Century Gothic"/>
          <w:b/>
          <w:i w:val="0"/>
          <w:sz w:val="20"/>
        </w:rPr>
        <w:t>tecnologías de la información y escepticismo profesional, con vigencia desde 2021</w:t>
      </w:r>
      <w:r>
        <w:rPr>
          <w:rFonts w:ascii="Century Gothic" w:hAnsi="Century Gothic" w:cs="Century Gothic" w:eastAsia="Century Gothic"/>
          <w:b w:val="0"/>
          <w:i w:val="0"/>
          <w:sz w:val="20"/>
        </w:rPr>
        <w:t>, ocho años después de formulado el Plan 2013. A ello se suman pronunciamientos técnicos posteriores a 2013:</w:t>
      </w:r>
    </w:p>
    <w:p>
      <w:pPr>
        <w:spacing w:before="0" w:after="200" w:line="240" w:lineRule="auto"/>
        <w:jc w:val="both"/>
      </w:pPr>
      <w:r>
        <w:rPr>
          <w:rFonts w:ascii="Century Gothic" w:hAnsi="Century Gothic" w:cs="Century Gothic" w:eastAsia="Century Gothic"/>
          <w:b/>
          <w:i w:val="0"/>
          <w:sz w:val="20"/>
        </w:rPr>
        <w:t>Cuadro 15. Pronunciamientos internacionales con impacto curricular</w:t>
      </w:r>
    </w:p>
    <w:tbl>
      <w:tblPr>
        <w:tblW w:type="auto" w:w="0"/>
        <w:jc w:val="center"/>
        <w:tblLayout w:type="fixed"/>
        <w:tblLook w:firstColumn="1" w:firstRow="1" w:lastColumn="0" w:lastRow="0" w:noHBand="0" w:noVBand="1" w:val="04A0"/>
      </w:tblPr>
      <w:tblGrid>
        <w:gridCol w:w="1655"/>
        <w:gridCol w:w="4344"/>
        <w:gridCol w:w="3072"/>
      </w:tblGrid>
      <w:tr>
        <w:trPr>
          <w:tblHeader/>
        </w:trPr>
        <w:tc>
          <w:tcPr>
            <w:tcW w:type="dxa" w:w="1655"/>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20"/>
              </w:rPr>
              <w:t>Emisor</w:t>
            </w:r>
          </w:p>
        </w:tc>
        <w:tc>
          <w:tcPr>
            <w:tcW w:type="dxa" w:w="4344"/>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20"/>
              </w:rPr>
              <w:t>Pronunciamiento</w:t>
            </w:r>
          </w:p>
        </w:tc>
        <w:tc>
          <w:tcPr>
            <w:tcW w:type="dxa" w:w="3072"/>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20"/>
              </w:rPr>
              <w:t>Vigencia</w:t>
            </w:r>
          </w:p>
        </w:tc>
      </w:tr>
      <w:tr>
        <w:tc>
          <w:tcPr>
            <w:tcW w:type="dxa" w:w="165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IASB</w:t>
            </w:r>
          </w:p>
        </w:tc>
        <w:tc>
          <w:tcPr>
            <w:tcW w:type="dxa" w:w="434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NIIF para las PYMES, tercera edición (febrero de 2025)</w:t>
            </w:r>
          </w:p>
        </w:tc>
        <w:tc>
          <w:tcPr>
            <w:tcW w:type="dxa" w:w="307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2027</w:t>
            </w:r>
          </w:p>
        </w:tc>
      </w:tr>
      <w:tr>
        <w:tc>
          <w:tcPr>
            <w:tcW w:type="dxa" w:w="165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ISSB</w:t>
            </w:r>
          </w:p>
        </w:tc>
        <w:tc>
          <w:tcPr>
            <w:tcW w:type="dxa" w:w="434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NIIF S1 y S2 (información de sostenibilidad y clima)</w:t>
            </w:r>
          </w:p>
        </w:tc>
        <w:tc>
          <w:tcPr>
            <w:tcW w:type="dxa" w:w="307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2024; en Bolivia desde 2027</w:t>
            </w:r>
          </w:p>
        </w:tc>
      </w:tr>
      <w:tr>
        <w:tc>
          <w:tcPr>
            <w:tcW w:type="dxa" w:w="165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IAASB</w:t>
            </w:r>
          </w:p>
        </w:tc>
        <w:tc>
          <w:tcPr>
            <w:tcW w:type="dxa" w:w="434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NIA 315 revisada (riesgos y entorno de TI)</w:t>
            </w:r>
          </w:p>
        </w:tc>
        <w:tc>
          <w:tcPr>
            <w:tcW w:type="dxa" w:w="307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Desde 15-12-2021</w:t>
            </w:r>
          </w:p>
        </w:tc>
      </w:tr>
      <w:tr>
        <w:tc>
          <w:tcPr>
            <w:tcW w:type="dxa" w:w="165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IAASB</w:t>
            </w:r>
          </w:p>
        </w:tc>
        <w:tc>
          <w:tcPr>
            <w:tcW w:type="dxa" w:w="434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NIA para Entidades Menos Complejas</w:t>
            </w:r>
          </w:p>
        </w:tc>
        <w:tc>
          <w:tcPr>
            <w:tcW w:type="dxa" w:w="307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Desde 15-12-2025</w:t>
            </w:r>
          </w:p>
        </w:tc>
      </w:tr>
      <w:tr>
        <w:tc>
          <w:tcPr>
            <w:tcW w:type="dxa" w:w="165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IAASB</w:t>
            </w:r>
          </w:p>
        </w:tc>
        <w:tc>
          <w:tcPr>
            <w:tcW w:type="dxa" w:w="434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NIEA 5000 (aseguramiento de sostenibilidad)</w:t>
            </w:r>
          </w:p>
        </w:tc>
        <w:tc>
          <w:tcPr>
            <w:tcW w:type="dxa" w:w="307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Desde 15-12-2026</w:t>
            </w:r>
          </w:p>
        </w:tc>
      </w:tr>
    </w:tbl>
    <w:p>
      <w:pPr>
        <w:spacing w:before="0" w:after="120" w:line="240" w:lineRule="auto"/>
        <w:jc w:val="left"/>
      </w:pPr>
    </w:p>
    <w:p>
      <w:pPr>
        <w:spacing w:before="0" w:after="200" w:line="240" w:lineRule="auto"/>
        <w:jc w:val="both"/>
      </w:pPr>
      <w:r>
        <w:rPr>
          <w:rFonts w:ascii="Century Gothic" w:hAnsi="Century Gothic" w:cs="Century Gothic" w:eastAsia="Century Gothic"/>
          <w:b/>
          <w:i w:val="0"/>
          <w:sz w:val="20"/>
        </w:rPr>
        <w:t>Cuadro 16. Normas Internacionales de Educación (IFAC) e implicancia para el rediseño</w:t>
      </w:r>
    </w:p>
    <w:tbl>
      <w:tblPr>
        <w:tblW w:type="auto" w:w="0"/>
        <w:jc w:val="center"/>
        <w:tblLayout w:type="fixed"/>
        <w:tblLook w:firstColumn="1" w:firstRow="1" w:lastColumn="0" w:lastRow="0" w:noHBand="0" w:noVBand="1" w:val="04A0"/>
      </w:tblPr>
      <w:tblGrid>
        <w:gridCol w:w="1318"/>
        <w:gridCol w:w="2620"/>
        <w:gridCol w:w="5133"/>
      </w:tblGrid>
      <w:tr>
        <w:trPr>
          <w:tblHeader/>
        </w:trPr>
        <w:tc>
          <w:tcPr>
            <w:tcW w:type="dxa" w:w="1318"/>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20"/>
              </w:rPr>
              <w:t>NIE</w:t>
            </w:r>
          </w:p>
        </w:tc>
        <w:tc>
          <w:tcPr>
            <w:tcW w:type="dxa" w:w="2620"/>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20"/>
              </w:rPr>
              <w:t>Materia</w:t>
            </w:r>
          </w:p>
        </w:tc>
        <w:tc>
          <w:tcPr>
            <w:tcW w:type="dxa" w:w="5133"/>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20"/>
              </w:rPr>
              <w:t>Implicancia curricular</w:t>
            </w:r>
          </w:p>
        </w:tc>
      </w:tr>
      <w:tr>
        <w:tc>
          <w:tcPr>
            <w:tcW w:type="dxa" w:w="131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NIE 1</w:t>
            </w:r>
          </w:p>
        </w:tc>
        <w:tc>
          <w:tcPr>
            <w:tcW w:type="dxa" w:w="262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Requisitos de ingreso</w:t>
            </w:r>
          </w:p>
        </w:tc>
        <w:tc>
          <w:tcPr>
            <w:tcW w:type="dxa" w:w="513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Perfil del postulante y modalidades de admisión</w:t>
            </w:r>
          </w:p>
        </w:tc>
      </w:tr>
      <w:tr>
        <w:tc>
          <w:tcPr>
            <w:tcW w:type="dxa" w:w="131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NIE 2</w:t>
            </w:r>
          </w:p>
        </w:tc>
        <w:tc>
          <w:tcPr>
            <w:tcW w:type="dxa" w:w="262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Competencia técnica</w:t>
            </w:r>
          </w:p>
        </w:tc>
        <w:tc>
          <w:tcPr>
            <w:tcW w:type="dxa" w:w="513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 xml:space="preserve">Información financiera, gestión, finanzas, tributación, aseguramiento, gobierno y riesgo, </w:t>
            </w:r>
            <w:r>
              <w:rPr>
                <w:rFonts w:ascii="Century Gothic" w:hAnsi="Century Gothic" w:cs="Century Gothic" w:eastAsia="Century Gothic"/>
                <w:b/>
                <w:i w:val="0"/>
                <w:sz w:val="20"/>
              </w:rPr>
              <w:t>tecnologías de la información</w:t>
            </w:r>
          </w:p>
        </w:tc>
      </w:tr>
      <w:tr>
        <w:tc>
          <w:tcPr>
            <w:tcW w:type="dxa" w:w="131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NIE 3</w:t>
            </w:r>
          </w:p>
        </w:tc>
        <w:tc>
          <w:tcPr>
            <w:tcW w:type="dxa" w:w="262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Habilidades profesionales</w:t>
            </w:r>
          </w:p>
        </w:tc>
        <w:tc>
          <w:tcPr>
            <w:tcW w:type="dxa" w:w="513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Pensamiento crítico, comunicación, trabajo colaborativo, liderazgo</w:t>
            </w:r>
          </w:p>
        </w:tc>
      </w:tr>
      <w:tr>
        <w:tc>
          <w:tcPr>
            <w:tcW w:type="dxa" w:w="131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NIE 4</w:t>
            </w:r>
          </w:p>
        </w:tc>
        <w:tc>
          <w:tcPr>
            <w:tcW w:type="dxa" w:w="262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Valores, ética y actitudes</w:t>
            </w:r>
          </w:p>
        </w:tc>
        <w:tc>
          <w:tcPr>
            <w:tcW w:type="dxa" w:w="513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Ética transversal y aplicada; escepticismo profesional</w:t>
            </w:r>
          </w:p>
        </w:tc>
      </w:tr>
      <w:tr>
        <w:tc>
          <w:tcPr>
            <w:tcW w:type="dxa" w:w="131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NIE 5</w:t>
            </w:r>
          </w:p>
        </w:tc>
        <w:tc>
          <w:tcPr>
            <w:tcW w:type="dxa" w:w="262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Experiencia práctica</w:t>
            </w:r>
          </w:p>
        </w:tc>
        <w:tc>
          <w:tcPr>
            <w:tcW w:type="dxa" w:w="513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i w:val="0"/>
                <w:sz w:val="20"/>
              </w:rPr>
              <w:t>Prácticas preprofesionales</w:t>
            </w:r>
          </w:p>
        </w:tc>
      </w:tr>
      <w:tr>
        <w:tc>
          <w:tcPr>
            <w:tcW w:type="dxa" w:w="131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NIE 6</w:t>
            </w:r>
          </w:p>
        </w:tc>
        <w:tc>
          <w:tcPr>
            <w:tcW w:type="dxa" w:w="262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Evaluación</w:t>
            </w:r>
          </w:p>
        </w:tc>
        <w:tc>
          <w:tcPr>
            <w:tcW w:type="dxa" w:w="513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Evaluación por desempeño observable</w:t>
            </w:r>
          </w:p>
        </w:tc>
      </w:tr>
      <w:tr>
        <w:tc>
          <w:tcPr>
            <w:tcW w:type="dxa" w:w="131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NIE 7</w:t>
            </w:r>
          </w:p>
        </w:tc>
        <w:tc>
          <w:tcPr>
            <w:tcW w:type="dxa" w:w="262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Desarrollo profesional continuo</w:t>
            </w:r>
          </w:p>
        </w:tc>
        <w:tc>
          <w:tcPr>
            <w:tcW w:type="dxa" w:w="513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Articulación con el postgrado</w:t>
            </w:r>
          </w:p>
        </w:tc>
      </w:tr>
      <w:tr>
        <w:tc>
          <w:tcPr>
            <w:tcW w:type="dxa" w:w="131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NIE 8</w:t>
            </w:r>
          </w:p>
        </w:tc>
        <w:tc>
          <w:tcPr>
            <w:tcW w:type="dxa" w:w="262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Competencias del auditor</w:t>
            </w:r>
          </w:p>
        </w:tc>
        <w:tc>
          <w:tcPr>
            <w:tcW w:type="dxa" w:w="513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Estándar del bloque de aseguramiento</w:t>
            </w:r>
          </w:p>
        </w:tc>
      </w:tr>
    </w:tbl>
    <w:p>
      <w:pPr>
        <w:spacing w:before="0" w:after="120" w:line="240" w:lineRule="auto"/>
        <w:jc w:val="left"/>
      </w:pPr>
    </w:p>
    <w:p>
      <w:pPr>
        <w:spacing w:before="0" w:after="200" w:line="240" w:lineRule="auto"/>
        <w:jc w:val="both"/>
      </w:pPr>
      <w:r>
        <w:rPr>
          <w:rFonts w:ascii="Century Gothic" w:hAnsi="Century Gothic" w:cs="Century Gothic" w:eastAsia="Century Gothic"/>
          <w:b w:val="0"/>
          <w:i/>
          <w:sz w:val="20"/>
        </w:rPr>
        <w:t>Fuente: IFAC, Handbook of International Education Pronouncements.</w:t>
      </w:r>
    </w:p>
    <w:p>
      <w:pPr>
        <w:spacing w:before="0" w:after="200" w:line="240" w:lineRule="auto"/>
        <w:jc w:val="both"/>
      </w:pPr>
      <w:r>
        <w:rPr>
          <w:rFonts w:ascii="Century Gothic" w:hAnsi="Century Gothic" w:cs="Century Gothic" w:eastAsia="Century Gothic"/>
          <w:b w:val="0"/>
          <w:i w:val="0"/>
          <w:sz w:val="20"/>
        </w:rPr>
        <w:t xml:space="preserve">A estos pronunciamientos se suma el </w:t>
      </w:r>
      <w:r>
        <w:rPr>
          <w:rFonts w:ascii="Century Gothic" w:hAnsi="Century Gothic" w:cs="Century Gothic" w:eastAsia="Century Gothic"/>
          <w:b/>
          <w:i w:val="0"/>
          <w:sz w:val="20"/>
        </w:rPr>
        <w:t>Código Internacional de Ética del IESBA</w:t>
      </w:r>
      <w:r>
        <w:rPr>
          <w:rFonts w:ascii="Century Gothic" w:hAnsi="Century Gothic" w:cs="Century Gothic" w:eastAsia="Century Gothic"/>
          <w:b w:val="0"/>
          <w:i w:val="0"/>
          <w:sz w:val="20"/>
        </w:rPr>
        <w:t xml:space="preserve">, adoptado en Bolivia desde 2021, cuyos cinco principios —integridad, objetividad, competencia y diligencia profesionales, confidencialidad y comportamiento profesional— y cuyo marco de amenazas y salvaguardas exigen un tratamiento </w:t>
      </w:r>
      <w:r>
        <w:rPr>
          <w:rFonts w:ascii="Century Gothic" w:hAnsi="Century Gothic" w:cs="Century Gothic" w:eastAsia="Century Gothic"/>
          <w:b/>
          <w:i w:val="0"/>
          <w:sz w:val="20"/>
        </w:rPr>
        <w:t>transversal y aplicado</w:t>
      </w:r>
      <w:r>
        <w:rPr>
          <w:rFonts w:ascii="Century Gothic" w:hAnsi="Century Gothic" w:cs="Century Gothic" w:eastAsia="Century Gothic"/>
          <w:b w:val="0"/>
          <w:i w:val="0"/>
          <w:sz w:val="20"/>
        </w:rPr>
        <w:t xml:space="preserve"> de la ética, incompatible con su ubicación actual como asignatura única del quinto año. El IESBA aprobó, además, normas de ética para el aseguramiento de sostenibilidad, coordinadas con la NIEA 5000.</w:t>
      </w:r>
    </w:p>
    <w:p>
      <w:pPr>
        <w:keepNext/>
        <w:spacing w:before="40" w:after="200" w:line="240" w:lineRule="auto"/>
        <w:jc w:val="left"/>
      </w:pPr>
      <w:r>
        <w:rPr>
          <w:rFonts w:ascii="Century Gothic" w:hAnsi="Century Gothic" w:cs="Century Gothic" w:eastAsia="Century Gothic"/>
          <w:b/>
          <w:i w:val="0"/>
          <w:sz w:val="22"/>
        </w:rPr>
        <w:t>d) Necesidad de actualización de la profesión</w:t>
      </w:r>
    </w:p>
    <w:p>
      <w:pPr>
        <w:spacing w:before="0" w:after="200" w:line="240" w:lineRule="auto"/>
        <w:jc w:val="both"/>
      </w:pPr>
      <w:r>
        <w:rPr>
          <w:rFonts w:ascii="Century Gothic" w:hAnsi="Century Gothic" w:cs="Century Gothic" w:eastAsia="Century Gothic"/>
          <w:b w:val="0"/>
          <w:i w:val="0"/>
          <w:sz w:val="20"/>
        </w:rPr>
        <w:t xml:space="preserve">La comparación entre el marco vigente y la malla de 2013 arroja una </w:t>
      </w:r>
      <w:r>
        <w:rPr>
          <w:rFonts w:ascii="Century Gothic" w:hAnsi="Century Gothic" w:cs="Century Gothic" w:eastAsia="Century Gothic"/>
          <w:b/>
          <w:i w:val="0"/>
          <w:sz w:val="20"/>
        </w:rPr>
        <w:t>brecha normativa estructural</w:t>
      </w:r>
      <w:r>
        <w:rPr>
          <w:rFonts w:ascii="Century Gothic" w:hAnsi="Century Gothic" w:cs="Century Gothic" w:eastAsia="Century Gothic"/>
          <w:b w:val="0"/>
          <w:i w:val="0"/>
          <w:sz w:val="20"/>
        </w:rPr>
        <w:t>:</w:t>
      </w:r>
    </w:p>
    <w:p>
      <w:pPr>
        <w:spacing w:before="0" w:after="200" w:line="240" w:lineRule="auto"/>
        <w:jc w:val="both"/>
      </w:pPr>
      <w:r>
        <w:rPr>
          <w:rFonts w:ascii="Century Gothic" w:hAnsi="Century Gothic" w:cs="Century Gothic" w:eastAsia="Century Gothic"/>
          <w:b/>
          <w:i w:val="0"/>
          <w:sz w:val="20"/>
        </w:rPr>
        <w:t>Cuadro 17. Brecha normativa del Plan 2013</w:t>
      </w:r>
    </w:p>
    <w:tbl>
      <w:tblPr>
        <w:tblW w:type="auto" w:w="0"/>
        <w:jc w:val="center"/>
        <w:tblLayout w:type="fixed"/>
        <w:tblLook w:firstColumn="1" w:firstRow="1" w:lastColumn="0" w:lastRow="0" w:noHBand="0" w:noVBand="1" w:val="04A0"/>
      </w:tblPr>
      <w:tblGrid>
        <w:gridCol w:w="4516"/>
        <w:gridCol w:w="4555"/>
      </w:tblGrid>
      <w:tr>
        <w:trPr>
          <w:tblHeader/>
        </w:trPr>
        <w:tc>
          <w:tcPr>
            <w:tcW w:type="dxa" w:w="4516"/>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20"/>
              </w:rPr>
              <w:t>Exigencia vigente</w:t>
            </w:r>
          </w:p>
        </w:tc>
        <w:tc>
          <w:tcPr>
            <w:tcW w:type="dxa" w:w="4555"/>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20"/>
              </w:rPr>
              <w:t>Situación del Plan 2013</w:t>
            </w:r>
          </w:p>
        </w:tc>
      </w:tr>
      <w:tr>
        <w:tc>
          <w:tcPr>
            <w:tcW w:type="dxa" w:w="451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Rediseño cada 7 años (UMSA) / 10 años (SUB)</w:t>
            </w:r>
          </w:p>
        </w:tc>
        <w:tc>
          <w:tcPr>
            <w:tcW w:type="dxa" w:w="455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 xml:space="preserve">13 años sin rediseño: </w:t>
            </w:r>
            <w:r>
              <w:rPr>
                <w:rFonts w:ascii="Century Gothic" w:hAnsi="Century Gothic" w:cs="Century Gothic" w:eastAsia="Century Gothic"/>
                <w:b/>
                <w:i w:val="0"/>
                <w:sz w:val="20"/>
              </w:rPr>
              <w:t>plazo vencido</w:t>
            </w:r>
          </w:p>
        </w:tc>
      </w:tr>
      <w:tr>
        <w:tc>
          <w:tcPr>
            <w:tcW w:type="dxa" w:w="451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Perfil de Contador Público Autorizado (Res. 07/2024)</w:t>
            </w:r>
          </w:p>
        </w:tc>
        <w:tc>
          <w:tcPr>
            <w:tcW w:type="dxa" w:w="455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 xml:space="preserve">Título de Auditor Financiero: </w:t>
            </w:r>
            <w:r>
              <w:rPr>
                <w:rFonts w:ascii="Century Gothic" w:hAnsi="Century Gothic" w:cs="Century Gothic" w:eastAsia="Century Gothic"/>
                <w:b/>
                <w:i w:val="0"/>
                <w:sz w:val="20"/>
              </w:rPr>
              <w:t>desalineado</w:t>
            </w:r>
          </w:p>
        </w:tc>
      </w:tr>
      <w:tr>
        <w:tc>
          <w:tcPr>
            <w:tcW w:type="dxa" w:w="451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Mapa de competencias y prácticas preprofesionales (Art. 8)</w:t>
            </w:r>
          </w:p>
        </w:tc>
        <w:tc>
          <w:tcPr>
            <w:tcW w:type="dxa" w:w="455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i w:val="0"/>
                <w:sz w:val="20"/>
              </w:rPr>
              <w:t>Ausentes</w:t>
            </w:r>
          </w:p>
        </w:tc>
      </w:tr>
      <w:tr>
        <w:tc>
          <w:tcPr>
            <w:tcW w:type="dxa" w:w="451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NIIF de Sostenibilidad (CTNAC 01/2024) y NIEA 5000</w:t>
            </w:r>
          </w:p>
        </w:tc>
        <w:tc>
          <w:tcPr>
            <w:tcW w:type="dxa" w:w="455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i w:val="0"/>
                <w:sz w:val="20"/>
              </w:rPr>
              <w:t>Sin contenido</w:t>
            </w:r>
          </w:p>
        </w:tc>
      </w:tr>
      <w:tr>
        <w:tc>
          <w:tcPr>
            <w:tcW w:type="dxa" w:w="451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NIE revisadas: TIC y escepticismo profesional</w:t>
            </w:r>
          </w:p>
        </w:tc>
        <w:tc>
          <w:tcPr>
            <w:tcW w:type="dxa" w:w="455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i w:val="0"/>
                <w:sz w:val="20"/>
              </w:rPr>
              <w:t>No incorporadas</w:t>
            </w:r>
          </w:p>
        </w:tc>
      </w:tr>
      <w:tr>
        <w:tc>
          <w:tcPr>
            <w:tcW w:type="dxa" w:w="451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Código IESBA y NIGC (CTNAC 01/2020 y 002/2020)</w:t>
            </w:r>
          </w:p>
        </w:tc>
        <w:tc>
          <w:tcPr>
            <w:tcW w:type="dxa" w:w="455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 xml:space="preserve">Ética como asignatura única terminal; calidad </w:t>
            </w:r>
            <w:r>
              <w:rPr>
                <w:rFonts w:ascii="Century Gothic" w:hAnsi="Century Gothic" w:cs="Century Gothic" w:eastAsia="Century Gothic"/>
                <w:b/>
                <w:i w:val="0"/>
                <w:sz w:val="20"/>
              </w:rPr>
              <w:t>sin contenido</w:t>
            </w:r>
          </w:p>
        </w:tc>
      </w:tr>
      <w:tr>
        <w:tc>
          <w:tcPr>
            <w:tcW w:type="dxa" w:w="451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NIA 315 revisada, NIA-ELC, NIIF PYMES 3ª ed.</w:t>
            </w:r>
          </w:p>
        </w:tc>
        <w:tc>
          <w:tcPr>
            <w:tcW w:type="dxa" w:w="455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i w:val="0"/>
                <w:sz w:val="20"/>
              </w:rPr>
              <w:t>Desactualizado</w:t>
            </w:r>
          </w:p>
        </w:tc>
      </w:tr>
      <w:tr>
        <w:tc>
          <w:tcPr>
            <w:tcW w:type="dxa" w:w="451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Facturación en línea (RND 102100000011)</w:t>
            </w:r>
          </w:p>
        </w:tc>
        <w:tc>
          <w:tcPr>
            <w:tcW w:type="dxa" w:w="455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Enseñanza sobre ciclo documental físico</w:t>
            </w:r>
          </w:p>
        </w:tc>
      </w:tr>
    </w:tbl>
    <w:p>
      <w:pPr>
        <w:spacing w:before="0" w:after="120" w:line="240" w:lineRule="auto"/>
        <w:jc w:val="left"/>
      </w:pPr>
    </w:p>
    <w:p>
      <w:pPr>
        <w:spacing w:before="0" w:after="200" w:line="240" w:lineRule="auto"/>
        <w:jc w:val="both"/>
      </w:pPr>
      <w:r>
        <w:rPr>
          <w:rFonts w:ascii="Century Gothic" w:hAnsi="Century Gothic" w:cs="Century Gothic" w:eastAsia="Century Gothic"/>
          <w:b/>
          <w:i w:val="0"/>
          <w:sz w:val="20"/>
        </w:rPr>
        <w:t>Conclusión del subpunto.</w:t>
      </w:r>
      <w:r>
        <w:rPr>
          <w:rFonts w:ascii="Century Gothic" w:hAnsi="Century Gothic" w:cs="Century Gothic" w:eastAsia="Century Gothic"/>
          <w:b w:val="0"/>
          <w:i w:val="0"/>
          <w:sz w:val="20"/>
        </w:rPr>
        <w:t xml:space="preserve"> El rediseño es el </w:t>
      </w:r>
      <w:r>
        <w:rPr>
          <w:rFonts w:ascii="Century Gothic" w:hAnsi="Century Gothic" w:cs="Century Gothic" w:eastAsia="Century Gothic"/>
          <w:b/>
          <w:i w:val="0"/>
          <w:sz w:val="20"/>
        </w:rPr>
        <w:t>cumplimiento de una obligación normativa vencida</w:t>
      </w:r>
      <w:r>
        <w:rPr>
          <w:rFonts w:ascii="Century Gothic" w:hAnsi="Century Gothic" w:cs="Century Gothic" w:eastAsia="Century Gothic"/>
          <w:b w:val="0"/>
          <w:i w:val="0"/>
          <w:sz w:val="20"/>
        </w:rPr>
        <w:t xml:space="preserve"> y, además, la única vía para incorporar contenidos que ya son de cumplimiento obligatorio. Cada gestión de postergación titula profesionales sin formación en las NIIF de Sostenibilidad, exigibles en Bolivia desde 2027.</w:t>
      </w:r>
    </w:p>
    <w:p>
      <w:pPr>
        <w:spacing w:before="0" w:after="200" w:line="240" w:lineRule="auto"/>
        <w:jc w:val="both"/>
      </w:pPr>
      <w:r>
        <w:rPr>
          <w:rFonts w:ascii="Century Gothic" w:hAnsi="Century Gothic" w:cs="Century Gothic" w:eastAsia="Century Gothic"/>
          <w:b w:val="0"/>
          <w:i w:val="0"/>
          <w:sz w:val="20"/>
        </w:rPr>
        <w:t>Tres hallazgos de este análisis tienen carácter decisivo:</w:t>
      </w:r>
    </w:p>
    <w:p>
      <w:pPr>
        <w:numPr>
          <w:ilvl w:val="0"/>
          <w:numId w:val="902"/>
        </w:numPr>
        <w:spacing w:before="0" w:after="160" w:line="240" w:lineRule="auto"/>
        <w:jc w:val="both"/>
      </w:pPr>
      <w:r>
        <w:rPr>
          <w:rFonts w:ascii="Century Gothic" w:hAnsi="Century Gothic" w:cs="Century Gothic" w:eastAsia="Century Gothic"/>
          <w:b/>
          <w:i w:val="0"/>
          <w:sz w:val="20"/>
        </w:rPr>
        <w:t>El nivel de innovación está determinado por la norma.</w:t>
      </w:r>
      <w:r>
        <w:rPr>
          <w:rFonts w:ascii="Century Gothic" w:hAnsi="Century Gothic" w:cs="Century Gothic" w:eastAsia="Century Gothic"/>
          <w:b w:val="0"/>
          <w:i w:val="0"/>
          <w:sz w:val="20"/>
        </w:rPr>
        <w:t xml:space="preserve"> La adopción del perfil de Contador Público Autorizado reformula el perfil de egreso; el Art. 5 de la Res. HCU 032/2025 reserva esa operación al rediseño y el Art. 6 la excluye expresamente del ajuste. No hay margen de interpretación: </w:t>
      </w:r>
      <w:r>
        <w:rPr>
          <w:rFonts w:ascii="Century Gothic" w:hAnsi="Century Gothic" w:cs="Century Gothic" w:eastAsia="Century Gothic"/>
          <w:b/>
          <w:i w:val="0"/>
          <w:sz w:val="20"/>
        </w:rPr>
        <w:t>el proceso sólo puede tramitarse como rediseño</w:t>
      </w:r>
      <w:r>
        <w:rPr>
          <w:rFonts w:ascii="Century Gothic" w:hAnsi="Century Gothic" w:cs="Century Gothic" w:eastAsia="Century Gothic"/>
          <w:b w:val="0"/>
          <w:i w:val="0"/>
          <w:sz w:val="20"/>
        </w:rPr>
        <w:t>.</w:t>
      </w:r>
    </w:p>
    <w:p>
      <w:pPr>
        <w:numPr>
          <w:ilvl w:val="0"/>
          <w:numId w:val="902"/>
        </w:numPr>
        <w:spacing w:before="0" w:after="160" w:line="240" w:lineRule="auto"/>
        <w:jc w:val="both"/>
      </w:pPr>
      <w:r>
        <w:rPr>
          <w:rFonts w:ascii="Century Gothic" w:hAnsi="Century Gothic" w:cs="Century Gothic" w:eastAsia="Century Gothic"/>
          <w:b/>
          <w:i w:val="0"/>
          <w:sz w:val="20"/>
        </w:rPr>
        <w:t>Existe una obligación con fecha cierta.</w:t>
      </w:r>
      <w:r>
        <w:rPr>
          <w:rFonts w:ascii="Century Gothic" w:hAnsi="Century Gothic" w:cs="Century Gothic" w:eastAsia="Century Gothic"/>
          <w:b w:val="0"/>
          <w:i w:val="0"/>
          <w:sz w:val="20"/>
        </w:rPr>
        <w:t xml:space="preserve"> La Resolución CTNAC N° 01/2024 hace exigibles las NIIF de Sostenibilidad en Bolivia desde el 1 de enero de 2027, y la NIEA 5000 rige internacionalmente desde el 15 de diciembre de 2026. Ambas fechas son anteriores al egreso de la primera cohorte del plan rediseñado: </w:t>
      </w:r>
      <w:r>
        <w:rPr>
          <w:rFonts w:ascii="Century Gothic" w:hAnsi="Century Gothic" w:cs="Century Gothic" w:eastAsia="Century Gothic"/>
          <w:b/>
          <w:i w:val="0"/>
          <w:sz w:val="20"/>
        </w:rPr>
        <w:t>cada gestión de postergación titula profesionales sin formación en una materia de cumplimiento obligatorio</w:t>
      </w:r>
      <w:r>
        <w:rPr>
          <w:rFonts w:ascii="Century Gothic" w:hAnsi="Century Gothic" w:cs="Century Gothic" w:eastAsia="Century Gothic"/>
          <w:b w:val="0"/>
          <w:i w:val="0"/>
          <w:sz w:val="20"/>
        </w:rPr>
        <w:t>.</w:t>
      </w:r>
    </w:p>
    <w:p>
      <w:pPr>
        <w:numPr>
          <w:ilvl w:val="0"/>
          <w:numId w:val="902"/>
        </w:numPr>
        <w:spacing w:before="0" w:after="200" w:line="240" w:lineRule="auto"/>
        <w:jc w:val="both"/>
      </w:pPr>
      <w:r>
        <w:rPr>
          <w:rFonts w:ascii="Century Gothic" w:hAnsi="Century Gothic" w:cs="Century Gothic" w:eastAsia="Century Gothic"/>
          <w:b/>
          <w:i w:val="0"/>
          <w:sz w:val="20"/>
        </w:rPr>
        <w:t>El plan vigente es anterior a la profesión vigente.</w:t>
      </w:r>
      <w:r>
        <w:rPr>
          <w:rFonts w:ascii="Century Gothic" w:hAnsi="Century Gothic" w:cs="Century Gothic" w:eastAsia="Century Gothic"/>
          <w:b w:val="0"/>
          <w:i w:val="0"/>
          <w:sz w:val="20"/>
        </w:rPr>
        <w:t xml:space="preserve"> El Código del IESBA, las Normas de Gestión de la Calidad y las NIE revisadas por TIC y escepticismo profesional entraron en vigor en Bolivia o internacionalmente en 2021, ocho años después de aprobado el Plan 2013. La brecha no es de detalle: </w:t>
      </w:r>
      <w:r>
        <w:rPr>
          <w:rFonts w:ascii="Century Gothic" w:hAnsi="Century Gothic" w:cs="Century Gothic" w:eastAsia="Century Gothic"/>
          <w:b/>
          <w:i w:val="0"/>
          <w:sz w:val="20"/>
        </w:rPr>
        <w:t>el plan fue diseñado para un marco profesional que ya no existe</w:t>
      </w:r>
      <w:r>
        <w:rPr>
          <w:rFonts w:ascii="Century Gothic" w:hAnsi="Century Gothic" w:cs="Century Gothic" w:eastAsia="Century Gothic"/>
          <w:b w:val="0"/>
          <w:i w:val="0"/>
          <w:sz w:val="20"/>
        </w:rPr>
        <w:t>.</w:t>
      </w:r>
    </w:p>
    <w:p>
      <w:pPr>
        <w:spacing w:before="0" w:after="200" w:line="240" w:lineRule="auto"/>
        <w:jc w:val="both"/>
      </w:pPr>
      <w:r>
        <w:rPr>
          <w:rFonts w:ascii="Century Gothic" w:hAnsi="Century Gothic" w:cs="Century Gothic" w:eastAsia="Century Gothic"/>
          <w:b w:val="0"/>
          <w:i w:val="0"/>
          <w:sz w:val="20"/>
        </w:rPr>
        <w:t xml:space="preserve">De este análisis se desprenden </w:t>
      </w:r>
      <w:r>
        <w:rPr>
          <w:rFonts w:ascii="Century Gothic" w:hAnsi="Century Gothic" w:cs="Century Gothic" w:eastAsia="Century Gothic"/>
          <w:b/>
          <w:i w:val="0"/>
          <w:sz w:val="20"/>
        </w:rPr>
        <w:t>contenidos normativos mínimos obligatorios</w:t>
      </w:r>
      <w:r>
        <w:rPr>
          <w:rFonts w:ascii="Century Gothic" w:hAnsi="Century Gothic" w:cs="Century Gothic" w:eastAsia="Century Gothic"/>
          <w:b w:val="0"/>
          <w:i w:val="0"/>
          <w:sz w:val="20"/>
        </w:rPr>
        <w:t xml:space="preserve"> para el perfil de egreso: las Normas de Contabilidad N° 1 a 14 y su prelación respecto de las NIIF; las NIIF completas y la NIIF para las PYMES (3.ª edición); las NB-SCI y las NICSP; las NIIF de Sostenibilidad; las Normas de Auditoría nacionales, las NIA —incluida la NIA 315 revisada—, las NIER, NIEA, NIAS y NIGC; las Normas de Auditoría Gubernamental y las ISSAI; el Código de Ética del IESBA; y la legislación comercial, tributaria, laboral, financiera y de prevención de delitos financieros vigente.</w:t>
      </w:r>
    </w:p>
    <w:p>
      <w:pPr>
        <w:keepNext/>
        <w:tabs>
          <w:tab w:pos="709" w:val="left"/>
        </w:tabs>
        <w:spacing w:before="120" w:after="200" w:line="240" w:lineRule="auto"/>
        <w:ind w:left="709" w:hanging="709"/>
        <w:jc w:val="left"/>
      </w:pPr>
      <w:r>
        <w:rPr>
          <w:rFonts w:ascii="Century Gothic" w:hAnsi="Century Gothic" w:cs="Century Gothic" w:eastAsia="Century Gothic"/>
          <w:b/>
          <w:i w:val="0"/>
          <w:sz w:val="24"/>
        </w:rPr>
        <w:t>3.3</w:t>
        <w:tab/>
      </w:r>
      <w:r>
        <w:rPr>
          <w:rFonts w:ascii="Century Gothic" w:hAnsi="Century Gothic" w:cs="Century Gothic" w:eastAsia="Century Gothic"/>
          <w:b/>
          <w:i w:val="0"/>
          <w:sz w:val="24"/>
        </w:rPr>
        <w:t>Análisis del contexto económico, estudio de mercado laboral e inserción laboral</w:t>
      </w:r>
    </w:p>
    <w:p>
      <w:pPr>
        <w:keepNext/>
        <w:spacing w:before="40" w:after="200" w:line="240" w:lineRule="auto"/>
        <w:jc w:val="left"/>
      </w:pPr>
      <w:r>
        <w:rPr>
          <w:rFonts w:ascii="Century Gothic" w:hAnsi="Century Gothic" w:cs="Century Gothic" w:eastAsia="Century Gothic"/>
          <w:b/>
          <w:i w:val="0"/>
          <w:sz w:val="22"/>
        </w:rPr>
        <w:t>a) Contexto económico</w:t>
      </w:r>
    </w:p>
    <w:p>
      <w:pPr>
        <w:spacing w:before="0" w:after="200" w:line="240" w:lineRule="auto"/>
        <w:jc w:val="both"/>
      </w:pPr>
      <w:r>
        <w:rPr>
          <w:rFonts w:ascii="Century Gothic" w:hAnsi="Century Gothic" w:cs="Century Gothic" w:eastAsia="Century Gothic"/>
          <w:b w:val="0"/>
          <w:i w:val="0"/>
          <w:sz w:val="20"/>
        </w:rPr>
        <w:t xml:space="preserve">Bolivia atraviesa su recesión más profunda en décadas: el FMI proyecta una contracción del PIB de </w:t>
      </w:r>
      <w:r>
        <w:rPr>
          <w:rFonts w:ascii="Century Gothic" w:hAnsi="Century Gothic" w:cs="Century Gothic" w:eastAsia="Century Gothic"/>
          <w:b/>
          <w:i w:val="0"/>
          <w:sz w:val="20"/>
        </w:rPr>
        <w:t>−3,3 % en 2026</w:t>
      </w:r>
      <w:r>
        <w:rPr>
          <w:rFonts w:ascii="Century Gothic" w:hAnsi="Century Gothic" w:cs="Century Gothic" w:eastAsia="Century Gothic"/>
          <w:b w:val="0"/>
          <w:i w:val="0"/>
          <w:sz w:val="20"/>
        </w:rPr>
        <w:t xml:space="preserve"> (−3,0 % en el programa de Servicio Ampliado acordado en octubre de 2026), con un déficit fiscal de 11,4 % del PIB en 2025 en proceso de reducción y un régimen cambiario flexible desde junio de 2026. La </w:t>
      </w:r>
      <w:r>
        <w:rPr>
          <w:rFonts w:ascii="Century Gothic" w:hAnsi="Century Gothic" w:cs="Century Gothic" w:eastAsia="Century Gothic"/>
          <w:b/>
          <w:i w:val="0"/>
          <w:sz w:val="20"/>
        </w:rPr>
        <w:t>informalidad laboral alcanza el 84,2 %</w:t>
      </w:r>
      <w:r>
        <w:rPr>
          <w:rFonts w:ascii="Century Gothic" w:hAnsi="Century Gothic" w:cs="Century Gothic" w:eastAsia="Century Gothic"/>
          <w:b w:val="0"/>
          <w:i w:val="0"/>
          <w:sz w:val="20"/>
        </w:rPr>
        <w:t xml:space="preserve"> (INE, primer trimestre de 2026) y la población ocupada cayó en unas 205 mil personas en el primer semestre (BCB, 2026). Aun así, la base empresarial formal llegó a </w:t>
      </w:r>
      <w:r>
        <w:rPr>
          <w:rFonts w:ascii="Century Gothic" w:hAnsi="Century Gothic" w:cs="Century Gothic" w:eastAsia="Century Gothic"/>
          <w:b/>
          <w:i w:val="0"/>
          <w:sz w:val="20"/>
        </w:rPr>
        <w:t>395.790 unidades económicas</w:t>
      </w:r>
      <w:r>
        <w:rPr>
          <w:rFonts w:ascii="Century Gothic" w:hAnsi="Century Gothic" w:cs="Century Gothic" w:eastAsia="Century Gothic"/>
          <w:b w:val="0"/>
          <w:i w:val="0"/>
          <w:sz w:val="20"/>
        </w:rPr>
        <w:t xml:space="preserve"> a septiembre de 2025, </w:t>
      </w:r>
      <w:r>
        <w:rPr>
          <w:rFonts w:ascii="Century Gothic" w:hAnsi="Century Gothic" w:cs="Century Gothic" w:eastAsia="Century Gothic"/>
          <w:b/>
          <w:i w:val="0"/>
          <w:sz w:val="20"/>
        </w:rPr>
        <w:t>cerca de 117.800 en La Paz</w:t>
      </w:r>
      <w:r>
        <w:rPr>
          <w:rFonts w:ascii="Century Gothic" w:hAnsi="Century Gothic" w:cs="Century Gothic" w:eastAsia="Century Gothic"/>
          <w:b w:val="0"/>
          <w:i w:val="0"/>
          <w:sz w:val="20"/>
        </w:rPr>
        <w:t>, la mayor del país (SEPREC, 2025).</w:t>
      </w:r>
    </w:p>
    <w:p>
      <w:pPr>
        <w:spacing w:before="0" w:after="200" w:line="240" w:lineRule="auto"/>
        <w:jc w:val="both"/>
      </w:pPr>
      <w:r>
        <w:rPr>
          <w:rFonts w:ascii="Century Gothic" w:hAnsi="Century Gothic" w:cs="Century Gothic" w:eastAsia="Century Gothic"/>
          <w:b w:val="0"/>
          <w:i w:val="0"/>
          <w:sz w:val="20"/>
        </w:rPr>
        <w:t xml:space="preserve">Este contexto </w:t>
      </w:r>
      <w:r>
        <w:rPr>
          <w:rFonts w:ascii="Century Gothic" w:hAnsi="Century Gothic" w:cs="Century Gothic" w:eastAsia="Century Gothic"/>
          <w:b/>
          <w:i w:val="0"/>
          <w:sz w:val="20"/>
        </w:rPr>
        <w:t>desplaza el valor del contador del registro al control</w:t>
      </w:r>
      <w:r>
        <w:rPr>
          <w:rFonts w:ascii="Century Gothic" w:hAnsi="Century Gothic" w:cs="Century Gothic" w:eastAsia="Century Gothic"/>
          <w:b w:val="0"/>
          <w:i w:val="0"/>
          <w:sz w:val="20"/>
        </w:rPr>
        <w:t>: menos contratación y más exigencia de control de costos, flujo de caja, riesgo cambiario y cumplimiento tributario. Además, el 85 % de los estudiantes reconoce que la coyuntura presiona para abandonar o retrasar la carrera (IICCFA, 2025), lo que obliga a un plan compatible con el estudiante que trabaja.</w:t>
      </w:r>
    </w:p>
    <w:p>
      <w:pPr>
        <w:spacing w:before="0" w:after="200" w:line="240" w:lineRule="auto"/>
        <w:jc w:val="both"/>
      </w:pPr>
      <w:r>
        <w:rPr>
          <w:rFonts w:ascii="Century Gothic" w:hAnsi="Century Gothic" w:cs="Century Gothic" w:eastAsia="Century Gothic"/>
          <w:b/>
          <w:i w:val="0"/>
          <w:sz w:val="20"/>
        </w:rPr>
        <w:t>Cuadro 18. Indicadores macroeconómicos y laborales recientes</w:t>
      </w:r>
    </w:p>
    <w:tbl>
      <w:tblPr>
        <w:tblW w:type="auto" w:w="0"/>
        <w:jc w:val="center"/>
        <w:tblLayout w:type="fixed"/>
        <w:tblLook w:firstColumn="1" w:firstRow="1" w:lastColumn="0" w:lastRow="0" w:noHBand="0" w:noVBand="1" w:val="04A0"/>
      </w:tblPr>
      <w:tblGrid>
        <w:gridCol w:w="2937"/>
        <w:gridCol w:w="3784"/>
        <w:gridCol w:w="2350"/>
      </w:tblGrid>
      <w:tr>
        <w:trPr>
          <w:tblHeader/>
        </w:trPr>
        <w:tc>
          <w:tcPr>
            <w:tcW w:type="dxa" w:w="2937"/>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20"/>
              </w:rPr>
              <w:t>Indicador</w:t>
            </w:r>
          </w:p>
        </w:tc>
        <w:tc>
          <w:tcPr>
            <w:tcW w:type="dxa" w:w="3784"/>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20"/>
              </w:rPr>
              <w:t>Dato</w:t>
            </w:r>
          </w:p>
        </w:tc>
        <w:tc>
          <w:tcPr>
            <w:tcW w:type="dxa" w:w="2350"/>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20"/>
              </w:rPr>
              <w:t>Fuente</w:t>
            </w:r>
          </w:p>
        </w:tc>
      </w:tr>
      <w:tr>
        <w:tc>
          <w:tcPr>
            <w:tcW w:type="dxa" w:w="293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PIB real 2026</w:t>
            </w:r>
          </w:p>
        </w:tc>
        <w:tc>
          <w:tcPr>
            <w:tcW w:type="dxa" w:w="378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−3,3 % (FMI, abril); −3,0 % (programa con el FMI); −2,8 % (Banco Mundial)</w:t>
            </w:r>
          </w:p>
        </w:tc>
        <w:tc>
          <w:tcPr>
            <w:tcW w:type="dxa" w:w="235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FMI (2026); Banco Mundial (2026)</w:t>
            </w:r>
          </w:p>
        </w:tc>
      </w:tr>
      <w:tr>
        <w:tc>
          <w:tcPr>
            <w:tcW w:type="dxa" w:w="293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Inflación a doce meses (septiembre de 2026)</w:t>
            </w:r>
          </w:p>
        </w:tc>
        <w:tc>
          <w:tcPr>
            <w:tcW w:type="dxa" w:w="378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5,70 %</w:t>
            </w:r>
          </w:p>
        </w:tc>
        <w:tc>
          <w:tcPr>
            <w:tcW w:type="dxa" w:w="235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INE (2026)</w:t>
            </w:r>
          </w:p>
        </w:tc>
      </w:tr>
      <w:tr>
        <w:tc>
          <w:tcPr>
            <w:tcW w:type="dxa" w:w="293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Déficit fiscal</w:t>
            </w:r>
          </w:p>
        </w:tc>
        <w:tc>
          <w:tcPr>
            <w:tcW w:type="dxa" w:w="378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11,4 % del PIB en 2025; meta de 3,2 % en 2029</w:t>
            </w:r>
          </w:p>
        </w:tc>
        <w:tc>
          <w:tcPr>
            <w:tcW w:type="dxa" w:w="235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FMI (2026)</w:t>
            </w:r>
          </w:p>
        </w:tc>
      </w:tr>
      <w:tr>
        <w:tc>
          <w:tcPr>
            <w:tcW w:type="dxa" w:w="293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Financiamiento externo</w:t>
            </w:r>
          </w:p>
        </w:tc>
        <w:tc>
          <w:tcPr>
            <w:tcW w:type="dxa" w:w="378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US$ 1.900 millones a 36 meses</w:t>
            </w:r>
          </w:p>
        </w:tc>
        <w:tc>
          <w:tcPr>
            <w:tcW w:type="dxa" w:w="235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FMI (2026)</w:t>
            </w:r>
          </w:p>
        </w:tc>
      </w:tr>
      <w:tr>
        <w:tc>
          <w:tcPr>
            <w:tcW w:type="dxa" w:w="293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Desocupación urbana (II trimestre de 2026)</w:t>
            </w:r>
          </w:p>
        </w:tc>
        <w:tc>
          <w:tcPr>
            <w:tcW w:type="dxa" w:w="378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3,4 %</w:t>
            </w:r>
          </w:p>
        </w:tc>
        <w:tc>
          <w:tcPr>
            <w:tcW w:type="dxa" w:w="235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INE (2026)</w:t>
            </w:r>
          </w:p>
        </w:tc>
      </w:tr>
      <w:tr>
        <w:tc>
          <w:tcPr>
            <w:tcW w:type="dxa" w:w="293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Informalidad laboral (marzo de 2026)</w:t>
            </w:r>
          </w:p>
        </w:tc>
        <w:tc>
          <w:tcPr>
            <w:tcW w:type="dxa" w:w="378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84,2 %; jóvenes 93,2 %</w:t>
            </w:r>
          </w:p>
        </w:tc>
        <w:tc>
          <w:tcPr>
            <w:tcW w:type="dxa" w:w="235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INE (2026)</w:t>
            </w:r>
          </w:p>
        </w:tc>
      </w:tr>
      <w:tr>
        <w:tc>
          <w:tcPr>
            <w:tcW w:type="dxa" w:w="293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Caída de la población ocupada (I semestre de 2026)</w:t>
            </w:r>
          </w:p>
        </w:tc>
        <w:tc>
          <w:tcPr>
            <w:tcW w:type="dxa" w:w="378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 205 mil personas</w:t>
            </w:r>
          </w:p>
        </w:tc>
        <w:tc>
          <w:tcPr>
            <w:tcW w:type="dxa" w:w="235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BCB (2026)</w:t>
            </w:r>
          </w:p>
        </w:tc>
      </w:tr>
      <w:tr>
        <w:tc>
          <w:tcPr>
            <w:tcW w:type="dxa" w:w="293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Ramas con más ocupación</w:t>
            </w:r>
          </w:p>
        </w:tc>
        <w:tc>
          <w:tcPr>
            <w:tcW w:type="dxa" w:w="378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Comercio 23,7 %; manufactura 15,0 %; alojamiento y comidas 10,6 %; transporte 9,4 %</w:t>
            </w:r>
          </w:p>
        </w:tc>
        <w:tc>
          <w:tcPr>
            <w:tcW w:type="dxa" w:w="235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INE (2026)</w:t>
            </w:r>
          </w:p>
        </w:tc>
      </w:tr>
    </w:tbl>
    <w:p>
      <w:pPr>
        <w:spacing w:before="0" w:after="120" w:line="240" w:lineRule="auto"/>
        <w:jc w:val="left"/>
      </w:pPr>
    </w:p>
    <w:p>
      <w:pPr>
        <w:spacing w:before="0" w:after="200" w:line="240" w:lineRule="auto"/>
        <w:jc w:val="both"/>
      </w:pPr>
      <w:r>
        <w:rPr>
          <w:rFonts w:ascii="Century Gothic" w:hAnsi="Century Gothic" w:cs="Century Gothic" w:eastAsia="Century Gothic"/>
          <w:b w:val="0"/>
          <w:i/>
          <w:sz w:val="20"/>
        </w:rPr>
        <w:t>Fuente: subpunto 3.3 de la Comisión 1, sobre documentos del FMI, Banco Mundial, INE y BCB citados en prensa; contrastar con los originales antes de la aprobación final.</w:t>
      </w:r>
    </w:p>
    <w:p>
      <w:pPr>
        <w:spacing w:before="0" w:after="200" w:line="240" w:lineRule="auto"/>
        <w:jc w:val="both"/>
      </w:pPr>
      <w:r>
        <w:rPr>
          <w:rFonts w:ascii="Century Gothic" w:hAnsi="Century Gothic" w:cs="Century Gothic" w:eastAsia="Century Gothic"/>
          <w:b w:val="0"/>
          <w:i w:val="0"/>
          <w:sz w:val="20"/>
        </w:rPr>
        <w:t xml:space="preserve">Cuatro consecuencias se derivan para la formación: </w:t>
      </w:r>
      <w:r>
        <w:rPr>
          <w:rFonts w:ascii="Century Gothic" w:hAnsi="Century Gothic" w:cs="Century Gothic" w:eastAsia="Century Gothic"/>
          <w:b/>
          <w:i w:val="0"/>
          <w:sz w:val="20"/>
        </w:rPr>
        <w:t>(i)</w:t>
      </w:r>
      <w:r>
        <w:rPr>
          <w:rFonts w:ascii="Century Gothic" w:hAnsi="Century Gothic" w:cs="Century Gothic" w:eastAsia="Century Gothic"/>
          <w:b w:val="0"/>
          <w:i w:val="0"/>
          <w:sz w:val="20"/>
        </w:rPr>
        <w:t xml:space="preserve"> las entidades que reducen personal exigen más control de costos, flujo de caja y cumplimiento a cada profesional que mantienen; </w:t>
      </w:r>
      <w:r>
        <w:rPr>
          <w:rFonts w:ascii="Century Gothic" w:hAnsi="Century Gothic" w:cs="Century Gothic" w:eastAsia="Century Gothic"/>
          <w:b/>
          <w:i w:val="0"/>
          <w:sz w:val="20"/>
        </w:rPr>
        <w:t>(ii)</w:t>
      </w:r>
      <w:r>
        <w:rPr>
          <w:rFonts w:ascii="Century Gothic" w:hAnsi="Century Gothic" w:cs="Century Gothic" w:eastAsia="Century Gothic"/>
          <w:b w:val="0"/>
          <w:i w:val="0"/>
          <w:sz w:val="20"/>
        </w:rPr>
        <w:t xml:space="preserve"> el tipo de cambio flexible y la inflación convierten la medición en moneda extranjera y el riesgo financiero en temas del ejercicio cotidiano; </w:t>
      </w:r>
      <w:r>
        <w:rPr>
          <w:rFonts w:ascii="Century Gothic" w:hAnsi="Century Gothic" w:cs="Century Gothic" w:eastAsia="Century Gothic"/>
          <w:b/>
          <w:i w:val="0"/>
          <w:sz w:val="20"/>
        </w:rPr>
        <w:t>(iii)</w:t>
      </w:r>
      <w:r>
        <w:rPr>
          <w:rFonts w:ascii="Century Gothic" w:hAnsi="Century Gothic" w:cs="Century Gothic" w:eastAsia="Century Gothic"/>
          <w:b w:val="0"/>
          <w:i w:val="0"/>
          <w:sz w:val="20"/>
        </w:rPr>
        <w:t xml:space="preserve"> el ajuste del sector público demanda perfiles de control interno y gestión de riesgos más que de registro; y </w:t>
      </w:r>
      <w:r>
        <w:rPr>
          <w:rFonts w:ascii="Century Gothic" w:hAnsi="Century Gothic" w:cs="Century Gothic" w:eastAsia="Century Gothic"/>
          <w:b/>
          <w:i w:val="0"/>
          <w:sz w:val="20"/>
        </w:rPr>
        <w:t>(iv)</w:t>
      </w:r>
      <w:r>
        <w:rPr>
          <w:rFonts w:ascii="Century Gothic" w:hAnsi="Century Gothic" w:cs="Century Gothic" w:eastAsia="Century Gothic"/>
          <w:b w:val="0"/>
          <w:i w:val="0"/>
          <w:sz w:val="20"/>
        </w:rPr>
        <w:t xml:space="preserve"> la informalidad abre un nicho de servicios de formalización y acompañamiento a la micro y pequeña empresa para el ejercicio independiente.</w:t>
      </w:r>
    </w:p>
    <w:p>
      <w:pPr>
        <w:keepNext/>
        <w:spacing w:before="40" w:after="200" w:line="240" w:lineRule="auto"/>
        <w:jc w:val="left"/>
      </w:pPr>
      <w:r>
        <w:rPr>
          <w:rFonts w:ascii="Century Gothic" w:hAnsi="Century Gothic" w:cs="Century Gothic" w:eastAsia="Century Gothic"/>
          <w:b/>
          <w:i w:val="0"/>
          <w:sz w:val="22"/>
        </w:rPr>
        <w:t>b) Demanda de las empresas</w:t>
      </w:r>
    </w:p>
    <w:p>
      <w:pPr>
        <w:spacing w:before="0" w:after="200" w:line="240" w:lineRule="auto"/>
        <w:jc w:val="both"/>
      </w:pPr>
      <w:r>
        <w:rPr>
          <w:rFonts w:ascii="Century Gothic" w:hAnsi="Century Gothic" w:cs="Century Gothic" w:eastAsia="Century Gothic"/>
          <w:b w:val="0"/>
          <w:i w:val="0"/>
          <w:sz w:val="20"/>
        </w:rPr>
        <w:t xml:space="preserve">La Encuesta BID de demanda laboral, aplicada a 1.931 empresas de las tres ciudades principales (Urquidi et al., 2023a; 2023b), muestra que el 97 % de las empresas opera con internet; que la </w:t>
      </w:r>
      <w:r>
        <w:rPr>
          <w:rFonts w:ascii="Century Gothic" w:hAnsi="Century Gothic" w:cs="Century Gothic" w:eastAsia="Century Gothic"/>
          <w:b/>
          <w:i w:val="0"/>
          <w:sz w:val="20"/>
        </w:rPr>
        <w:t>falta de experiencia y de habilidades</w:t>
      </w:r>
      <w:r>
        <w:rPr>
          <w:rFonts w:ascii="Century Gothic" w:hAnsi="Century Gothic" w:cs="Century Gothic" w:eastAsia="Century Gothic"/>
          <w:b w:val="0"/>
          <w:i w:val="0"/>
          <w:sz w:val="20"/>
        </w:rPr>
        <w:t xml:space="preserve"> son las principales barreras de contratación; que la capacitación interna cayó de 81 % a 57 % de las empresas entre 2020 y 2022; y que el 30 % de las empresas grandes ya tiene programas de pasantías. </w:t>
      </w:r>
      <w:r>
        <w:rPr>
          <w:rFonts w:ascii="Century Gothic" w:hAnsi="Century Gothic" w:cs="Century Gothic" w:eastAsia="Century Gothic"/>
          <w:b/>
          <w:i w:val="0"/>
          <w:sz w:val="20"/>
        </w:rPr>
        <w:t>La empresa espera profesionales operativos desde el primer día y traslada esa responsabilidad a la universidad.</w:t>
      </w:r>
    </w:p>
    <w:p>
      <w:pPr>
        <w:spacing w:before="0" w:after="200" w:line="240" w:lineRule="auto"/>
        <w:jc w:val="both"/>
      </w:pPr>
      <w:r>
        <w:rPr>
          <w:rFonts w:ascii="Century Gothic" w:hAnsi="Century Gothic" w:cs="Century Gothic" w:eastAsia="Century Gothic"/>
          <w:b/>
          <w:i w:val="0"/>
          <w:sz w:val="20"/>
        </w:rPr>
        <w:t>Cuadro 19. Hallazgos de la Encuesta BID relevantes para la formación</w:t>
      </w:r>
    </w:p>
    <w:tbl>
      <w:tblPr>
        <w:tblW w:type="auto" w:w="0"/>
        <w:jc w:val="center"/>
        <w:tblLayout w:type="fixed"/>
        <w:tblLook w:firstColumn="1" w:firstRow="1" w:lastColumn="0" w:lastRow="0" w:noHBand="0" w:noVBand="1" w:val="04A0"/>
      </w:tblPr>
      <w:tblGrid>
        <w:gridCol w:w="4145"/>
        <w:gridCol w:w="4925"/>
      </w:tblGrid>
      <w:tr>
        <w:trPr>
          <w:tblHeader/>
        </w:trPr>
        <w:tc>
          <w:tcPr>
            <w:tcW w:type="dxa" w:w="4145"/>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20"/>
              </w:rPr>
              <w:t>Hallazgo</w:t>
            </w:r>
          </w:p>
        </w:tc>
        <w:tc>
          <w:tcPr>
            <w:tcW w:type="dxa" w:w="4925"/>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20"/>
              </w:rPr>
              <w:t>Dato</w:t>
            </w:r>
          </w:p>
        </w:tc>
      </w:tr>
      <w:tr>
        <w:tc>
          <w:tcPr>
            <w:tcW w:type="dxa" w:w="414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Estructura empresarial (ciudades grandes)</w:t>
            </w:r>
          </w:p>
        </w:tc>
        <w:tc>
          <w:tcPr>
            <w:tcW w:type="dxa" w:w="492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48 % servicios, 26 % comercio; 68 % pequeñas, 24 % medianas, 8 % grandes</w:t>
            </w:r>
          </w:p>
        </w:tc>
      </w:tr>
      <w:tr>
        <w:tc>
          <w:tcPr>
            <w:tcW w:type="dxa" w:w="414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Equipamiento tecnológico</w:t>
            </w:r>
          </w:p>
        </w:tc>
        <w:tc>
          <w:tcPr>
            <w:tcW w:type="dxa" w:w="492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97 % con internet; 89 % con computadoras</w:t>
            </w:r>
          </w:p>
        </w:tc>
      </w:tr>
      <w:tr>
        <w:tc>
          <w:tcPr>
            <w:tcW w:type="dxa" w:w="414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Contrataciones orientadas a perfiles universitarios</w:t>
            </w:r>
          </w:p>
        </w:tc>
        <w:tc>
          <w:tcPr>
            <w:tcW w:type="dxa" w:w="492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51 %</w:t>
            </w:r>
          </w:p>
        </w:tc>
      </w:tr>
      <w:tr>
        <w:tc>
          <w:tcPr>
            <w:tcW w:type="dxa" w:w="414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Peso del personal administrativo</w:t>
            </w:r>
          </w:p>
        </w:tc>
        <w:tc>
          <w:tcPr>
            <w:tcW w:type="dxa" w:w="492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20 % a 29 % de los trabajadores</w:t>
            </w:r>
          </w:p>
        </w:tc>
      </w:tr>
      <w:tr>
        <w:tc>
          <w:tcPr>
            <w:tcW w:type="dxa" w:w="414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Capacitación en la empresa</w:t>
            </w:r>
          </w:p>
        </w:tc>
        <w:tc>
          <w:tcPr>
            <w:tcW w:type="dxa" w:w="492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Cayó de 81 % a 57 % (2020–2022)</w:t>
            </w:r>
          </w:p>
        </w:tc>
      </w:tr>
      <w:tr>
        <w:tc>
          <w:tcPr>
            <w:tcW w:type="dxa" w:w="414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Programas de pasantías</w:t>
            </w:r>
          </w:p>
        </w:tc>
        <w:tc>
          <w:tcPr>
            <w:tcW w:type="dxa" w:w="492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30 % de las empresas de ciudades grandes</w:t>
            </w:r>
          </w:p>
        </w:tc>
      </w:tr>
      <w:tr>
        <w:tc>
          <w:tcPr>
            <w:tcW w:type="dxa" w:w="414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Remuneración del empleo estable</w:t>
            </w:r>
          </w:p>
        </w:tc>
        <w:tc>
          <w:tcPr>
            <w:tcW w:type="dxa" w:w="492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Promedio Bs 5.116; mediana Bs 3.500</w:t>
            </w:r>
          </w:p>
        </w:tc>
      </w:tr>
    </w:tbl>
    <w:p>
      <w:pPr>
        <w:spacing w:before="0" w:after="120" w:line="240" w:lineRule="auto"/>
        <w:jc w:val="left"/>
      </w:pPr>
    </w:p>
    <w:p>
      <w:pPr>
        <w:spacing w:before="0" w:after="200" w:line="240" w:lineRule="auto"/>
        <w:jc w:val="both"/>
      </w:pPr>
      <w:r>
        <w:rPr>
          <w:rFonts w:ascii="Century Gothic" w:hAnsi="Century Gothic" w:cs="Century Gothic" w:eastAsia="Century Gothic"/>
          <w:b w:val="0"/>
          <w:i/>
          <w:sz w:val="20"/>
        </w:rPr>
        <w:t>Fuente: Urquidi et al. (2023a; 2023b).</w:t>
      </w:r>
    </w:p>
    <w:p>
      <w:pPr>
        <w:keepNext/>
        <w:spacing w:before="40" w:after="200" w:line="240" w:lineRule="auto"/>
        <w:jc w:val="left"/>
      </w:pPr>
      <w:r>
        <w:rPr>
          <w:rFonts w:ascii="Century Gothic" w:hAnsi="Century Gothic" w:cs="Century Gothic" w:eastAsia="Century Gothic"/>
          <w:b/>
          <w:i w:val="0"/>
          <w:sz w:val="22"/>
        </w:rPr>
        <w:t>c) Inserción de los egresados</w:t>
      </w:r>
    </w:p>
    <w:p>
      <w:pPr>
        <w:spacing w:before="0" w:after="200" w:line="240" w:lineRule="auto"/>
        <w:jc w:val="both"/>
      </w:pPr>
      <w:r>
        <w:rPr>
          <w:rFonts w:ascii="Century Gothic" w:hAnsi="Century Gothic" w:cs="Century Gothic" w:eastAsia="Century Gothic"/>
          <w:b/>
          <w:i w:val="0"/>
          <w:sz w:val="20"/>
        </w:rPr>
        <w:t>Cuadro 20. Inserción laboral de egresados de Contaduría Pública (n = 160)</w:t>
      </w:r>
    </w:p>
    <w:tbl>
      <w:tblPr>
        <w:tblW w:type="auto" w:w="0"/>
        <w:jc w:val="center"/>
        <w:tblLayout w:type="fixed"/>
        <w:tblLook w:firstColumn="1" w:firstRow="1" w:lastColumn="0" w:lastRow="0" w:noHBand="0" w:noVBand="1" w:val="04A0"/>
      </w:tblPr>
      <w:tblGrid>
        <w:gridCol w:w="4286"/>
        <w:gridCol w:w="4785"/>
      </w:tblGrid>
      <w:tr>
        <w:trPr>
          <w:tblHeader/>
        </w:trPr>
        <w:tc>
          <w:tcPr>
            <w:tcW w:type="dxa" w:w="4286"/>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20"/>
              </w:rPr>
              <w:t>Indicador</w:t>
            </w:r>
          </w:p>
        </w:tc>
        <w:tc>
          <w:tcPr>
            <w:tcW w:type="dxa" w:w="4785"/>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20"/>
              </w:rPr>
              <w:t>Resultado</w:t>
            </w:r>
          </w:p>
        </w:tc>
      </w:tr>
      <w:tr>
        <w:tc>
          <w:tcPr>
            <w:tcW w:type="dxa" w:w="428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Ejercen la carrera</w:t>
            </w:r>
          </w:p>
        </w:tc>
        <w:tc>
          <w:tcPr>
            <w:tcW w:type="dxa" w:w="478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63 %</w:t>
            </w:r>
          </w:p>
        </w:tc>
      </w:tr>
      <w:tr>
        <w:tc>
          <w:tcPr>
            <w:tcW w:type="dxa" w:w="428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Dependientes / independientes o consultores / desempleados</w:t>
            </w:r>
          </w:p>
        </w:tc>
        <w:tc>
          <w:tcPr>
            <w:tcW w:type="dxa" w:w="478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52 % / 31 % / 14 %</w:t>
            </w:r>
          </w:p>
        </w:tc>
      </w:tr>
      <w:tr>
        <w:tc>
          <w:tcPr>
            <w:tcW w:type="dxa" w:w="428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Dependientes en nivel técnico-operativo / mando medio / gerencial</w:t>
            </w:r>
          </w:p>
        </w:tc>
        <w:tc>
          <w:tcPr>
            <w:tcW w:type="dxa" w:w="478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i w:val="0"/>
                <w:sz w:val="20"/>
              </w:rPr>
              <w:t>77 % / 23 % / 0 %</w:t>
            </w:r>
          </w:p>
        </w:tc>
      </w:tr>
      <w:tr>
        <w:tc>
          <w:tcPr>
            <w:tcW w:type="dxa" w:w="428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Ingreso mensual de hasta Bs 5.000</w:t>
            </w:r>
          </w:p>
        </w:tc>
        <w:tc>
          <w:tcPr>
            <w:tcW w:type="dxa" w:w="478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i w:val="0"/>
                <w:sz w:val="20"/>
              </w:rPr>
              <w:t>87 %</w:t>
            </w:r>
          </w:p>
        </w:tc>
      </w:tr>
      <w:tr>
        <w:tc>
          <w:tcPr>
            <w:tcW w:type="dxa" w:w="428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Áreas de inserción</w:t>
            </w:r>
          </w:p>
        </w:tc>
        <w:tc>
          <w:tcPr>
            <w:tcW w:type="dxa" w:w="478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Auditoría interna 35 %; contabilidad 26 %; auditoría externa 18 %; impuestos 11 %</w:t>
            </w:r>
          </w:p>
        </w:tc>
      </w:tr>
      <w:tr>
        <w:tc>
          <w:tcPr>
            <w:tcW w:type="dxa" w:w="428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Perciben el mercado saturado / competitivo / en crecimiento</w:t>
            </w:r>
          </w:p>
        </w:tc>
        <w:tc>
          <w:tcPr>
            <w:tcW w:type="dxa" w:w="478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46 % / 46 % / 3 %</w:t>
            </w:r>
          </w:p>
        </w:tc>
      </w:tr>
      <w:tr>
        <w:tc>
          <w:tcPr>
            <w:tcW w:type="dxa" w:w="428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Estudiaron otra profesión después de egresar</w:t>
            </w:r>
          </w:p>
        </w:tc>
        <w:tc>
          <w:tcPr>
            <w:tcW w:type="dxa" w:w="478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75 %</w:t>
            </w:r>
          </w:p>
        </w:tc>
      </w:tr>
      <w:tr>
        <w:tc>
          <w:tcPr>
            <w:tcW w:type="dxa" w:w="428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Aún sin título</w:t>
            </w:r>
          </w:p>
        </w:tc>
        <w:tc>
          <w:tcPr>
            <w:tcW w:type="dxa" w:w="478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21 %</w:t>
            </w:r>
          </w:p>
        </w:tc>
      </w:tr>
    </w:tbl>
    <w:p>
      <w:pPr>
        <w:spacing w:before="0" w:after="120" w:line="240" w:lineRule="auto"/>
        <w:jc w:val="left"/>
      </w:pPr>
    </w:p>
    <w:p>
      <w:pPr>
        <w:spacing w:before="0" w:after="200" w:line="240" w:lineRule="auto"/>
        <w:jc w:val="both"/>
      </w:pPr>
      <w:r>
        <w:rPr>
          <w:rFonts w:ascii="Century Gothic" w:hAnsi="Century Gothic" w:cs="Century Gothic" w:eastAsia="Century Gothic"/>
          <w:b w:val="0"/>
          <w:i/>
          <w:sz w:val="20"/>
        </w:rPr>
        <w:t>Fuente: Ipsos CIESMORI (2025).</w:t>
      </w:r>
    </w:p>
    <w:p>
      <w:pPr>
        <w:spacing w:before="0" w:after="200" w:line="240" w:lineRule="auto"/>
        <w:jc w:val="both"/>
      </w:pPr>
      <w:r>
        <w:rPr>
          <w:rFonts w:ascii="Century Gothic" w:hAnsi="Century Gothic" w:cs="Century Gothic" w:eastAsia="Century Gothic"/>
          <w:b w:val="0"/>
          <w:i w:val="0"/>
          <w:sz w:val="20"/>
        </w:rPr>
        <w:t xml:space="preserve">Las áreas de inserción se concentran en </w:t>
      </w:r>
      <w:r>
        <w:rPr>
          <w:rFonts w:ascii="Century Gothic" w:hAnsi="Century Gothic" w:cs="Century Gothic" w:eastAsia="Century Gothic"/>
          <w:b/>
          <w:i w:val="0"/>
          <w:sz w:val="20"/>
        </w:rPr>
        <w:t>auditoría interna (35 %)</w:t>
      </w:r>
      <w:r>
        <w:rPr>
          <w:rFonts w:ascii="Century Gothic" w:hAnsi="Century Gothic" w:cs="Century Gothic" w:eastAsia="Century Gothic"/>
          <w:b w:val="0"/>
          <w:i w:val="0"/>
          <w:sz w:val="20"/>
        </w:rPr>
        <w:t>, contabilidad (26 %), auditoría externa (18 %) e impuestos (11 %); la consultoría, el análisis financiero y la tecnología aparecen poco. Entre quienes no ejercen, el motivo principal es no encontrar trabajo en el área (37 %), seguido de titulación en proceso (22 %). De los titulados, el 81 % tardó entre seis meses y dos años en obtener el título tras concluir el plan. En cumplimiento del Art. 12 de la Res. HCU 032/2025, se identifican las familias laborales y los empleadores potenciales:</w:t>
      </w:r>
    </w:p>
    <w:p>
      <w:pPr>
        <w:spacing w:before="0" w:after="200" w:line="240" w:lineRule="auto"/>
        <w:jc w:val="both"/>
      </w:pPr>
      <w:r>
        <w:rPr>
          <w:rFonts w:ascii="Century Gothic" w:hAnsi="Century Gothic" w:cs="Century Gothic" w:eastAsia="Century Gothic"/>
          <w:b/>
          <w:i w:val="0"/>
          <w:sz w:val="20"/>
        </w:rPr>
        <w:t>Cuadro 21. Familias laborales y empleadores del Contador Público Autorizado</w:t>
      </w:r>
    </w:p>
    <w:tbl>
      <w:tblPr>
        <w:tblW w:type="auto" w:w="0"/>
        <w:jc w:val="center"/>
        <w:tblLayout w:type="fixed"/>
        <w:tblLook w:firstColumn="1" w:firstRow="1" w:lastColumn="0" w:lastRow="0" w:noHBand="0" w:noVBand="1" w:val="04A0"/>
      </w:tblPr>
      <w:tblGrid>
        <w:gridCol w:w="2529"/>
        <w:gridCol w:w="3171"/>
        <w:gridCol w:w="3370"/>
      </w:tblGrid>
      <w:tr>
        <w:trPr>
          <w:tblHeader/>
        </w:trPr>
        <w:tc>
          <w:tcPr>
            <w:tcW w:type="dxa" w:w="2529"/>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20"/>
              </w:rPr>
              <w:t>Familia laboral</w:t>
            </w:r>
          </w:p>
        </w:tc>
        <w:tc>
          <w:tcPr>
            <w:tcW w:type="dxa" w:w="3171"/>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20"/>
              </w:rPr>
              <w:t>Funciones</w:t>
            </w:r>
          </w:p>
        </w:tc>
        <w:tc>
          <w:tcPr>
            <w:tcW w:type="dxa" w:w="3370"/>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20"/>
              </w:rPr>
              <w:t>Empleadores</w:t>
            </w:r>
          </w:p>
        </w:tc>
      </w:tr>
      <w:tr>
        <w:tc>
          <w:tcPr>
            <w:tcW w:type="dxa" w:w="252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Información financiera y de sostenibilidad</w:t>
            </w:r>
          </w:p>
        </w:tc>
        <w:tc>
          <w:tcPr>
            <w:tcW w:type="dxa" w:w="317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Sistemas contables, estados financieros, reportes ESG</w:t>
            </w:r>
          </w:p>
        </w:tc>
        <w:tc>
          <w:tcPr>
            <w:tcW w:type="dxa" w:w="337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Empresas de todos los sectores; cooperativas; ONG</w:t>
            </w:r>
          </w:p>
        </w:tc>
      </w:tr>
      <w:tr>
        <w:tc>
          <w:tcPr>
            <w:tcW w:type="dxa" w:w="252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Auditoría externa y aseguramiento</w:t>
            </w:r>
          </w:p>
        </w:tc>
        <w:tc>
          <w:tcPr>
            <w:tcW w:type="dxa" w:w="317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Auditoría de estados financieros, revisiones, aseguramiento de sostenibilidad</w:t>
            </w:r>
          </w:p>
        </w:tc>
        <w:tc>
          <w:tcPr>
            <w:tcW w:type="dxa" w:w="337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Firmas de auditoría; ejercicio independiente</w:t>
            </w:r>
          </w:p>
        </w:tc>
      </w:tr>
      <w:tr>
        <w:tc>
          <w:tcPr>
            <w:tcW w:type="dxa" w:w="252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Auditoría interna, control y riesgos</w:t>
            </w:r>
          </w:p>
        </w:tc>
        <w:tc>
          <w:tcPr>
            <w:tcW w:type="dxa" w:w="317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Control interno (COSO), gestión de riesgos, cumplimiento</w:t>
            </w:r>
          </w:p>
        </w:tc>
        <w:tc>
          <w:tcPr>
            <w:tcW w:type="dxa" w:w="337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Entidades públicas y privadas; sistema financiero</w:t>
            </w:r>
          </w:p>
        </w:tc>
      </w:tr>
      <w:tr>
        <w:tc>
          <w:tcPr>
            <w:tcW w:type="dxa" w:w="252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Control gubernamental</w:t>
            </w:r>
          </w:p>
        </w:tc>
        <w:tc>
          <w:tcPr>
            <w:tcW w:type="dxa" w:w="317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Auditoría gubernamental y control posterior</w:t>
            </w:r>
          </w:p>
        </w:tc>
        <w:tc>
          <w:tcPr>
            <w:tcW w:type="dxa" w:w="337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Contraloría General del Estado; ministerios; gobiernos subnacionales; empresas públicas</w:t>
            </w:r>
          </w:p>
        </w:tc>
      </w:tr>
      <w:tr>
        <w:tc>
          <w:tcPr>
            <w:tcW w:type="dxa" w:w="252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Tributación</w:t>
            </w:r>
          </w:p>
        </w:tc>
        <w:tc>
          <w:tcPr>
            <w:tcW w:type="dxa" w:w="317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Liquidación, planificación fiscal, defensa tributaria</w:t>
            </w:r>
          </w:p>
        </w:tc>
        <w:tc>
          <w:tcPr>
            <w:tcW w:type="dxa" w:w="337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Empresas; consultoras; SIN; Aduana Nacional</w:t>
            </w:r>
          </w:p>
        </w:tc>
      </w:tr>
      <w:tr>
        <w:tc>
          <w:tcPr>
            <w:tcW w:type="dxa" w:w="252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Finanzas y control de gestión</w:t>
            </w:r>
          </w:p>
        </w:tc>
        <w:tc>
          <w:tcPr>
            <w:tcW w:type="dxa" w:w="317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Presupuestos, cuadros de mando, valoración, proyectos</w:t>
            </w:r>
          </w:p>
        </w:tc>
        <w:tc>
          <w:tcPr>
            <w:tcW w:type="dxa" w:w="337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Empresas medianas y grandes; entidades financieras</w:t>
            </w:r>
          </w:p>
        </w:tc>
      </w:tr>
      <w:tr>
        <w:tc>
          <w:tcPr>
            <w:tcW w:type="dxa" w:w="252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Auditoría de sistemas y forense</w:t>
            </w:r>
          </w:p>
        </w:tc>
        <w:tc>
          <w:tcPr>
            <w:tcW w:type="dxa" w:w="317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Auditoría de TI, ciberseguridad, investigación de fraude, peritaje</w:t>
            </w:r>
          </w:p>
        </w:tc>
        <w:tc>
          <w:tcPr>
            <w:tcW w:type="dxa" w:w="337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Firmas especializadas; Ministerio Público; Órgano Judicial</w:t>
            </w:r>
          </w:p>
        </w:tc>
      </w:tr>
      <w:tr>
        <w:tc>
          <w:tcPr>
            <w:tcW w:type="dxa" w:w="252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Docencia, investigación y ejercicio independiente</w:t>
            </w:r>
          </w:p>
        </w:tc>
        <w:tc>
          <w:tcPr>
            <w:tcW w:type="dxa" w:w="317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Docencia, investigación aplicada, consultoría a micro y pequeñas empresas</w:t>
            </w:r>
          </w:p>
        </w:tc>
        <w:tc>
          <w:tcPr>
            <w:tcW w:type="dxa" w:w="337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Universidades; práctica propia (31 % de los egresados)</w:t>
            </w:r>
          </w:p>
        </w:tc>
      </w:tr>
    </w:tbl>
    <w:p>
      <w:pPr>
        <w:spacing w:before="0" w:after="120" w:line="240" w:lineRule="auto"/>
        <w:jc w:val="left"/>
      </w:pPr>
    </w:p>
    <w:p>
      <w:pPr>
        <w:keepNext/>
        <w:spacing w:before="40" w:after="200" w:line="240" w:lineRule="auto"/>
        <w:jc w:val="left"/>
      </w:pPr>
      <w:r>
        <w:rPr>
          <w:rFonts w:ascii="Century Gothic" w:hAnsi="Century Gothic" w:cs="Century Gothic" w:eastAsia="Century Gothic"/>
          <w:b/>
          <w:i w:val="0"/>
          <w:sz w:val="22"/>
        </w:rPr>
        <w:t>d) Brecha de competencias</w:t>
      </w:r>
    </w:p>
    <w:p>
      <w:pPr>
        <w:spacing w:before="0" w:after="200" w:line="240" w:lineRule="auto"/>
        <w:jc w:val="both"/>
      </w:pPr>
      <w:r>
        <w:rPr>
          <w:rFonts w:ascii="Century Gothic" w:hAnsi="Century Gothic" w:cs="Century Gothic" w:eastAsia="Century Gothic"/>
          <w:b/>
          <w:i w:val="0"/>
          <w:sz w:val="20"/>
        </w:rPr>
        <w:t>Cuadro 22. Competencias: necesidad laboral frente a aplicación en la formación (n = 160)</w:t>
      </w:r>
    </w:p>
    <w:tbl>
      <w:tblPr>
        <w:tblW w:type="auto" w:w="0"/>
        <w:jc w:val="center"/>
        <w:tblLayout w:type="fixed"/>
        <w:tblLook w:firstColumn="1" w:firstRow="1" w:lastColumn="0" w:lastRow="0" w:noHBand="0" w:noVBand="1" w:val="04A0"/>
      </w:tblPr>
      <w:tblGrid>
        <w:gridCol w:w="3151"/>
        <w:gridCol w:w="1598"/>
        <w:gridCol w:w="2555"/>
        <w:gridCol w:w="1767"/>
      </w:tblGrid>
      <w:tr>
        <w:trPr>
          <w:tblHeader/>
        </w:trPr>
        <w:tc>
          <w:tcPr>
            <w:tcW w:type="dxa" w:w="3151"/>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20"/>
              </w:rPr>
              <w:t>Competencia</w:t>
            </w:r>
          </w:p>
        </w:tc>
        <w:tc>
          <w:tcPr>
            <w:tcW w:type="dxa" w:w="1598"/>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20"/>
              </w:rPr>
              <w:t>Necesaria</w:t>
            </w:r>
          </w:p>
        </w:tc>
        <w:tc>
          <w:tcPr>
            <w:tcW w:type="dxa" w:w="2555"/>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20"/>
              </w:rPr>
              <w:t>Aplicada con frecuencia</w:t>
            </w:r>
          </w:p>
        </w:tc>
        <w:tc>
          <w:tcPr>
            <w:tcW w:type="dxa" w:w="1767"/>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20"/>
              </w:rPr>
              <w:t>Brecha (pp)</w:t>
            </w:r>
          </w:p>
        </w:tc>
      </w:tr>
      <w:tr>
        <w:tc>
          <w:tcPr>
            <w:tcW w:type="dxa" w:w="315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Habilidades tecnológicas emergentes</w:t>
            </w:r>
          </w:p>
        </w:tc>
        <w:tc>
          <w:tcPr>
            <w:tcW w:type="dxa" w:w="159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87 %</w:t>
            </w:r>
          </w:p>
        </w:tc>
        <w:tc>
          <w:tcPr>
            <w:tcW w:type="dxa" w:w="255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36 %</w:t>
            </w:r>
          </w:p>
        </w:tc>
        <w:tc>
          <w:tcPr>
            <w:tcW w:type="dxa" w:w="17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i w:val="0"/>
                <w:sz w:val="20"/>
              </w:rPr>
              <w:t>51</w:t>
            </w:r>
          </w:p>
        </w:tc>
      </w:tr>
      <w:tr>
        <w:tc>
          <w:tcPr>
            <w:tcW w:type="dxa" w:w="315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Habilidades tecnológicas básicas</w:t>
            </w:r>
          </w:p>
        </w:tc>
        <w:tc>
          <w:tcPr>
            <w:tcW w:type="dxa" w:w="159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98 %</w:t>
            </w:r>
          </w:p>
        </w:tc>
        <w:tc>
          <w:tcPr>
            <w:tcW w:type="dxa" w:w="255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55 %</w:t>
            </w:r>
          </w:p>
        </w:tc>
        <w:tc>
          <w:tcPr>
            <w:tcW w:type="dxa" w:w="17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i w:val="0"/>
                <w:sz w:val="20"/>
              </w:rPr>
              <w:t>43</w:t>
            </w:r>
          </w:p>
        </w:tc>
      </w:tr>
      <w:tr>
        <w:tc>
          <w:tcPr>
            <w:tcW w:type="dxa" w:w="315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Empatía</w:t>
            </w:r>
          </w:p>
        </w:tc>
        <w:tc>
          <w:tcPr>
            <w:tcW w:type="dxa" w:w="159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91 %</w:t>
            </w:r>
          </w:p>
        </w:tc>
        <w:tc>
          <w:tcPr>
            <w:tcW w:type="dxa" w:w="255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51 %</w:t>
            </w:r>
          </w:p>
        </w:tc>
        <w:tc>
          <w:tcPr>
            <w:tcW w:type="dxa" w:w="17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40</w:t>
            </w:r>
          </w:p>
        </w:tc>
      </w:tr>
      <w:tr>
        <w:tc>
          <w:tcPr>
            <w:tcW w:type="dxa" w:w="315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Liderazgo</w:t>
            </w:r>
          </w:p>
        </w:tc>
        <w:tc>
          <w:tcPr>
            <w:tcW w:type="dxa" w:w="159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96 %</w:t>
            </w:r>
          </w:p>
        </w:tc>
        <w:tc>
          <w:tcPr>
            <w:tcW w:type="dxa" w:w="255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57 %</w:t>
            </w:r>
          </w:p>
        </w:tc>
        <w:tc>
          <w:tcPr>
            <w:tcW w:type="dxa" w:w="17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39</w:t>
            </w:r>
          </w:p>
        </w:tc>
      </w:tr>
      <w:tr>
        <w:tc>
          <w:tcPr>
            <w:tcW w:type="dxa" w:w="315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Resolución de conflictos</w:t>
            </w:r>
          </w:p>
        </w:tc>
        <w:tc>
          <w:tcPr>
            <w:tcW w:type="dxa" w:w="159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94 %</w:t>
            </w:r>
          </w:p>
        </w:tc>
        <w:tc>
          <w:tcPr>
            <w:tcW w:type="dxa" w:w="255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57 %</w:t>
            </w:r>
          </w:p>
        </w:tc>
        <w:tc>
          <w:tcPr>
            <w:tcW w:type="dxa" w:w="17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37</w:t>
            </w:r>
          </w:p>
        </w:tc>
      </w:tr>
      <w:tr>
        <w:tc>
          <w:tcPr>
            <w:tcW w:type="dxa" w:w="315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Gestión del tiempo</w:t>
            </w:r>
          </w:p>
        </w:tc>
        <w:tc>
          <w:tcPr>
            <w:tcW w:type="dxa" w:w="159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97 %</w:t>
            </w:r>
          </w:p>
        </w:tc>
        <w:tc>
          <w:tcPr>
            <w:tcW w:type="dxa" w:w="255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62 %</w:t>
            </w:r>
          </w:p>
        </w:tc>
        <w:tc>
          <w:tcPr>
            <w:tcW w:type="dxa" w:w="17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35</w:t>
            </w:r>
          </w:p>
        </w:tc>
      </w:tr>
      <w:tr>
        <w:tc>
          <w:tcPr>
            <w:tcW w:type="dxa" w:w="315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Pensamiento crítico</w:t>
            </w:r>
          </w:p>
        </w:tc>
        <w:tc>
          <w:tcPr>
            <w:tcW w:type="dxa" w:w="159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95 %</w:t>
            </w:r>
          </w:p>
        </w:tc>
        <w:tc>
          <w:tcPr>
            <w:tcW w:type="dxa" w:w="255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70 %</w:t>
            </w:r>
          </w:p>
        </w:tc>
        <w:tc>
          <w:tcPr>
            <w:tcW w:type="dxa" w:w="17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25</w:t>
            </w:r>
          </w:p>
        </w:tc>
      </w:tr>
    </w:tbl>
    <w:p>
      <w:pPr>
        <w:spacing w:before="0" w:after="120" w:line="240" w:lineRule="auto"/>
        <w:jc w:val="left"/>
      </w:pPr>
    </w:p>
    <w:p>
      <w:pPr>
        <w:spacing w:before="0" w:after="200" w:line="240" w:lineRule="auto"/>
        <w:jc w:val="both"/>
      </w:pPr>
      <w:r>
        <w:rPr>
          <w:rFonts w:ascii="Century Gothic" w:hAnsi="Century Gothic" w:cs="Century Gothic" w:eastAsia="Century Gothic"/>
          <w:b w:val="0"/>
          <w:i/>
          <w:sz w:val="20"/>
        </w:rPr>
        <w:t>Fuente: Ipsos CIESMORI (2025, diap. 38–39). Necesaria = totalmente + muy necesaria; aplicada = todo el tiempo + buena parte del tiempo.</w:t>
      </w:r>
    </w:p>
    <w:p>
      <w:pPr>
        <w:spacing w:before="0" w:after="200" w:line="240" w:lineRule="auto"/>
        <w:jc w:val="both"/>
      </w:pPr>
      <w:r>
        <w:rPr>
          <w:rFonts w:ascii="Century Gothic" w:hAnsi="Century Gothic" w:cs="Century Gothic" w:eastAsia="Century Gothic"/>
          <w:b w:val="0"/>
          <w:i w:val="0"/>
          <w:sz w:val="20"/>
        </w:rPr>
        <w:t xml:space="preserve">El diagnóstico interno confirma la misma dirección: el </w:t>
      </w:r>
      <w:r>
        <w:rPr>
          <w:rFonts w:ascii="Century Gothic" w:hAnsi="Century Gothic" w:cs="Century Gothic" w:eastAsia="Century Gothic"/>
          <w:b/>
          <w:i w:val="0"/>
          <w:sz w:val="20"/>
        </w:rPr>
        <w:t>89 % de los estudiantes y el 83 % de los docentes</w:t>
      </w:r>
      <w:r>
        <w:rPr>
          <w:rFonts w:ascii="Century Gothic" w:hAnsi="Century Gothic" w:cs="Century Gothic" w:eastAsia="Century Gothic"/>
          <w:b w:val="0"/>
          <w:i w:val="0"/>
          <w:sz w:val="20"/>
        </w:rPr>
        <w:t xml:space="preserve"> consideran una amenaza que el mercado demande habilidades tecnológicas e idiomas que la Carrera no cubre, y el </w:t>
      </w:r>
      <w:r>
        <w:rPr>
          <w:rFonts w:ascii="Century Gothic" w:hAnsi="Century Gothic" w:cs="Century Gothic" w:eastAsia="Century Gothic"/>
          <w:b/>
          <w:i w:val="0"/>
          <w:sz w:val="20"/>
        </w:rPr>
        <w:t>88 % de los estudiantes</w:t>
      </w:r>
      <w:r>
        <w:rPr>
          <w:rFonts w:ascii="Century Gothic" w:hAnsi="Century Gothic" w:cs="Century Gothic" w:eastAsia="Century Gothic"/>
          <w:b w:val="0"/>
          <w:i w:val="0"/>
          <w:sz w:val="20"/>
        </w:rPr>
        <w:t xml:space="preserve"> respalda pasantías obligatorias desde tercer año (IICCFA, 2025).</w:t>
      </w:r>
    </w:p>
    <w:p>
      <w:pPr>
        <w:spacing w:before="0" w:after="200" w:line="240" w:lineRule="auto"/>
        <w:jc w:val="both"/>
      </w:pPr>
      <w:r>
        <w:rPr>
          <w:rFonts w:ascii="Century Gothic" w:hAnsi="Century Gothic" w:cs="Century Gothic" w:eastAsia="Century Gothic"/>
          <w:b/>
          <w:i w:val="0"/>
          <w:sz w:val="20"/>
        </w:rPr>
        <w:t>Cuadro 23. Hallazgos del mercado y su implicancia curricular</w:t>
      </w:r>
    </w:p>
    <w:tbl>
      <w:tblPr>
        <w:tblW w:type="auto" w:w="0"/>
        <w:jc w:val="center"/>
        <w:tblLayout w:type="fixed"/>
        <w:tblLook w:firstColumn="1" w:firstRow="1" w:lastColumn="0" w:lastRow="0" w:noHBand="0" w:noVBand="1" w:val="04A0"/>
      </w:tblPr>
      <w:tblGrid>
        <w:gridCol w:w="2240"/>
        <w:gridCol w:w="3198"/>
        <w:gridCol w:w="3633"/>
      </w:tblGrid>
      <w:tr>
        <w:trPr>
          <w:tblHeader/>
        </w:trPr>
        <w:tc>
          <w:tcPr>
            <w:tcW w:type="dxa" w:w="2240"/>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20"/>
              </w:rPr>
              <w:t>Hallazgo</w:t>
            </w:r>
          </w:p>
        </w:tc>
        <w:tc>
          <w:tcPr>
            <w:tcW w:type="dxa" w:w="3198"/>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20"/>
              </w:rPr>
              <w:t>Evidencia</w:t>
            </w:r>
          </w:p>
        </w:tc>
        <w:tc>
          <w:tcPr>
            <w:tcW w:type="dxa" w:w="3633"/>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20"/>
              </w:rPr>
              <w:t>Implicancia para el rediseño</w:t>
            </w:r>
          </w:p>
        </w:tc>
      </w:tr>
      <w:tr>
        <w:tc>
          <w:tcPr>
            <w:tcW w:type="dxa" w:w="224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Contracción y ajuste</w:t>
            </w:r>
          </w:p>
        </w:tc>
        <w:tc>
          <w:tcPr>
            <w:tcW w:type="dxa" w:w="319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PIB −3 %; déficit en reducción; tipo de cambio flexible</w:t>
            </w:r>
          </w:p>
        </w:tc>
        <w:tc>
          <w:tcPr>
            <w:tcW w:type="dxa" w:w="363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Control de costos, riesgo financiero y cumplimiento como ejes aplicados</w:t>
            </w:r>
          </w:p>
        </w:tc>
      </w:tr>
      <w:tr>
        <w:tc>
          <w:tcPr>
            <w:tcW w:type="dxa" w:w="224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Empleo formal escaso</w:t>
            </w:r>
          </w:p>
        </w:tc>
        <w:tc>
          <w:tcPr>
            <w:tcW w:type="dxa" w:w="319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Informalidad 84,2 %</w:t>
            </w:r>
          </w:p>
        </w:tc>
        <w:tc>
          <w:tcPr>
            <w:tcW w:type="dxa" w:w="363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Preparación para el ejercicio independiente y las pequeñas empresas</w:t>
            </w:r>
          </w:p>
        </w:tc>
      </w:tr>
      <w:tr>
        <w:tc>
          <w:tcPr>
            <w:tcW w:type="dxa" w:w="224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Brecha tecnológica</w:t>
            </w:r>
          </w:p>
        </w:tc>
        <w:tc>
          <w:tcPr>
            <w:tcW w:type="dxa" w:w="319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75 % pide software/ERP; 5 % lo recibió</w:t>
            </w:r>
          </w:p>
        </w:tc>
        <w:tc>
          <w:tcPr>
            <w:tcW w:type="dxa" w:w="363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Eje tecnológico transversal con laboratorio</w:t>
            </w:r>
          </w:p>
        </w:tc>
      </w:tr>
      <w:tr>
        <w:tc>
          <w:tcPr>
            <w:tcW w:type="dxa" w:w="224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Falta de experiencia</w:t>
            </w:r>
          </w:p>
        </w:tc>
        <w:tc>
          <w:tcPr>
            <w:tcW w:type="dxa" w:w="319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Barrera de contratación (BID); 88 % pide pasantías</w:t>
            </w:r>
          </w:p>
        </w:tc>
        <w:tc>
          <w:tcPr>
            <w:tcW w:type="dxa" w:w="363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Prácticas y proyectos con organizaciones reales</w:t>
            </w:r>
          </w:p>
        </w:tc>
      </w:tr>
      <w:tr>
        <w:tc>
          <w:tcPr>
            <w:tcW w:type="dxa" w:w="224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Techo jerárquico y salarial</w:t>
            </w:r>
          </w:p>
        </w:tc>
        <w:tc>
          <w:tcPr>
            <w:tcW w:type="dxa" w:w="319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77 % técnico-operativo; 87 % ≤ Bs 5.000</w:t>
            </w:r>
          </w:p>
        </w:tc>
        <w:tc>
          <w:tcPr>
            <w:tcW w:type="dxa" w:w="363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Liderazgo, gestión, consultoría y servicios de mayor valor</w:t>
            </w:r>
          </w:p>
        </w:tc>
      </w:tr>
      <w:tr>
        <w:tc>
          <w:tcPr>
            <w:tcW w:type="dxa" w:w="224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Núcleo contable sólido</w:t>
            </w:r>
          </w:p>
        </w:tc>
        <w:tc>
          <w:tcPr>
            <w:tcW w:type="dxa" w:w="319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Contabilidad Básica 65 % de pertinencia</w:t>
            </w:r>
          </w:p>
        </w:tc>
        <w:tc>
          <w:tcPr>
            <w:tcW w:type="dxa" w:w="363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Conservar y actualizar el núcleo</w:t>
            </w:r>
          </w:p>
        </w:tc>
      </w:tr>
      <w:tr>
        <w:tc>
          <w:tcPr>
            <w:tcW w:type="dxa" w:w="224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Titulación lenta</w:t>
            </w:r>
          </w:p>
        </w:tc>
        <w:tc>
          <w:tcPr>
            <w:tcW w:type="dxa" w:w="319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21 % sin título</w:t>
            </w:r>
          </w:p>
        </w:tc>
        <w:tc>
          <w:tcPr>
            <w:tcW w:type="dxa" w:w="363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Modalidades de graduación integradas al último año</w:t>
            </w:r>
          </w:p>
        </w:tc>
      </w:tr>
    </w:tbl>
    <w:p>
      <w:pPr>
        <w:spacing w:before="0" w:after="120" w:line="240" w:lineRule="auto"/>
        <w:jc w:val="left"/>
      </w:pPr>
    </w:p>
    <w:p>
      <w:pPr>
        <w:spacing w:before="0" w:after="200" w:line="240" w:lineRule="auto"/>
        <w:jc w:val="both"/>
      </w:pPr>
      <w:r>
        <w:rPr>
          <w:rFonts w:ascii="Century Gothic" w:hAnsi="Century Gothic" w:cs="Century Gothic" w:eastAsia="Century Gothic"/>
          <w:b w:val="0"/>
          <w:i/>
          <w:sz w:val="20"/>
        </w:rPr>
        <w:t>Fuente: elaboración de la Comisión sobre la base de los cuadros precedentes.</w:t>
      </w:r>
    </w:p>
    <w:p>
      <w:pPr>
        <w:spacing w:before="0" w:after="200" w:line="240" w:lineRule="auto"/>
        <w:jc w:val="both"/>
      </w:pPr>
      <w:r>
        <w:rPr>
          <w:rFonts w:ascii="Century Gothic" w:hAnsi="Century Gothic" w:cs="Century Gothic" w:eastAsia="Century Gothic"/>
          <w:b/>
          <w:i w:val="0"/>
          <w:sz w:val="20"/>
        </w:rPr>
        <w:t>Conclusión del subpunto.</w:t>
      </w:r>
      <w:r>
        <w:rPr>
          <w:rFonts w:ascii="Century Gothic" w:hAnsi="Century Gothic" w:cs="Century Gothic" w:eastAsia="Century Gothic"/>
          <w:b w:val="0"/>
          <w:i w:val="0"/>
          <w:sz w:val="20"/>
        </w:rPr>
        <w:t xml:space="preserve"> El problema no es la empleabilidad, sino </w:t>
      </w:r>
      <w:r>
        <w:rPr>
          <w:rFonts w:ascii="Century Gothic" w:hAnsi="Century Gothic" w:cs="Century Gothic" w:eastAsia="Century Gothic"/>
          <w:b/>
          <w:i w:val="0"/>
          <w:sz w:val="20"/>
        </w:rPr>
        <w:t>la calidad y el techo de la inserción</w:t>
      </w:r>
      <w:r>
        <w:rPr>
          <w:rFonts w:ascii="Century Gothic" w:hAnsi="Century Gothic" w:cs="Century Gothic" w:eastAsia="Century Gothic"/>
          <w:b w:val="0"/>
          <w:i w:val="0"/>
          <w:sz w:val="20"/>
        </w:rPr>
        <w:t>: el egresado consigue empleo, pero en el segmento operativo, con ingresos bajos y sin acceso a cargos de conducción. Las brechas de mayor magnitud —tecnológica y de conducción— explican ese techo y definen las prioridades del rediseño.</w:t>
      </w:r>
    </w:p>
    <w:p>
      <w:pPr>
        <w:keepNext/>
        <w:tabs>
          <w:tab w:pos="709" w:val="left"/>
        </w:tabs>
        <w:spacing w:before="120" w:after="200" w:line="240" w:lineRule="auto"/>
        <w:ind w:left="709" w:hanging="709"/>
        <w:jc w:val="left"/>
      </w:pPr>
      <w:r>
        <w:rPr>
          <w:rFonts w:ascii="Century Gothic" w:hAnsi="Century Gothic" w:cs="Century Gothic" w:eastAsia="Century Gothic"/>
          <w:b/>
          <w:i w:val="0"/>
          <w:sz w:val="24"/>
        </w:rPr>
        <w:t>3.4</w:t>
        <w:tab/>
      </w:r>
      <w:r>
        <w:rPr>
          <w:rFonts w:ascii="Century Gothic" w:hAnsi="Century Gothic" w:cs="Century Gothic" w:eastAsia="Century Gothic"/>
          <w:b/>
          <w:i w:val="0"/>
          <w:sz w:val="24"/>
        </w:rPr>
        <w:t>Análisis del contexto de cambios y tendencias de la ciencia y la tecnología a nivel global</w:t>
      </w:r>
    </w:p>
    <w:p>
      <w:pPr>
        <w:keepNext/>
        <w:spacing w:before="40" w:after="200" w:line="240" w:lineRule="auto"/>
        <w:jc w:val="left"/>
      </w:pPr>
      <w:r>
        <w:rPr>
          <w:rFonts w:ascii="Century Gothic" w:hAnsi="Century Gothic" w:cs="Century Gothic" w:eastAsia="Century Gothic"/>
          <w:b/>
          <w:i w:val="0"/>
          <w:sz w:val="22"/>
        </w:rPr>
        <w:t>a) Avance de la tecnología y su impacto en la profesión</w:t>
      </w:r>
    </w:p>
    <w:p>
      <w:pPr>
        <w:spacing w:before="0" w:after="200" w:line="240" w:lineRule="auto"/>
        <w:jc w:val="both"/>
      </w:pPr>
      <w:r>
        <w:rPr>
          <w:rFonts w:ascii="Century Gothic" w:hAnsi="Century Gothic" w:cs="Century Gothic" w:eastAsia="Century Gothic"/>
          <w:b w:val="0"/>
          <w:i w:val="0"/>
          <w:sz w:val="20"/>
        </w:rPr>
        <w:t xml:space="preserve">La cadena de valor contable tradicional —captura, clasificación, registro, consolidación y verificación por muestreo— se compone, en sus primeros eslabones, de tareas estructuradas que la automatización ejecuta con ventaja; en sus eslabones finales —juicio profesional, evaluación de riesgos, interpretación y aseguramiento— se encuentran las tareas que la automatización no reemplaza y cuyo valor aumenta. </w:t>
      </w:r>
      <w:r>
        <w:rPr>
          <w:rFonts w:ascii="Century Gothic" w:hAnsi="Century Gothic" w:cs="Century Gothic" w:eastAsia="Century Gothic"/>
          <w:b/>
          <w:i w:val="0"/>
          <w:sz w:val="20"/>
        </w:rPr>
        <w:t>Antes el contador sumaba; hoy el sistema suma y el contador interpreta riesgos y controles.</w:t>
      </w:r>
    </w:p>
    <w:p>
      <w:pPr>
        <w:spacing w:before="0" w:after="200" w:line="240" w:lineRule="auto"/>
        <w:jc w:val="both"/>
      </w:pPr>
      <w:r>
        <w:rPr>
          <w:rFonts w:ascii="Century Gothic" w:hAnsi="Century Gothic" w:cs="Century Gothic" w:eastAsia="Century Gothic"/>
          <w:b w:val="0"/>
          <w:i w:val="0"/>
          <w:sz w:val="20"/>
        </w:rPr>
        <w:t>La evidencia internacional confirma ese desplazamiento:</w:t>
      </w:r>
    </w:p>
    <w:p>
      <w:pPr>
        <w:spacing w:before="0" w:after="200" w:line="240" w:lineRule="auto"/>
        <w:jc w:val="both"/>
      </w:pPr>
      <w:r>
        <w:rPr>
          <w:rFonts w:ascii="Century Gothic" w:hAnsi="Century Gothic" w:cs="Century Gothic" w:eastAsia="Century Gothic"/>
          <w:b/>
          <w:i w:val="0"/>
          <w:sz w:val="20"/>
        </w:rPr>
        <w:t>Cuadro 24. Evidencia sobre tecnología y profesión contable</w:t>
      </w:r>
    </w:p>
    <w:tbl>
      <w:tblPr>
        <w:tblW w:type="auto" w:w="0"/>
        <w:jc w:val="center"/>
        <w:tblLayout w:type="fixed"/>
        <w:tblLook w:firstColumn="1" w:firstRow="1" w:lastColumn="0" w:lastRow="0" w:noHBand="0" w:noVBand="1" w:val="04A0"/>
      </w:tblPr>
      <w:tblGrid>
        <w:gridCol w:w="3864"/>
        <w:gridCol w:w="3134"/>
        <w:gridCol w:w="2073"/>
      </w:tblGrid>
      <w:tr>
        <w:trPr>
          <w:tblHeader/>
        </w:trPr>
        <w:tc>
          <w:tcPr>
            <w:tcW w:type="dxa" w:w="3864"/>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20"/>
              </w:rPr>
              <w:t>Evidencia</w:t>
            </w:r>
          </w:p>
        </w:tc>
        <w:tc>
          <w:tcPr>
            <w:tcW w:type="dxa" w:w="3134"/>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20"/>
              </w:rPr>
              <w:t>Dato</w:t>
            </w:r>
          </w:p>
        </w:tc>
        <w:tc>
          <w:tcPr>
            <w:tcW w:type="dxa" w:w="2073"/>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20"/>
              </w:rPr>
              <w:t>Fuente</w:t>
            </w:r>
          </w:p>
        </w:tc>
      </w:tr>
      <w:tr>
        <w:tc>
          <w:tcPr>
            <w:tcW w:type="dxa" w:w="386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Competencias nucleares que cambiarán hacia 2030</w:t>
            </w:r>
          </w:p>
        </w:tc>
        <w:tc>
          <w:tcPr>
            <w:tcW w:type="dxa" w:w="313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39 %</w:t>
            </w:r>
          </w:p>
        </w:tc>
        <w:tc>
          <w:tcPr>
            <w:tcW w:type="dxa" w:w="207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WEF (2025)</w:t>
            </w:r>
          </w:p>
        </w:tc>
      </w:tr>
      <w:tr>
        <w:tc>
          <w:tcPr>
            <w:tcW w:type="dxa" w:w="386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Competencia de mayor crecimiento</w:t>
            </w:r>
          </w:p>
        </w:tc>
        <w:tc>
          <w:tcPr>
            <w:tcW w:type="dxa" w:w="313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Inteligencia artificial y big data</w:t>
            </w:r>
          </w:p>
        </w:tc>
        <w:tc>
          <w:tcPr>
            <w:tcW w:type="dxa" w:w="207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WEF (2025)</w:t>
            </w:r>
          </w:p>
        </w:tc>
      </w:tr>
      <w:tr>
        <w:tc>
          <w:tcPr>
            <w:tcW w:type="dxa" w:w="386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Puestos de contabilidad, teneduría, nómina y auditoría</w:t>
            </w:r>
          </w:p>
        </w:tc>
        <w:tc>
          <w:tcPr>
            <w:tcW w:type="dxa" w:w="313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Entre los de mayor declive proyectado hacia 2030</w:t>
            </w:r>
          </w:p>
        </w:tc>
        <w:tc>
          <w:tcPr>
            <w:tcW w:type="dxa" w:w="207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WEF (2025)</w:t>
            </w:r>
          </w:p>
        </w:tc>
      </w:tr>
      <w:tr>
        <w:tc>
          <w:tcPr>
            <w:tcW w:type="dxa" w:w="386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Firmas contables que usan IA</w:t>
            </w:r>
          </w:p>
        </w:tc>
        <w:tc>
          <w:tcPr>
            <w:tcW w:type="dxa" w:w="313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i w:val="0"/>
                <w:sz w:val="20"/>
              </w:rPr>
              <w:t>9 % (2024) → 41 % (2025)</w:t>
            </w:r>
          </w:p>
        </w:tc>
        <w:tc>
          <w:tcPr>
            <w:tcW w:type="dxa" w:w="207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Wolters Kluwer (2025)</w:t>
            </w:r>
          </w:p>
        </w:tc>
      </w:tr>
      <w:tr>
        <w:tc>
          <w:tcPr>
            <w:tcW w:type="dxa" w:w="386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Líderes financieros que ven a la IA como la tecnología más transformadora</w:t>
            </w:r>
          </w:p>
        </w:tc>
        <w:tc>
          <w:tcPr>
            <w:tcW w:type="dxa" w:w="313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88 %</w:t>
            </w:r>
          </w:p>
        </w:tc>
        <w:tc>
          <w:tcPr>
            <w:tcW w:type="dxa" w:w="207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AICPA &amp; CIMA (2025)</w:t>
            </w:r>
          </w:p>
        </w:tc>
      </w:tr>
      <w:tr>
        <w:tc>
          <w:tcPr>
            <w:tcW w:type="dxa" w:w="386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Organizaciones muy bien preparadas para ello</w:t>
            </w:r>
          </w:p>
        </w:tc>
        <w:tc>
          <w:tcPr>
            <w:tcW w:type="dxa" w:w="313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i w:val="0"/>
                <w:sz w:val="20"/>
              </w:rPr>
              <w:t>8 %</w:t>
            </w:r>
          </w:p>
        </w:tc>
        <w:tc>
          <w:tcPr>
            <w:tcW w:type="dxa" w:w="207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AICPA &amp; CIMA (2025)</w:t>
            </w:r>
          </w:p>
        </w:tc>
      </w:tr>
      <w:tr>
        <w:tc>
          <w:tcPr>
            <w:tcW w:type="dxa" w:w="386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Principal barrera: falta de competencias y talento</w:t>
            </w:r>
          </w:p>
        </w:tc>
        <w:tc>
          <w:tcPr>
            <w:tcW w:type="dxa" w:w="313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50 %</w:t>
            </w:r>
          </w:p>
        </w:tc>
        <w:tc>
          <w:tcPr>
            <w:tcW w:type="dxa" w:w="207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AICPA &amp; CIMA (2025)</w:t>
            </w:r>
          </w:p>
        </w:tc>
      </w:tr>
    </w:tbl>
    <w:p>
      <w:pPr>
        <w:spacing w:before="0" w:after="120" w:line="240" w:lineRule="auto"/>
        <w:jc w:val="left"/>
      </w:pPr>
    </w:p>
    <w:p>
      <w:pPr>
        <w:spacing w:before="0" w:after="200" w:line="240" w:lineRule="auto"/>
        <w:jc w:val="both"/>
      </w:pPr>
      <w:r>
        <w:rPr>
          <w:rFonts w:ascii="Century Gothic" w:hAnsi="Century Gothic" w:cs="Century Gothic" w:eastAsia="Century Gothic"/>
          <w:b w:val="0"/>
          <w:i w:val="0"/>
          <w:sz w:val="20"/>
        </w:rPr>
        <w:t xml:space="preserve">El dato del WEF tiene un antecedente académico contemporáneo del Plan 2013: el estudio de Frey y Osborne (2013) sobre la susceptibilidad del empleo a la computarización asignó a la ocupación de contadores y auditores una de las probabilidades de automatización más altas entre las profesiones analizadas. Más de una década después, la evidencia de adopción confirma la dirección de aquel pronóstico, aunque su materialización ha adoptado la forma de </w:t>
      </w:r>
      <w:r>
        <w:rPr>
          <w:rFonts w:ascii="Century Gothic" w:hAnsi="Century Gothic" w:cs="Century Gothic" w:eastAsia="Century Gothic"/>
          <w:b/>
          <w:i w:val="0"/>
          <w:sz w:val="20"/>
        </w:rPr>
        <w:t>transformación del contenido del trabajo</w:t>
      </w:r>
      <w:r>
        <w:rPr>
          <w:rFonts w:ascii="Century Gothic" w:hAnsi="Century Gothic" w:cs="Century Gothic" w:eastAsia="Century Gothic"/>
          <w:b w:val="0"/>
          <w:i w:val="0"/>
          <w:sz w:val="20"/>
        </w:rPr>
        <w:t xml:space="preserve"> antes que de sustitución del profesional: las firmas que ofrecen servicios de asesoría pasaron de 83 % a 93 % entre 2024 y 2025 (Wolters Kluwer, 2025), lo que muestra que el valor se desplaza del registro hacia el análisis y el consejo.</w:t>
      </w:r>
    </w:p>
    <w:p>
      <w:pPr>
        <w:spacing w:before="0" w:after="200" w:line="240" w:lineRule="auto"/>
        <w:jc w:val="both"/>
      </w:pPr>
      <w:r>
        <w:rPr>
          <w:rFonts w:ascii="Century Gothic" w:hAnsi="Century Gothic" w:cs="Century Gothic" w:eastAsia="Century Gothic"/>
          <w:b/>
          <w:i w:val="0"/>
          <w:sz w:val="20"/>
        </w:rPr>
        <w:t>Lectura.</w:t>
      </w:r>
      <w:r>
        <w:rPr>
          <w:rFonts w:ascii="Century Gothic" w:hAnsi="Century Gothic" w:cs="Century Gothic" w:eastAsia="Century Gothic"/>
          <w:b w:val="0"/>
          <w:i w:val="0"/>
          <w:sz w:val="20"/>
        </w:rPr>
        <w:t xml:space="preserve"> Lo que declina es el trabajo de registro y procesamiento; lo que crece es el juicio, el análisis y la asesoría. </w:t>
      </w:r>
      <w:r>
        <w:rPr>
          <w:rFonts w:ascii="Century Gothic" w:hAnsi="Century Gothic" w:cs="Century Gothic" w:eastAsia="Century Gothic"/>
          <w:b/>
          <w:i w:val="0"/>
          <w:sz w:val="20"/>
        </w:rPr>
        <w:t>La restricción del cambio no es tecnológica sino formativa</w:t>
      </w:r>
      <w:r>
        <w:rPr>
          <w:rFonts w:ascii="Century Gothic" w:hAnsi="Century Gothic" w:cs="Century Gothic" w:eastAsia="Century Gothic"/>
          <w:b w:val="0"/>
          <w:i w:val="0"/>
          <w:sz w:val="20"/>
        </w:rPr>
        <w:t>, y ése es el espacio de intervención de la Universidad. La convergencia entre el dato global (declive del perfil operativo) y el dato local (77 % de egresados en nivel técnico-operativo) es el núcleo de la justificación.</w:t>
      </w:r>
    </w:p>
    <w:p>
      <w:pPr>
        <w:spacing w:before="0" w:after="200" w:line="240" w:lineRule="auto"/>
        <w:jc w:val="both"/>
      </w:pPr>
      <w:r>
        <w:rPr>
          <w:rFonts w:ascii="Century Gothic" w:hAnsi="Century Gothic" w:cs="Century Gothic" w:eastAsia="Century Gothic"/>
          <w:b/>
          <w:i w:val="0"/>
          <w:sz w:val="20"/>
        </w:rPr>
        <w:t>Cuadro 25. Tecnologías que transforman la práctica contable y su consecuencia formativa</w:t>
      </w:r>
    </w:p>
    <w:tbl>
      <w:tblPr>
        <w:tblW w:type="auto" w:w="0"/>
        <w:jc w:val="center"/>
        <w:tblLayout w:type="fixed"/>
        <w:tblLook w:firstColumn="1" w:firstRow="1" w:lastColumn="0" w:lastRow="0" w:noHBand="0" w:noVBand="1" w:val="04A0"/>
      </w:tblPr>
      <w:tblGrid>
        <w:gridCol w:w="2214"/>
        <w:gridCol w:w="3594"/>
        <w:gridCol w:w="3263"/>
      </w:tblGrid>
      <w:tr>
        <w:trPr>
          <w:tblHeader/>
        </w:trPr>
        <w:tc>
          <w:tcPr>
            <w:tcW w:type="dxa" w:w="2214"/>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20"/>
              </w:rPr>
              <w:t>Tecnología</w:t>
            </w:r>
          </w:p>
        </w:tc>
        <w:tc>
          <w:tcPr>
            <w:tcW w:type="dxa" w:w="3594"/>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20"/>
              </w:rPr>
              <w:t>Qué cambia en la práctica</w:t>
            </w:r>
          </w:p>
        </w:tc>
        <w:tc>
          <w:tcPr>
            <w:tcW w:type="dxa" w:w="3263"/>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20"/>
              </w:rPr>
              <w:t>Consecuencia formativa</w:t>
            </w:r>
          </w:p>
        </w:tc>
      </w:tr>
      <w:tr>
        <w:tc>
          <w:tcPr>
            <w:tcW w:type="dxa" w:w="221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Inteligencia artificial generativa</w:t>
            </w:r>
          </w:p>
        </w:tc>
        <w:tc>
          <w:tcPr>
            <w:tcW w:type="dxa" w:w="359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Clasificación de transacciones, redacción asistida de notas e informes, extracción de información documental</w:t>
            </w:r>
          </w:p>
        </w:tc>
        <w:tc>
          <w:tcPr>
            <w:tcW w:type="dxa" w:w="326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Operar las herramientas con criterio y auditar su confiabilidad y sesgo</w:t>
            </w:r>
          </w:p>
        </w:tc>
      </w:tr>
      <w:tr>
        <w:tc>
          <w:tcPr>
            <w:tcW w:type="dxa" w:w="221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Analítica de datos</w:t>
            </w:r>
          </w:p>
        </w:tc>
        <w:tc>
          <w:tcPr>
            <w:tcW w:type="dxa" w:w="359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Análisis del universo de transacciones en lugar del muestreo</w:t>
            </w:r>
          </w:p>
        </w:tc>
        <w:tc>
          <w:tcPr>
            <w:tcW w:type="dxa" w:w="326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Estadística orientada a la evidencia de auditoría; Business Intelligence</w:t>
            </w:r>
          </w:p>
        </w:tc>
      </w:tr>
      <w:tr>
        <w:tc>
          <w:tcPr>
            <w:tcW w:type="dxa" w:w="221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Automatización robótica de procesos (RPA)</w:t>
            </w:r>
          </w:p>
        </w:tc>
        <w:tc>
          <w:tcPr>
            <w:tcW w:type="dxa" w:w="359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Conciliaciones, cargas y reportes automáticos; desaparece el empleo de entrada basado en registro</w:t>
            </w:r>
          </w:p>
        </w:tc>
        <w:tc>
          <w:tcPr>
            <w:tcW w:type="dxa" w:w="326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Diseño y validación de procesos automatizados y control de excepciones</w:t>
            </w:r>
          </w:p>
        </w:tc>
      </w:tr>
      <w:tr>
        <w:tc>
          <w:tcPr>
            <w:tcW w:type="dxa" w:w="221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Sistemas ERP y nube</w:t>
            </w:r>
          </w:p>
        </w:tc>
        <w:tc>
          <w:tcPr>
            <w:tcW w:type="dxa" w:w="359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La contabilidad se integra al flujo operativo en tiempo real</w:t>
            </w:r>
          </w:p>
        </w:tc>
        <w:tc>
          <w:tcPr>
            <w:tcW w:type="dxa" w:w="326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Dominio procedimental de ERP (75 % de demanda) en laboratorio</w:t>
            </w:r>
          </w:p>
        </w:tc>
      </w:tr>
      <w:tr>
        <w:tc>
          <w:tcPr>
            <w:tcW w:type="dxa" w:w="221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Reporte estructurado (XBRL)</w:t>
            </w:r>
          </w:p>
        </w:tc>
        <w:tc>
          <w:tcPr>
            <w:tcW w:type="dxa" w:w="359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La información se transmite en formatos etiquetados legibles por máquina</w:t>
            </w:r>
          </w:p>
        </w:tc>
        <w:tc>
          <w:tcPr>
            <w:tcW w:type="dxa" w:w="326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Taxonomías y etiquetado normalizado</w:t>
            </w:r>
          </w:p>
        </w:tc>
      </w:tr>
      <w:tr>
        <w:tc>
          <w:tcPr>
            <w:tcW w:type="dxa" w:w="221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Registro distribuido (</w:t>
            </w:r>
            <w:r>
              <w:rPr>
                <w:rFonts w:ascii="Century Gothic" w:hAnsi="Century Gothic" w:cs="Century Gothic" w:eastAsia="Century Gothic"/>
                <w:b w:val="0"/>
                <w:i/>
                <w:sz w:val="20"/>
              </w:rPr>
              <w:t>blockchain</w:t>
            </w:r>
            <w:r>
              <w:rPr>
                <w:rFonts w:ascii="Century Gothic" w:hAnsi="Century Gothic" w:cs="Century Gothic" w:eastAsia="Century Gothic"/>
                <w:b w:val="0"/>
                <w:i w:val="0"/>
                <w:sz w:val="20"/>
              </w:rPr>
              <w:t>)</w:t>
            </w:r>
          </w:p>
        </w:tc>
        <w:tc>
          <w:tcPr>
            <w:tcW w:type="dxa" w:w="359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Registros compartidos e inmutables; activos digitales</w:t>
            </w:r>
          </w:p>
        </w:tc>
        <w:tc>
          <w:tcPr>
            <w:tcW w:type="dxa" w:w="326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Implicaciones sobre confiabilidad, medición y revelación</w:t>
            </w:r>
          </w:p>
        </w:tc>
      </w:tr>
      <w:tr>
        <w:tc>
          <w:tcPr>
            <w:tcW w:type="dxa" w:w="221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Ciberseguridad y gobernanza de datos</w:t>
            </w:r>
          </w:p>
        </w:tc>
        <w:tc>
          <w:tcPr>
            <w:tcW w:type="dxa" w:w="359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El riesgo se desplaza del error de registro al riesgo tecnológico</w:t>
            </w:r>
          </w:p>
        </w:tc>
        <w:tc>
          <w:tcPr>
            <w:tcW w:type="dxa" w:w="326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Controles generales de TI y control interno en entornos informatizados (NIA 315 revisada)</w:t>
            </w:r>
          </w:p>
        </w:tc>
      </w:tr>
    </w:tbl>
    <w:p>
      <w:pPr>
        <w:spacing w:before="0" w:after="120" w:line="240" w:lineRule="auto"/>
        <w:jc w:val="left"/>
      </w:pPr>
    </w:p>
    <w:p>
      <w:pPr>
        <w:keepNext/>
        <w:spacing w:before="40" w:after="200" w:line="240" w:lineRule="auto"/>
        <w:jc w:val="left"/>
      </w:pPr>
      <w:r>
        <w:rPr>
          <w:rFonts w:ascii="Century Gothic" w:hAnsi="Century Gothic" w:cs="Century Gothic" w:eastAsia="Century Gothic"/>
          <w:b/>
          <w:i w:val="0"/>
          <w:sz w:val="22"/>
        </w:rPr>
        <w:t>b) Ampliación científica del objeto de la profesión</w:t>
      </w:r>
    </w:p>
    <w:p>
      <w:pPr>
        <w:spacing w:before="0" w:after="200" w:line="240" w:lineRule="auto"/>
        <w:jc w:val="both"/>
      </w:pPr>
      <w:r>
        <w:rPr>
          <w:rFonts w:ascii="Century Gothic" w:hAnsi="Century Gothic" w:cs="Century Gothic" w:eastAsia="Century Gothic"/>
          <w:b w:val="0"/>
          <w:i w:val="0"/>
          <w:sz w:val="20"/>
        </w:rPr>
        <w:t xml:space="preserve">Las NIIF S1 y S2 del ISSB y la NIEA 5000 del IAASB incorporan al reporte y al aseguramiento normalizados la </w:t>
      </w:r>
      <w:r>
        <w:rPr>
          <w:rFonts w:ascii="Century Gothic" w:hAnsi="Century Gothic" w:cs="Century Gothic" w:eastAsia="Century Gothic"/>
          <w:b/>
          <w:i w:val="0"/>
          <w:sz w:val="20"/>
        </w:rPr>
        <w:t>información de sostenibilidad</w:t>
      </w:r>
      <w:r>
        <w:rPr>
          <w:rFonts w:ascii="Century Gothic" w:hAnsi="Century Gothic" w:cs="Century Gothic" w:eastAsia="Century Gothic"/>
          <w:b w:val="0"/>
          <w:i w:val="0"/>
          <w:sz w:val="20"/>
        </w:rPr>
        <w:t xml:space="preserve">, medida en unidades no monetarias (emisiones, indicadores sociales, gobernanza). El objeto de la profesión se amplía así de la «información financiera, operativa y de gestión» a la </w:t>
      </w:r>
      <w:r>
        <w:rPr>
          <w:rFonts w:ascii="Century Gothic" w:hAnsi="Century Gothic" w:cs="Century Gothic" w:eastAsia="Century Gothic"/>
          <w:b/>
          <w:i w:val="0"/>
          <w:sz w:val="20"/>
        </w:rPr>
        <w:t>«información financiera, operativa, de gestión y de sostenibilidad»</w:t>
      </w:r>
      <w:r>
        <w:rPr>
          <w:rFonts w:ascii="Century Gothic" w:hAnsi="Century Gothic" w:cs="Century Gothic" w:eastAsia="Century Gothic"/>
          <w:b w:val="0"/>
          <w:i w:val="0"/>
          <w:sz w:val="20"/>
        </w:rPr>
        <w:t xml:space="preserve">, como define el Perfil Profesional 2026. En Bolivia, esta ampliación es obligatoria desde 2027. Para la disciplina contable esto implica incorporar criterios de reconocimiento, medición y revelación no monetarios a un saber construido históricamente sobre la unidad monetaria; es una </w:t>
      </w:r>
      <w:r>
        <w:rPr>
          <w:rFonts w:ascii="Century Gothic" w:hAnsi="Century Gothic" w:cs="Century Gothic" w:eastAsia="Century Gothic"/>
          <w:b/>
          <w:i w:val="0"/>
          <w:sz w:val="20"/>
        </w:rPr>
        <w:t>ampliación epistemológica del objeto de estudio</w:t>
      </w:r>
      <w:r>
        <w:rPr>
          <w:rFonts w:ascii="Century Gothic" w:hAnsi="Century Gothic" w:cs="Century Gothic" w:eastAsia="Century Gothic"/>
          <w:b w:val="0"/>
          <w:i w:val="0"/>
          <w:sz w:val="20"/>
        </w:rPr>
        <w:t>, no una especialización adicional. Abre, además, un mercado profesional nuevo —el aseguramiento de información de sostenibilidad—, en el que el bloque de gabinetes de auditoría de la Carrera, incluido el Gabinete de Auditoría Ambiental, constituye una base de partida que el rediseño debe actualizar y extender.</w:t>
      </w:r>
    </w:p>
    <w:p>
      <w:pPr>
        <w:keepNext/>
        <w:spacing w:before="40" w:after="200" w:line="240" w:lineRule="auto"/>
        <w:jc w:val="left"/>
      </w:pPr>
      <w:r>
        <w:rPr>
          <w:rFonts w:ascii="Century Gothic" w:hAnsi="Century Gothic" w:cs="Century Gothic" w:eastAsia="Century Gothic"/>
          <w:b/>
          <w:i w:val="0"/>
          <w:sz w:val="22"/>
        </w:rPr>
        <w:t>c) Manifestación nacional</w:t>
      </w:r>
    </w:p>
    <w:p>
      <w:pPr>
        <w:spacing w:before="0" w:after="200" w:line="240" w:lineRule="auto"/>
        <w:jc w:val="both"/>
      </w:pPr>
      <w:r>
        <w:rPr>
          <w:rFonts w:ascii="Century Gothic" w:hAnsi="Century Gothic" w:cs="Century Gothic" w:eastAsia="Century Gothic"/>
          <w:b w:val="0"/>
          <w:i w:val="0"/>
          <w:sz w:val="20"/>
        </w:rPr>
        <w:t xml:space="preserve">La digitalización del ciclo económico boliviano es verificable: las transacciones con código QR pasaron de </w:t>
      </w:r>
      <w:r>
        <w:rPr>
          <w:rFonts w:ascii="Century Gothic" w:hAnsi="Century Gothic" w:cs="Century Gothic" w:eastAsia="Century Gothic"/>
          <w:b/>
          <w:i w:val="0"/>
          <w:sz w:val="20"/>
        </w:rPr>
        <w:t>447 mil en 2020 a 135 millones en 2023</w:t>
      </w:r>
      <w:r>
        <w:rPr>
          <w:rFonts w:ascii="Century Gothic" w:hAnsi="Century Gothic" w:cs="Century Gothic" w:eastAsia="Century Gothic"/>
          <w:b w:val="0"/>
          <w:i w:val="0"/>
          <w:sz w:val="20"/>
        </w:rPr>
        <w:t xml:space="preserve">, con montos de Bs 245 millones a Bs 63.561 millones (ASFI, 2025), y el Sistema de Facturación en Línea digitalizó el ciclo documental tributario. </w:t>
      </w:r>
      <w:r>
        <w:rPr>
          <w:rFonts w:ascii="Century Gothic" w:hAnsi="Century Gothic" w:cs="Century Gothic" w:eastAsia="Century Gothic"/>
          <w:b/>
          <w:i w:val="0"/>
          <w:sz w:val="20"/>
        </w:rPr>
        <w:t>La materia prima del trabajo contable boliviano es hoy un dato digital nativo.</w:t>
      </w:r>
    </w:p>
    <w:p>
      <w:pPr>
        <w:spacing w:before="0" w:after="200" w:line="240" w:lineRule="auto"/>
        <w:jc w:val="both"/>
      </w:pPr>
      <w:r>
        <w:rPr>
          <w:rFonts w:ascii="Century Gothic" w:hAnsi="Century Gothic" w:cs="Century Gothic" w:eastAsia="Century Gothic"/>
          <w:b/>
          <w:i w:val="0"/>
          <w:sz w:val="20"/>
        </w:rPr>
        <w:t>Cuadro 26. Digitalización de los medios de pago en Bolivia</w:t>
      </w:r>
    </w:p>
    <w:tbl>
      <w:tblPr>
        <w:tblW w:type="auto" w:w="0"/>
        <w:jc w:val="center"/>
        <w:tblLayout w:type="fixed"/>
        <w:tblLook w:firstColumn="1" w:firstRow="1" w:lastColumn="0" w:lastRow="0" w:noHBand="0" w:noVBand="1" w:val="04A0"/>
      </w:tblPr>
      <w:tblGrid>
        <w:gridCol w:w="3214"/>
        <w:gridCol w:w="3345"/>
        <w:gridCol w:w="2512"/>
      </w:tblGrid>
      <w:tr>
        <w:trPr>
          <w:tblHeader/>
        </w:trPr>
        <w:tc>
          <w:tcPr>
            <w:tcW w:type="dxa" w:w="3214"/>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20"/>
              </w:rPr>
              <w:t>Indicador</w:t>
            </w:r>
          </w:p>
        </w:tc>
        <w:tc>
          <w:tcPr>
            <w:tcW w:type="dxa" w:w="3345"/>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20"/>
              </w:rPr>
              <w:t>Valor</w:t>
            </w:r>
          </w:p>
        </w:tc>
        <w:tc>
          <w:tcPr>
            <w:tcW w:type="dxa" w:w="2512"/>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20"/>
              </w:rPr>
              <w:t>Periodo</w:t>
            </w:r>
          </w:p>
        </w:tc>
      </w:tr>
      <w:tr>
        <w:tc>
          <w:tcPr>
            <w:tcW w:type="dxa" w:w="321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Transacciones con código QR</w:t>
            </w:r>
          </w:p>
        </w:tc>
        <w:tc>
          <w:tcPr>
            <w:tcW w:type="dxa" w:w="334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De 447 mil a 135 millones</w:t>
            </w:r>
          </w:p>
        </w:tc>
        <w:tc>
          <w:tcPr>
            <w:tcW w:type="dxa" w:w="251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2020–2023</w:t>
            </w:r>
          </w:p>
        </w:tc>
      </w:tr>
      <w:tr>
        <w:tc>
          <w:tcPr>
            <w:tcW w:type="dxa" w:w="321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Monto transado con QR</w:t>
            </w:r>
          </w:p>
        </w:tc>
        <w:tc>
          <w:tcPr>
            <w:tcW w:type="dxa" w:w="334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De Bs 245 millones a Bs 63.561 millones</w:t>
            </w:r>
          </w:p>
        </w:tc>
        <w:tc>
          <w:tcPr>
            <w:tcW w:type="dxa" w:w="251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2020–2023</w:t>
            </w:r>
          </w:p>
        </w:tc>
      </w:tr>
      <w:tr>
        <w:tc>
          <w:tcPr>
            <w:tcW w:type="dxa" w:w="321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Transacciones con billeteras móviles</w:t>
            </w:r>
          </w:p>
        </w:tc>
        <w:tc>
          <w:tcPr>
            <w:tcW w:type="dxa" w:w="334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+75 % en número; 7,2 veces en valor</w:t>
            </w:r>
          </w:p>
        </w:tc>
        <w:tc>
          <w:tcPr>
            <w:tcW w:type="dxa" w:w="251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2019–2023</w:t>
            </w:r>
          </w:p>
        </w:tc>
      </w:tr>
      <w:tr>
        <w:tc>
          <w:tcPr>
            <w:tcW w:type="dxa" w:w="321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Billeteras móviles habilitadas</w:t>
            </w:r>
          </w:p>
        </w:tc>
        <w:tc>
          <w:tcPr>
            <w:tcW w:type="dxa" w:w="334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Más de 3,1 millones</w:t>
            </w:r>
          </w:p>
        </w:tc>
        <w:tc>
          <w:tcPr>
            <w:tcW w:type="dxa" w:w="251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A la fecha del informe</w:t>
            </w:r>
          </w:p>
        </w:tc>
      </w:tr>
      <w:tr>
        <w:tc>
          <w:tcPr>
            <w:tcW w:type="dxa" w:w="321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Tarjetas en circulación</w:t>
            </w:r>
          </w:p>
        </w:tc>
        <w:tc>
          <w:tcPr>
            <w:tcW w:type="dxa" w:w="334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De 5,1 a 6,9 millones (+38 %)</w:t>
            </w:r>
          </w:p>
        </w:tc>
        <w:tc>
          <w:tcPr>
            <w:tcW w:type="dxa" w:w="251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2019–2023</w:t>
            </w:r>
          </w:p>
        </w:tc>
      </w:tr>
    </w:tbl>
    <w:p>
      <w:pPr>
        <w:spacing w:before="0" w:after="120" w:line="240" w:lineRule="auto"/>
        <w:jc w:val="left"/>
      </w:pPr>
    </w:p>
    <w:p>
      <w:pPr>
        <w:spacing w:before="0" w:after="200" w:line="240" w:lineRule="auto"/>
        <w:jc w:val="both"/>
      </w:pPr>
      <w:r>
        <w:rPr>
          <w:rFonts w:ascii="Century Gothic" w:hAnsi="Century Gothic" w:cs="Century Gothic" w:eastAsia="Century Gothic"/>
          <w:b w:val="0"/>
          <w:i/>
          <w:sz w:val="20"/>
        </w:rPr>
        <w:t>Fuente: ASFI (2025).</w:t>
      </w:r>
    </w:p>
    <w:p>
      <w:pPr>
        <w:keepNext/>
        <w:spacing w:before="40" w:after="200" w:line="240" w:lineRule="auto"/>
        <w:jc w:val="left"/>
      </w:pPr>
      <w:r>
        <w:rPr>
          <w:rFonts w:ascii="Century Gothic" w:hAnsi="Century Gothic" w:cs="Century Gothic" w:eastAsia="Century Gothic"/>
          <w:b/>
          <w:i w:val="0"/>
          <w:sz w:val="22"/>
        </w:rPr>
        <w:t>d) Tendencias en la educación contable</w:t>
      </w:r>
    </w:p>
    <w:p>
      <w:pPr>
        <w:spacing w:before="0" w:after="200" w:line="240" w:lineRule="auto"/>
        <w:jc w:val="both"/>
      </w:pPr>
      <w:r>
        <w:rPr>
          <w:rFonts w:ascii="Century Gothic" w:hAnsi="Century Gothic" w:cs="Century Gothic" w:eastAsia="Century Gothic"/>
          <w:b w:val="0"/>
          <w:i w:val="0"/>
          <w:sz w:val="20"/>
        </w:rPr>
        <w:t xml:space="preserve">La transformación alcanza también a la didáctica de la disciplina. Las tendencias consolidadas, concordantes con las NIE y con el enfoque por competencias de la Res. HCU 032/2025, son: el desplazamiento del conocimiento declarativo hacia el </w:t>
      </w:r>
      <w:r>
        <w:rPr>
          <w:rFonts w:ascii="Century Gothic" w:hAnsi="Century Gothic" w:cs="Century Gothic" w:eastAsia="Century Gothic"/>
          <w:b/>
          <w:i w:val="0"/>
          <w:sz w:val="20"/>
        </w:rPr>
        <w:t>resultado de aprendizaje observable</w:t>
      </w:r>
      <w:r>
        <w:rPr>
          <w:rFonts w:ascii="Century Gothic" w:hAnsi="Century Gothic" w:cs="Century Gothic" w:eastAsia="Century Gothic"/>
          <w:b w:val="0"/>
          <w:i w:val="0"/>
          <w:sz w:val="20"/>
        </w:rPr>
        <w:t xml:space="preserve">, dado que el acceso inmediato a la normativa reduce el valor de la memorización; el </w:t>
      </w:r>
      <w:r>
        <w:rPr>
          <w:rFonts w:ascii="Century Gothic" w:hAnsi="Century Gothic" w:cs="Century Gothic" w:eastAsia="Century Gothic"/>
          <w:b/>
          <w:i w:val="0"/>
          <w:sz w:val="20"/>
        </w:rPr>
        <w:t>aprendizaje situado</w:t>
      </w:r>
      <w:r>
        <w:rPr>
          <w:rFonts w:ascii="Century Gothic" w:hAnsi="Century Gothic" w:cs="Century Gothic" w:eastAsia="Century Gothic"/>
          <w:b w:val="0"/>
          <w:i w:val="0"/>
          <w:sz w:val="20"/>
        </w:rPr>
        <w:t xml:space="preserve"> y basado en proyectos reales; la </w:t>
      </w:r>
      <w:r>
        <w:rPr>
          <w:rFonts w:ascii="Century Gothic" w:hAnsi="Century Gothic" w:cs="Century Gothic" w:eastAsia="Century Gothic"/>
          <w:b/>
          <w:i w:val="0"/>
          <w:sz w:val="20"/>
        </w:rPr>
        <w:t>simulación en entornos profesionales</w:t>
      </w:r>
      <w:r>
        <w:rPr>
          <w:rFonts w:ascii="Century Gothic" w:hAnsi="Century Gothic" w:cs="Century Gothic" w:eastAsia="Century Gothic"/>
          <w:b w:val="0"/>
          <w:i w:val="0"/>
          <w:sz w:val="20"/>
        </w:rPr>
        <w:t xml:space="preserve"> con software contable, ERP y plataformas tributarias; la </w:t>
      </w:r>
      <w:r>
        <w:rPr>
          <w:rFonts w:ascii="Century Gothic" w:hAnsi="Century Gothic" w:cs="Century Gothic" w:eastAsia="Century Gothic"/>
          <w:b/>
          <w:i w:val="0"/>
          <w:sz w:val="20"/>
        </w:rPr>
        <w:t>evaluación auténtica</w:t>
      </w:r>
      <w:r>
        <w:rPr>
          <w:rFonts w:ascii="Century Gothic" w:hAnsi="Century Gothic" w:cs="Century Gothic" w:eastAsia="Century Gothic"/>
          <w:b w:val="0"/>
          <w:i w:val="0"/>
          <w:sz w:val="20"/>
        </w:rPr>
        <w:t xml:space="preserve"> mediante portafolios, rúbricas y demostraciones; la </w:t>
      </w:r>
      <w:r>
        <w:rPr>
          <w:rFonts w:ascii="Century Gothic" w:hAnsi="Century Gothic" w:cs="Century Gothic" w:eastAsia="Century Gothic"/>
          <w:b/>
          <w:i w:val="0"/>
          <w:sz w:val="20"/>
        </w:rPr>
        <w:t>formación modular</w:t>
      </w:r>
      <w:r>
        <w:rPr>
          <w:rFonts w:ascii="Century Gothic" w:hAnsi="Century Gothic" w:cs="Century Gothic" w:eastAsia="Century Gothic"/>
          <w:b w:val="0"/>
          <w:i w:val="0"/>
          <w:sz w:val="20"/>
        </w:rPr>
        <w:t xml:space="preserve"> con certificaciones intermedias; y la </w:t>
      </w:r>
      <w:r>
        <w:rPr>
          <w:rFonts w:ascii="Century Gothic" w:hAnsi="Century Gothic" w:cs="Century Gothic" w:eastAsia="Century Gothic"/>
          <w:b/>
          <w:i w:val="0"/>
          <w:sz w:val="20"/>
        </w:rPr>
        <w:t>formación a lo largo de la vida</w:t>
      </w:r>
      <w:r>
        <w:rPr>
          <w:rFonts w:ascii="Century Gothic" w:hAnsi="Century Gothic" w:cs="Century Gothic" w:eastAsia="Century Gothic"/>
          <w:b w:val="0"/>
          <w:i w:val="0"/>
          <w:sz w:val="20"/>
        </w:rPr>
        <w:t xml:space="preserve"> (NIE 7), que convierte al pregrado en el inicio de una trayectoria y no en su totalidad.</w:t>
      </w:r>
    </w:p>
    <w:p>
      <w:pPr>
        <w:spacing w:before="0" w:after="200" w:line="240" w:lineRule="auto"/>
        <w:jc w:val="both"/>
      </w:pPr>
      <w:r>
        <w:rPr>
          <w:rFonts w:ascii="Century Gothic" w:hAnsi="Century Gothic" w:cs="Century Gothic" w:eastAsia="Century Gothic"/>
          <w:b/>
          <w:i w:val="0"/>
          <w:sz w:val="20"/>
        </w:rPr>
        <w:t>Cuadro 27. Brecha tecnológica y científica del Plan 2013</w:t>
      </w:r>
    </w:p>
    <w:tbl>
      <w:tblPr>
        <w:tblW w:type="auto" w:w="0"/>
        <w:jc w:val="center"/>
        <w:tblLayout w:type="fixed"/>
        <w:tblLook w:firstColumn="1" w:firstRow="1" w:lastColumn="0" w:lastRow="0" w:noHBand="0" w:noVBand="1" w:val="04A0"/>
      </w:tblPr>
      <w:tblGrid>
        <w:gridCol w:w="2130"/>
        <w:gridCol w:w="3108"/>
        <w:gridCol w:w="2589"/>
        <w:gridCol w:w="1243"/>
      </w:tblGrid>
      <w:tr>
        <w:trPr>
          <w:tblHeader/>
        </w:trPr>
        <w:tc>
          <w:tcPr>
            <w:tcW w:type="dxa" w:w="2130"/>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20"/>
              </w:rPr>
              <w:t>Dimensión</w:t>
            </w:r>
          </w:p>
        </w:tc>
        <w:tc>
          <w:tcPr>
            <w:tcW w:type="dxa" w:w="3108"/>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20"/>
              </w:rPr>
              <w:t>Estado del arte</w:t>
            </w:r>
          </w:p>
        </w:tc>
        <w:tc>
          <w:tcPr>
            <w:tcW w:type="dxa" w:w="2589"/>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20"/>
              </w:rPr>
              <w:t>Plan 2013</w:t>
            </w:r>
          </w:p>
        </w:tc>
        <w:tc>
          <w:tcPr>
            <w:tcW w:type="dxa" w:w="1243"/>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20"/>
              </w:rPr>
              <w:t>Brecha</w:t>
            </w:r>
          </w:p>
        </w:tc>
      </w:tr>
      <w:tr>
        <w:tc>
          <w:tcPr>
            <w:tcW w:type="dxa" w:w="213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Captura y procesamiento</w:t>
            </w:r>
          </w:p>
        </w:tc>
        <w:tc>
          <w:tcPr>
            <w:tcW w:type="dxa" w:w="31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Automatizados (ERP, facturación electrónica, RPA)</w:t>
            </w:r>
          </w:p>
        </w:tc>
        <w:tc>
          <w:tcPr>
            <w:tcW w:type="dxa" w:w="258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Registro manual y semiautomatizado</w:t>
            </w:r>
          </w:p>
        </w:tc>
        <w:tc>
          <w:tcPr>
            <w:tcW w:type="dxa" w:w="124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Crítica</w:t>
            </w:r>
          </w:p>
        </w:tc>
      </w:tr>
      <w:tr>
        <w:tc>
          <w:tcPr>
            <w:tcW w:type="dxa" w:w="213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Análisis</w:t>
            </w:r>
          </w:p>
        </w:tc>
        <w:tc>
          <w:tcPr>
            <w:tcW w:type="dxa" w:w="31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Analítica sobre poblaciones completas</w:t>
            </w:r>
          </w:p>
        </w:tc>
        <w:tc>
          <w:tcPr>
            <w:tcW w:type="dxa" w:w="258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Razones e índices financieros</w:t>
            </w:r>
          </w:p>
        </w:tc>
        <w:tc>
          <w:tcPr>
            <w:tcW w:type="dxa" w:w="124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Crítica</w:t>
            </w:r>
          </w:p>
        </w:tc>
      </w:tr>
      <w:tr>
        <w:tc>
          <w:tcPr>
            <w:tcW w:type="dxa" w:w="213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Evidencia de auditoría</w:t>
            </w:r>
          </w:p>
        </w:tc>
        <w:tc>
          <w:tcPr>
            <w:tcW w:type="dxa" w:w="31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Analítica y auditoría continua</w:t>
            </w:r>
          </w:p>
        </w:tc>
        <w:tc>
          <w:tcPr>
            <w:tcW w:type="dxa" w:w="258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Muestreo tradicional</w:t>
            </w:r>
          </w:p>
        </w:tc>
        <w:tc>
          <w:tcPr>
            <w:tcW w:type="dxa" w:w="124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Alta</w:t>
            </w:r>
          </w:p>
        </w:tc>
      </w:tr>
      <w:tr>
        <w:tc>
          <w:tcPr>
            <w:tcW w:type="dxa" w:w="213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Entorno de TI</w:t>
            </w:r>
          </w:p>
        </w:tc>
        <w:tc>
          <w:tcPr>
            <w:tcW w:type="dxa" w:w="31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Exigencia de la NIA 315 revisada</w:t>
            </w:r>
          </w:p>
        </w:tc>
        <w:tc>
          <w:tcPr>
            <w:tcW w:type="dxa" w:w="258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Auditoría de sistemas aislada</w:t>
            </w:r>
          </w:p>
        </w:tc>
        <w:tc>
          <w:tcPr>
            <w:tcW w:type="dxa" w:w="124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Alta</w:t>
            </w:r>
          </w:p>
        </w:tc>
      </w:tr>
      <w:tr>
        <w:tc>
          <w:tcPr>
            <w:tcW w:type="dxa" w:w="213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Objeto del reporte</w:t>
            </w:r>
          </w:p>
        </w:tc>
        <w:tc>
          <w:tcPr>
            <w:tcW w:type="dxa" w:w="31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Información financiera y de sostenibilidad</w:t>
            </w:r>
          </w:p>
        </w:tc>
        <w:tc>
          <w:tcPr>
            <w:tcW w:type="dxa" w:w="258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Sólo financiera</w:t>
            </w:r>
          </w:p>
        </w:tc>
        <w:tc>
          <w:tcPr>
            <w:tcW w:type="dxa" w:w="124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Crítica</w:t>
            </w:r>
          </w:p>
        </w:tc>
      </w:tr>
      <w:tr>
        <w:tc>
          <w:tcPr>
            <w:tcW w:type="dxa" w:w="213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Herramientas de IA</w:t>
            </w:r>
          </w:p>
        </w:tc>
        <w:tc>
          <w:tcPr>
            <w:tcW w:type="dxa" w:w="31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Uso y auditoría</w:t>
            </w:r>
          </w:p>
        </w:tc>
        <w:tc>
          <w:tcPr>
            <w:tcW w:type="dxa" w:w="258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Sin contenido</w:t>
            </w:r>
          </w:p>
        </w:tc>
        <w:tc>
          <w:tcPr>
            <w:tcW w:type="dxa" w:w="124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Total</w:t>
            </w:r>
          </w:p>
        </w:tc>
      </w:tr>
      <w:tr>
        <w:tc>
          <w:tcPr>
            <w:tcW w:type="dxa" w:w="213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Idioma técnico</w:t>
            </w:r>
          </w:p>
        </w:tc>
        <w:tc>
          <w:tcPr>
            <w:tcW w:type="dxa" w:w="31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Normativa de circulación primaria en inglés</w:t>
            </w:r>
          </w:p>
        </w:tc>
        <w:tc>
          <w:tcPr>
            <w:tcW w:type="dxa" w:w="258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Sin formación</w:t>
            </w:r>
          </w:p>
        </w:tc>
        <w:tc>
          <w:tcPr>
            <w:tcW w:type="dxa" w:w="124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Total</w:t>
            </w:r>
          </w:p>
        </w:tc>
      </w:tr>
    </w:tbl>
    <w:p>
      <w:pPr>
        <w:spacing w:before="0" w:after="120" w:line="240" w:lineRule="auto"/>
        <w:jc w:val="left"/>
      </w:pPr>
    </w:p>
    <w:p>
      <w:pPr>
        <w:spacing w:before="0" w:after="200" w:line="240" w:lineRule="auto"/>
        <w:jc w:val="both"/>
      </w:pPr>
      <w:r>
        <w:rPr>
          <w:rFonts w:ascii="Century Gothic" w:hAnsi="Century Gothic" w:cs="Century Gothic" w:eastAsia="Century Gothic"/>
          <w:b/>
          <w:i w:val="0"/>
          <w:sz w:val="20"/>
        </w:rPr>
        <w:t>Conclusión del subpunto.</w:t>
      </w:r>
      <w:r>
        <w:rPr>
          <w:rFonts w:ascii="Century Gothic" w:hAnsi="Century Gothic" w:cs="Century Gothic" w:eastAsia="Century Gothic"/>
          <w:b w:val="0"/>
          <w:i w:val="0"/>
          <w:sz w:val="20"/>
        </w:rPr>
        <w:t xml:space="preserve"> La respuesta curricular no es agregar una asignatura de informática, sino un </w:t>
      </w:r>
      <w:r>
        <w:rPr>
          <w:rFonts w:ascii="Century Gothic" w:hAnsi="Century Gothic" w:cs="Century Gothic" w:eastAsia="Century Gothic"/>
          <w:b/>
          <w:i w:val="0"/>
          <w:sz w:val="20"/>
        </w:rPr>
        <w:t>eje tecnológico transversal</w:t>
      </w:r>
      <w:r>
        <w:rPr>
          <w:rFonts w:ascii="Century Gothic" w:hAnsi="Century Gothic" w:cs="Century Gothic" w:eastAsia="Century Gothic"/>
          <w:b w:val="0"/>
          <w:i w:val="0"/>
          <w:sz w:val="20"/>
        </w:rPr>
        <w:t xml:space="preserve"> en tres planos: </w:t>
      </w:r>
      <w:r>
        <w:rPr>
          <w:rFonts w:ascii="Century Gothic" w:hAnsi="Century Gothic" w:cs="Century Gothic" w:eastAsia="Century Gothic"/>
          <w:b/>
          <w:i w:val="0"/>
          <w:sz w:val="20"/>
        </w:rPr>
        <w:t>operar</w:t>
      </w:r>
      <w:r>
        <w:rPr>
          <w:rFonts w:ascii="Century Gothic" w:hAnsi="Century Gothic" w:cs="Century Gothic" w:eastAsia="Century Gothic"/>
          <w:b w:val="0"/>
          <w:i w:val="0"/>
          <w:sz w:val="20"/>
        </w:rPr>
        <w:t xml:space="preserve"> herramientas (ERP, software contable y tributario, analítica, IA aplicada), </w:t>
      </w:r>
      <w:r>
        <w:rPr>
          <w:rFonts w:ascii="Century Gothic" w:hAnsi="Century Gothic" w:cs="Century Gothic" w:eastAsia="Century Gothic"/>
          <w:b/>
          <w:i w:val="0"/>
          <w:sz w:val="20"/>
        </w:rPr>
        <w:t>auditar</w:t>
      </w:r>
      <w:r>
        <w:rPr>
          <w:rFonts w:ascii="Century Gothic" w:hAnsi="Century Gothic" w:cs="Century Gothic" w:eastAsia="Century Gothic"/>
          <w:b w:val="0"/>
          <w:i w:val="0"/>
          <w:sz w:val="20"/>
        </w:rPr>
        <w:t xml:space="preserve"> entornos tecnológicos (controles de TI, ciberseguridad, procesos automatizados) y </w:t>
      </w:r>
      <w:r>
        <w:rPr>
          <w:rFonts w:ascii="Century Gothic" w:hAnsi="Century Gothic" w:cs="Century Gothic" w:eastAsia="Century Gothic"/>
          <w:b/>
          <w:i w:val="0"/>
          <w:sz w:val="20"/>
        </w:rPr>
        <w:t>juzgar</w:t>
      </w:r>
      <w:r>
        <w:rPr>
          <w:rFonts w:ascii="Century Gothic" w:hAnsi="Century Gothic" w:cs="Century Gothic" w:eastAsia="Century Gothic"/>
          <w:b w:val="0"/>
          <w:i w:val="0"/>
          <w:sz w:val="20"/>
        </w:rPr>
        <w:t xml:space="preserve"> con escepticismo profesional lo que esas herramientas producen.</w:t>
      </w:r>
    </w:p>
    <w:p>
      <w:pPr>
        <w:keepNext/>
        <w:tabs>
          <w:tab w:pos="709" w:val="left"/>
        </w:tabs>
        <w:spacing w:before="120" w:after="200" w:line="240" w:lineRule="auto"/>
        <w:ind w:left="709" w:hanging="709"/>
        <w:jc w:val="left"/>
      </w:pPr>
      <w:r>
        <w:rPr>
          <w:rFonts w:ascii="Century Gothic" w:hAnsi="Century Gothic" w:cs="Century Gothic" w:eastAsia="Century Gothic"/>
          <w:b/>
          <w:i w:val="0"/>
          <w:sz w:val="24"/>
        </w:rPr>
        <w:t>3.5</w:t>
        <w:tab/>
      </w:r>
      <w:r>
        <w:rPr>
          <w:rFonts w:ascii="Century Gothic" w:hAnsi="Century Gothic" w:cs="Century Gothic" w:eastAsia="Century Gothic"/>
          <w:b/>
          <w:i w:val="0"/>
          <w:sz w:val="24"/>
        </w:rPr>
        <w:t>Contextualización de la oferta curricular en la realidad nacional e internacional</w:t>
      </w:r>
    </w:p>
    <w:p>
      <w:pPr>
        <w:keepNext/>
        <w:spacing w:before="40" w:after="200" w:line="240" w:lineRule="auto"/>
        <w:jc w:val="left"/>
      </w:pPr>
      <w:r>
        <w:rPr>
          <w:rFonts w:ascii="Century Gothic" w:hAnsi="Century Gothic" w:cs="Century Gothic" w:eastAsia="Century Gothic"/>
          <w:b/>
          <w:i w:val="0"/>
          <w:sz w:val="22"/>
        </w:rPr>
        <w:t>a) Realidad nacional</w:t>
      </w:r>
    </w:p>
    <w:p>
      <w:pPr>
        <w:spacing w:before="0" w:after="200" w:line="240" w:lineRule="auto"/>
        <w:jc w:val="both"/>
      </w:pPr>
      <w:r>
        <w:rPr>
          <w:rFonts w:ascii="Century Gothic" w:hAnsi="Century Gothic" w:cs="Century Gothic" w:eastAsia="Century Gothic"/>
          <w:b w:val="0"/>
          <w:i w:val="0"/>
          <w:sz w:val="20"/>
        </w:rPr>
        <w:t xml:space="preserve">La Constitución Política del Estado reconoce un </w:t>
      </w:r>
      <w:r>
        <w:rPr>
          <w:rFonts w:ascii="Century Gothic" w:hAnsi="Century Gothic" w:cs="Century Gothic" w:eastAsia="Century Gothic"/>
          <w:b/>
          <w:i w:val="0"/>
          <w:sz w:val="20"/>
        </w:rPr>
        <w:t>modelo económico plural</w:t>
      </w:r>
      <w:r>
        <w:rPr>
          <w:rFonts w:ascii="Century Gothic" w:hAnsi="Century Gothic" w:cs="Century Gothic" w:eastAsia="Century Gothic"/>
          <w:b w:val="0"/>
          <w:i w:val="0"/>
          <w:sz w:val="20"/>
        </w:rPr>
        <w:t xml:space="preserve">, integrado por formas de organización comunitaria, estatal, privada y social cooperativa. La formación del Contador Público Autorizado debe responder a todas ellas: al </w:t>
      </w:r>
      <w:r>
        <w:rPr>
          <w:rFonts w:ascii="Century Gothic" w:hAnsi="Century Gothic" w:cs="Century Gothic" w:eastAsia="Century Gothic"/>
          <w:b/>
          <w:i w:val="0"/>
          <w:sz w:val="20"/>
        </w:rPr>
        <w:t>sector público</w:t>
      </w:r>
      <w:r>
        <w:rPr>
          <w:rFonts w:ascii="Century Gothic" w:hAnsi="Century Gothic" w:cs="Century Gothic" w:eastAsia="Century Gothic"/>
          <w:b w:val="0"/>
          <w:i w:val="0"/>
          <w:sz w:val="20"/>
        </w:rPr>
        <w:t xml:space="preserve">, regido por la Ley 1178 y por el control de la Contraloría General del Estado; al </w:t>
      </w:r>
      <w:r>
        <w:rPr>
          <w:rFonts w:ascii="Century Gothic" w:hAnsi="Century Gothic" w:cs="Century Gothic" w:eastAsia="Century Gothic"/>
          <w:b/>
          <w:i w:val="0"/>
          <w:sz w:val="20"/>
        </w:rPr>
        <w:t>sector privado</w:t>
      </w:r>
      <w:r>
        <w:rPr>
          <w:rFonts w:ascii="Century Gothic" w:hAnsi="Century Gothic" w:cs="Century Gothic" w:eastAsia="Century Gothic"/>
          <w:b w:val="0"/>
          <w:i w:val="0"/>
          <w:sz w:val="20"/>
        </w:rPr>
        <w:t xml:space="preserve">, mayoritariamente compuesto por pequeñas y medianas unidades, que requieren NIIF para las PYMES y NIA para Entidades Menos Complejas; al </w:t>
      </w:r>
      <w:r>
        <w:rPr>
          <w:rFonts w:ascii="Century Gothic" w:hAnsi="Century Gothic" w:cs="Century Gothic" w:eastAsia="Century Gothic"/>
          <w:b/>
          <w:i w:val="0"/>
          <w:sz w:val="20"/>
        </w:rPr>
        <w:t>sector cooperativo y financiero</w:t>
      </w:r>
      <w:r>
        <w:rPr>
          <w:rFonts w:ascii="Century Gothic" w:hAnsi="Century Gothic" w:cs="Century Gothic" w:eastAsia="Century Gothic"/>
          <w:b w:val="0"/>
          <w:i w:val="0"/>
          <w:sz w:val="20"/>
        </w:rPr>
        <w:t xml:space="preserve">, regido por la Ley 393; y a la </w:t>
      </w:r>
      <w:r>
        <w:rPr>
          <w:rFonts w:ascii="Century Gothic" w:hAnsi="Century Gothic" w:cs="Century Gothic" w:eastAsia="Century Gothic"/>
          <w:b/>
          <w:i w:val="0"/>
          <w:sz w:val="20"/>
        </w:rPr>
        <w:t>economía informal</w:t>
      </w:r>
      <w:r>
        <w:rPr>
          <w:rFonts w:ascii="Century Gothic" w:hAnsi="Century Gothic" w:cs="Century Gothic" w:eastAsia="Century Gothic"/>
          <w:b w:val="0"/>
          <w:i w:val="0"/>
          <w:sz w:val="20"/>
        </w:rPr>
        <w:t xml:space="preserve">, que demanda servicios de formalización. La demanda de </w:t>
      </w:r>
      <w:r>
        <w:rPr>
          <w:rFonts w:ascii="Century Gothic" w:hAnsi="Century Gothic" w:cs="Century Gothic" w:eastAsia="Century Gothic"/>
          <w:b/>
          <w:i w:val="0"/>
          <w:sz w:val="20"/>
        </w:rPr>
        <w:t>auditoría forense</w:t>
      </w:r>
      <w:r>
        <w:rPr>
          <w:rFonts w:ascii="Century Gothic" w:hAnsi="Century Gothic" w:cs="Century Gothic" w:eastAsia="Century Gothic"/>
          <w:b w:val="0"/>
          <w:i w:val="0"/>
          <w:sz w:val="20"/>
        </w:rPr>
        <w:t xml:space="preserve"> frente a la corrupción y de </w:t>
      </w:r>
      <w:r>
        <w:rPr>
          <w:rFonts w:ascii="Century Gothic" w:hAnsi="Century Gothic" w:cs="Century Gothic" w:eastAsia="Century Gothic"/>
          <w:b/>
          <w:i w:val="0"/>
          <w:sz w:val="20"/>
        </w:rPr>
        <w:t>NIIF y tributación actualizadas</w:t>
      </w:r>
      <w:r>
        <w:rPr>
          <w:rFonts w:ascii="Century Gothic" w:hAnsi="Century Gothic" w:cs="Century Gothic" w:eastAsia="Century Gothic"/>
          <w:b w:val="0"/>
          <w:i w:val="0"/>
          <w:sz w:val="20"/>
        </w:rPr>
        <w:t xml:space="preserve"> completa el cuadro de necesidades nacionales.</w:t>
      </w:r>
    </w:p>
    <w:p>
      <w:pPr>
        <w:spacing w:before="0" w:after="200" w:line="240" w:lineRule="auto"/>
        <w:jc w:val="both"/>
      </w:pPr>
      <w:r>
        <w:rPr>
          <w:rFonts w:ascii="Century Gothic" w:hAnsi="Century Gothic" w:cs="Century Gothic" w:eastAsia="Century Gothic"/>
          <w:b/>
          <w:i w:val="0"/>
          <w:sz w:val="20"/>
        </w:rPr>
        <w:t>Cuadro 28. Formas de organización económica y requerimientos de formación</w:t>
      </w:r>
    </w:p>
    <w:tbl>
      <w:tblPr>
        <w:tblW w:type="auto" w:w="0"/>
        <w:jc w:val="center"/>
        <w:tblLayout w:type="fixed"/>
        <w:tblLook w:firstColumn="1" w:firstRow="1" w:lastColumn="0" w:lastRow="0" w:noHBand="0" w:noVBand="1" w:val="04A0"/>
      </w:tblPr>
      <w:tblGrid>
        <w:gridCol w:w="2231"/>
        <w:gridCol w:w="3256"/>
        <w:gridCol w:w="3584"/>
      </w:tblGrid>
      <w:tr>
        <w:trPr>
          <w:tblHeader/>
        </w:trPr>
        <w:tc>
          <w:tcPr>
            <w:tcW w:type="dxa" w:w="2231"/>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20"/>
              </w:rPr>
              <w:t>Forma de organización</w:t>
            </w:r>
          </w:p>
        </w:tc>
        <w:tc>
          <w:tcPr>
            <w:tcW w:type="dxa" w:w="3256"/>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20"/>
              </w:rPr>
              <w:t>Marco normativo principal</w:t>
            </w:r>
          </w:p>
        </w:tc>
        <w:tc>
          <w:tcPr>
            <w:tcW w:type="dxa" w:w="3584"/>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20"/>
              </w:rPr>
              <w:t>Requerimiento formativo</w:t>
            </w:r>
          </w:p>
        </w:tc>
      </w:tr>
      <w:tr>
        <w:tc>
          <w:tcPr>
            <w:tcW w:type="dxa" w:w="223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Estatal</w:t>
            </w:r>
          </w:p>
        </w:tc>
        <w:tc>
          <w:tcPr>
            <w:tcW w:type="dxa" w:w="325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Ley 1178 (SAFCO); NB-SCI; normas de la CGE</w:t>
            </w:r>
          </w:p>
        </w:tc>
        <w:tc>
          <w:tcPr>
            <w:tcW w:type="dxa" w:w="358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Contabilidad y presupuesto público; auditoría gubernamental; control interno</w:t>
            </w:r>
          </w:p>
        </w:tc>
      </w:tr>
      <w:tr>
        <w:tc>
          <w:tcPr>
            <w:tcW w:type="dxa" w:w="223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Privada</w:t>
            </w:r>
          </w:p>
        </w:tc>
        <w:tc>
          <w:tcPr>
            <w:tcW w:type="dxa" w:w="325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Código de Comercio; NIIF y NIIF para las PYMES; Leyes 843 y 2492</w:t>
            </w:r>
          </w:p>
        </w:tc>
        <w:tc>
          <w:tcPr>
            <w:tcW w:type="dxa" w:w="358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Información financiera; auditoría externa; tributación; finanzas corporativas</w:t>
            </w:r>
          </w:p>
        </w:tc>
      </w:tr>
      <w:tr>
        <w:tc>
          <w:tcPr>
            <w:tcW w:type="dxa" w:w="223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Social cooperativa y financiera</w:t>
            </w:r>
          </w:p>
        </w:tc>
        <w:tc>
          <w:tcPr>
            <w:tcW w:type="dxa" w:w="325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Ley 393; normativa ASFI</w:t>
            </w:r>
          </w:p>
        </w:tc>
        <w:tc>
          <w:tcPr>
            <w:tcW w:type="dxa" w:w="358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Contabilidad y auditoría de entidades financieras y cooperativas</w:t>
            </w:r>
          </w:p>
        </w:tc>
      </w:tr>
      <w:tr>
        <w:tc>
          <w:tcPr>
            <w:tcW w:type="dxa" w:w="223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Comunitaria e informal</w:t>
            </w:r>
          </w:p>
        </w:tc>
        <w:tc>
          <w:tcPr>
            <w:tcW w:type="dxa" w:w="325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Régimen tributario simplificado; normativa de registro de comercio</w:t>
            </w:r>
          </w:p>
        </w:tc>
        <w:tc>
          <w:tcPr>
            <w:tcW w:type="dxa" w:w="358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Formalización, estructuración societaria y asesoría a la micro y pequeña empresa</w:t>
            </w:r>
          </w:p>
        </w:tc>
      </w:tr>
    </w:tbl>
    <w:p>
      <w:pPr>
        <w:spacing w:before="0" w:after="120" w:line="240" w:lineRule="auto"/>
        <w:jc w:val="left"/>
      </w:pPr>
    </w:p>
    <w:p>
      <w:pPr>
        <w:spacing w:before="0" w:after="200" w:line="240" w:lineRule="auto"/>
        <w:jc w:val="both"/>
      </w:pPr>
      <w:r>
        <w:rPr>
          <w:rFonts w:ascii="Century Gothic" w:hAnsi="Century Gothic" w:cs="Century Gothic" w:eastAsia="Century Gothic"/>
          <w:b w:val="0"/>
          <w:i/>
          <w:sz w:val="20"/>
        </w:rPr>
        <w:t>Fuente: elaboración de la Comisión sobre la base del modelo económico plural de la CPE.</w:t>
      </w:r>
    </w:p>
    <w:p>
      <w:pPr>
        <w:keepNext/>
        <w:spacing w:before="40" w:after="200" w:line="240" w:lineRule="auto"/>
        <w:jc w:val="left"/>
      </w:pPr>
      <w:r>
        <w:rPr>
          <w:rFonts w:ascii="Century Gothic" w:hAnsi="Century Gothic" w:cs="Century Gothic" w:eastAsia="Century Gothic"/>
          <w:b/>
          <w:i w:val="0"/>
          <w:sz w:val="22"/>
        </w:rPr>
        <w:t>b) Oferta nacional similar</w:t>
      </w:r>
    </w:p>
    <w:p>
      <w:pPr>
        <w:spacing w:before="0" w:after="200" w:line="240" w:lineRule="auto"/>
        <w:jc w:val="both"/>
      </w:pPr>
      <w:r>
        <w:rPr>
          <w:rFonts w:ascii="Century Gothic" w:hAnsi="Century Gothic" w:cs="Century Gothic" w:eastAsia="Century Gothic"/>
          <w:b/>
          <w:i w:val="0"/>
          <w:sz w:val="20"/>
        </w:rPr>
        <w:t>Cuadro 29. Contaduría Pública en las universidades mayores del SUB</w:t>
      </w:r>
    </w:p>
    <w:tbl>
      <w:tblPr>
        <w:tblW w:type="auto" w:w="0"/>
        <w:jc w:val="center"/>
        <w:tblLayout w:type="fixed"/>
        <w:tblLook w:firstColumn="1" w:firstRow="1" w:lastColumn="0" w:lastRow="0" w:noHBand="0" w:noVBand="1" w:val="04A0"/>
      </w:tblPr>
      <w:tblGrid>
        <w:gridCol w:w="5093"/>
        <w:gridCol w:w="3978"/>
      </w:tblGrid>
      <w:tr>
        <w:trPr>
          <w:tblHeader/>
        </w:trPr>
        <w:tc>
          <w:tcPr>
            <w:tcW w:type="dxa" w:w="5093"/>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20"/>
              </w:rPr>
              <w:t>Universidad</w:t>
            </w:r>
          </w:p>
        </w:tc>
        <w:tc>
          <w:tcPr>
            <w:tcW w:type="dxa" w:w="3978"/>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20"/>
              </w:rPr>
              <w:t>Título profesional</w:t>
            </w:r>
          </w:p>
        </w:tc>
      </w:tr>
      <w:tr>
        <w:tc>
          <w:tcPr>
            <w:tcW w:type="dxa" w:w="509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U. Mayor, Real y Pontificia de San Francisco Xavier (Sucre)</w:t>
            </w:r>
          </w:p>
        </w:tc>
        <w:tc>
          <w:tcPr>
            <w:tcW w:type="dxa" w:w="39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i w:val="0"/>
                <w:sz w:val="20"/>
              </w:rPr>
              <w:t>Contador Público Autorizado</w:t>
            </w:r>
          </w:p>
        </w:tc>
      </w:tr>
      <w:tr>
        <w:tc>
          <w:tcPr>
            <w:tcW w:type="dxa" w:w="509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U. Mayor de San Simón (Cochabamba)</w:t>
            </w:r>
          </w:p>
        </w:tc>
        <w:tc>
          <w:tcPr>
            <w:tcW w:type="dxa" w:w="39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i w:val="0"/>
                <w:sz w:val="20"/>
              </w:rPr>
              <w:t>Contador(a) Público(a) Autorizado(a)</w:t>
            </w:r>
          </w:p>
        </w:tc>
      </w:tr>
      <w:tr>
        <w:tc>
          <w:tcPr>
            <w:tcW w:type="dxa" w:w="509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U. Autónoma Gabriel René Moreno (Santa Cruz)</w:t>
            </w:r>
          </w:p>
        </w:tc>
        <w:tc>
          <w:tcPr>
            <w:tcW w:type="dxa" w:w="39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i w:val="0"/>
                <w:sz w:val="20"/>
              </w:rPr>
              <w:t>Contador Público Autorizado</w:t>
            </w:r>
          </w:p>
        </w:tc>
      </w:tr>
      <w:tr>
        <w:tc>
          <w:tcPr>
            <w:tcW w:type="dxa" w:w="509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i w:val="0"/>
                <w:sz w:val="20"/>
              </w:rPr>
              <w:t>U. Mayor de San Andrés (La Paz)</w:t>
            </w:r>
          </w:p>
        </w:tc>
        <w:tc>
          <w:tcPr>
            <w:tcW w:type="dxa" w:w="39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i w:val="0"/>
                <w:sz w:val="20"/>
              </w:rPr>
              <w:t>Auditor Financiero</w:t>
            </w:r>
          </w:p>
        </w:tc>
      </w:tr>
    </w:tbl>
    <w:p>
      <w:pPr>
        <w:spacing w:before="0" w:after="120" w:line="240" w:lineRule="auto"/>
        <w:jc w:val="left"/>
      </w:pPr>
    </w:p>
    <w:p>
      <w:pPr>
        <w:spacing w:before="0" w:after="200" w:line="240" w:lineRule="auto"/>
        <w:jc w:val="both"/>
      </w:pPr>
      <w:r>
        <w:rPr>
          <w:rFonts w:ascii="Century Gothic" w:hAnsi="Century Gothic" w:cs="Century Gothic" w:eastAsia="Century Gothic"/>
          <w:b w:val="0"/>
          <w:i/>
          <w:sz w:val="20"/>
        </w:rPr>
        <w:t>Fuente: CEUB, registro de carreras oficiales del SUB. Validar con información oficial actualizada.</w:t>
      </w:r>
    </w:p>
    <w:p>
      <w:pPr>
        <w:spacing w:before="0" w:after="200" w:line="240" w:lineRule="auto"/>
        <w:jc w:val="both"/>
      </w:pPr>
      <w:r>
        <w:rPr>
          <w:rFonts w:ascii="Century Gothic" w:hAnsi="Century Gothic" w:cs="Century Gothic" w:eastAsia="Century Gothic"/>
          <w:b w:val="0"/>
          <w:i w:val="0"/>
          <w:sz w:val="20"/>
        </w:rPr>
        <w:t xml:space="preserve">De las cuatro universidades consignadas, la UMSA es la única que no otorga el título de Contador Público Autorizado. El rediseño </w:t>
      </w:r>
      <w:r>
        <w:rPr>
          <w:rFonts w:ascii="Century Gothic" w:hAnsi="Century Gothic" w:cs="Century Gothic" w:eastAsia="Century Gothic"/>
          <w:b/>
          <w:i w:val="0"/>
          <w:sz w:val="20"/>
        </w:rPr>
        <w:t>la alinea con el Sistema</w:t>
      </w:r>
      <w:r>
        <w:rPr>
          <w:rFonts w:ascii="Century Gothic" w:hAnsi="Century Gothic" w:cs="Century Gothic" w:eastAsia="Century Gothic"/>
          <w:b w:val="0"/>
          <w:i w:val="0"/>
          <w:sz w:val="20"/>
        </w:rPr>
        <w:t xml:space="preserve"> y le devuelve plena comparabilidad para convalidaciones y movilidad. Frente a la oferta privada paceña —con mejor infraestructura tecnológica, pasantías y titulación rápida, identificadas como amenaza en el FODA—, la ventaja de la UMSA reside en su profundidad técnica, su cuerpo docente, la gratuidad y la amplitud de su bloque de aseguramiento; el rediseño debe preservar esos activos y cerrar las desventajas evitables.</w:t>
      </w:r>
    </w:p>
    <w:p>
      <w:pPr>
        <w:keepNext/>
        <w:spacing w:before="40" w:after="200" w:line="240" w:lineRule="auto"/>
        <w:jc w:val="left"/>
      </w:pPr>
      <w:r>
        <w:rPr>
          <w:rFonts w:ascii="Century Gothic" w:hAnsi="Century Gothic" w:cs="Century Gothic" w:eastAsia="Century Gothic"/>
          <w:b/>
          <w:i w:val="0"/>
          <w:sz w:val="22"/>
        </w:rPr>
        <w:t>c) Oferta internacional de referencia</w:t>
      </w:r>
    </w:p>
    <w:p>
      <w:pPr>
        <w:spacing w:before="0" w:after="200" w:line="240" w:lineRule="auto"/>
        <w:jc w:val="both"/>
      </w:pPr>
      <w:r>
        <w:rPr>
          <w:rFonts w:ascii="Century Gothic" w:hAnsi="Century Gothic" w:cs="Century Gothic" w:eastAsia="Century Gothic"/>
          <w:b w:val="0"/>
          <w:i w:val="0"/>
          <w:sz w:val="20"/>
        </w:rPr>
        <w:t xml:space="preserve">La comparación internacional se orienta por tres marcos: las </w:t>
      </w:r>
      <w:r>
        <w:rPr>
          <w:rFonts w:ascii="Century Gothic" w:hAnsi="Century Gothic" w:cs="Century Gothic" w:eastAsia="Century Gothic"/>
          <w:b/>
          <w:i w:val="0"/>
          <w:sz w:val="20"/>
        </w:rPr>
        <w:t>Normas Internacionales de Educación de la IFAC</w:t>
      </w:r>
      <w:r>
        <w:rPr>
          <w:rFonts w:ascii="Century Gothic" w:hAnsi="Century Gothic" w:cs="Century Gothic" w:eastAsia="Century Gothic"/>
          <w:b w:val="0"/>
          <w:i w:val="0"/>
          <w:sz w:val="20"/>
        </w:rPr>
        <w:t xml:space="preserve">, estándar universal de los programas de formación contable; el </w:t>
      </w:r>
      <w:r>
        <w:rPr>
          <w:rFonts w:ascii="Century Gothic" w:hAnsi="Century Gothic" w:cs="Century Gothic" w:eastAsia="Century Gothic"/>
          <w:b/>
          <w:i/>
          <w:sz w:val="20"/>
        </w:rPr>
        <w:t>Model Accounting Curriculum</w:t>
      </w:r>
      <w:r>
        <w:rPr>
          <w:rFonts w:ascii="Century Gothic" w:hAnsi="Century Gothic" w:cs="Century Gothic" w:eastAsia="Century Gothic"/>
          <w:b w:val="0"/>
          <w:i w:val="0"/>
          <w:sz w:val="20"/>
        </w:rPr>
        <w:t xml:space="preserve"> </w:t>
      </w:r>
      <w:r>
        <w:rPr>
          <w:rFonts w:ascii="Century Gothic" w:hAnsi="Century Gothic" w:cs="Century Gothic" w:eastAsia="Century Gothic"/>
          <w:b/>
          <w:i w:val="0"/>
          <w:sz w:val="20"/>
        </w:rPr>
        <w:t>de UNCTAD-ISAR</w:t>
      </w:r>
      <w:r>
        <w:rPr>
          <w:rFonts w:ascii="Century Gothic" w:hAnsi="Century Gothic" w:cs="Century Gothic" w:eastAsia="Century Gothic"/>
          <w:b w:val="0"/>
          <w:i w:val="0"/>
          <w:sz w:val="20"/>
        </w:rPr>
        <w:t xml:space="preserve">, diseñado para economías en desarrollo y en transición; y la </w:t>
      </w:r>
      <w:r>
        <w:rPr>
          <w:rFonts w:ascii="Century Gothic" w:hAnsi="Century Gothic" w:cs="Century Gothic" w:eastAsia="Century Gothic"/>
          <w:b/>
          <w:i w:val="0"/>
          <w:sz w:val="20"/>
        </w:rPr>
        <w:t>Asociación Interamericana de Contabilidad (AIC)</w:t>
      </w:r>
      <w:r>
        <w:rPr>
          <w:rFonts w:ascii="Century Gothic" w:hAnsi="Century Gothic" w:cs="Century Gothic" w:eastAsia="Century Gothic"/>
          <w:b w:val="0"/>
          <w:i w:val="0"/>
          <w:sz w:val="20"/>
        </w:rPr>
        <w:t>, que promueve la armonización curricular en el continente. Con esos marcos como referencia se analizaron tres programas de la región:</w:t>
      </w:r>
    </w:p>
    <w:p>
      <w:pPr>
        <w:spacing w:before="0" w:after="200" w:line="240" w:lineRule="auto"/>
        <w:jc w:val="both"/>
      </w:pPr>
      <w:r>
        <w:rPr>
          <w:rFonts w:ascii="Century Gothic" w:hAnsi="Century Gothic" w:cs="Century Gothic" w:eastAsia="Century Gothic"/>
          <w:b/>
          <w:i w:val="0"/>
          <w:sz w:val="20"/>
        </w:rPr>
        <w:t>Cuadro 30. Programas internacionales de referencia</w:t>
      </w:r>
    </w:p>
    <w:tbl>
      <w:tblPr>
        <w:tblW w:type="auto" w:w="0"/>
        <w:jc w:val="center"/>
        <w:tblLayout w:type="fixed"/>
        <w:tblLook w:firstColumn="1" w:firstRow="1" w:lastColumn="0" w:lastRow="0" w:noHBand="0" w:noVBand="1" w:val="04A0"/>
      </w:tblPr>
      <w:tblGrid>
        <w:gridCol w:w="1177"/>
        <w:gridCol w:w="2596"/>
        <w:gridCol w:w="2008"/>
        <w:gridCol w:w="1827"/>
        <w:gridCol w:w="1463"/>
      </w:tblGrid>
      <w:tr>
        <w:trPr>
          <w:tblHeader/>
        </w:trPr>
        <w:tc>
          <w:tcPr>
            <w:tcW w:type="dxa" w:w="1177"/>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20"/>
              </w:rPr>
              <w:t>Rasgo</w:t>
            </w:r>
          </w:p>
        </w:tc>
        <w:tc>
          <w:tcPr>
            <w:tcW w:type="dxa" w:w="2596"/>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20"/>
              </w:rPr>
              <w:t>U. de Chile — Contador Auditor</w:t>
            </w:r>
          </w:p>
        </w:tc>
        <w:tc>
          <w:tcPr>
            <w:tcW w:type="dxa" w:w="2008"/>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20"/>
              </w:rPr>
              <w:t>UNAM (México) — Lic. en Contaduría, plan 2025</w:t>
            </w:r>
          </w:p>
        </w:tc>
        <w:tc>
          <w:tcPr>
            <w:tcW w:type="dxa" w:w="1827"/>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20"/>
              </w:rPr>
              <w:t>U. Jorge Tadeo Lozano (Colombia) — Contaduría Pública</w:t>
            </w:r>
          </w:p>
        </w:tc>
        <w:tc>
          <w:tcPr>
            <w:tcW w:type="dxa" w:w="1463"/>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20"/>
              </w:rPr>
              <w:t>UMSA — Plan 2013</w:t>
            </w:r>
          </w:p>
        </w:tc>
      </w:tr>
      <w:tr>
        <w:tc>
          <w:tcPr>
            <w:tcW w:type="dxa" w:w="117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Duración</w:t>
            </w:r>
          </w:p>
        </w:tc>
        <w:tc>
          <w:tcPr>
            <w:tcW w:type="dxa" w:w="259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10 semestres</w:t>
            </w:r>
          </w:p>
        </w:tc>
        <w:tc>
          <w:tcPr>
            <w:tcW w:type="dxa" w:w="20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8 semestres; 448 créditos</w:t>
            </w:r>
          </w:p>
        </w:tc>
        <w:tc>
          <w:tcPr>
            <w:tcW w:type="dxa" w:w="182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133 créditos</w:t>
            </w:r>
          </w:p>
        </w:tc>
        <w:tc>
          <w:tcPr>
            <w:tcW w:type="dxa" w:w="146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5 años; 6.000 horas</w:t>
            </w:r>
          </w:p>
        </w:tc>
      </w:tr>
      <w:tr>
        <w:tc>
          <w:tcPr>
            <w:tcW w:type="dxa" w:w="117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Tecnología y analítica</w:t>
            </w:r>
          </w:p>
        </w:tc>
        <w:tc>
          <w:tcPr>
            <w:tcW w:type="dxa" w:w="259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 xml:space="preserve">Programación para analítica de datos, </w:t>
            </w:r>
            <w:r>
              <w:rPr>
                <w:rFonts w:ascii="Century Gothic" w:hAnsi="Century Gothic" w:cs="Century Gothic" w:eastAsia="Century Gothic"/>
                <w:b w:val="0"/>
                <w:i/>
                <w:sz w:val="20"/>
              </w:rPr>
              <w:t>machine learning</w:t>
            </w:r>
            <w:r>
              <w:rPr>
                <w:rFonts w:ascii="Century Gothic" w:hAnsi="Century Gothic" w:cs="Century Gothic" w:eastAsia="Century Gothic"/>
                <w:b w:val="0"/>
                <w:i w:val="0"/>
                <w:sz w:val="20"/>
              </w:rPr>
              <w:t xml:space="preserve">, auditoría de TI; minor en </w:t>
            </w:r>
            <w:r>
              <w:rPr>
                <w:rFonts w:ascii="Century Gothic" w:hAnsi="Century Gothic" w:cs="Century Gothic" w:eastAsia="Century Gothic"/>
                <w:b w:val="0"/>
                <w:i/>
                <w:sz w:val="20"/>
              </w:rPr>
              <w:t>Business &amp; Data Analytics</w:t>
            </w:r>
          </w:p>
        </w:tc>
        <w:tc>
          <w:tcPr>
            <w:tcW w:type="dxa" w:w="20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Tecnologías de información; tecnologías financieras y emergentes</w:t>
            </w:r>
          </w:p>
        </w:tc>
        <w:tc>
          <w:tcPr>
            <w:tcW w:type="dxa" w:w="182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Visualización y análisis de datos</w:t>
            </w:r>
          </w:p>
        </w:tc>
        <w:tc>
          <w:tcPr>
            <w:tcW w:type="dxa" w:w="146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Sistemas bajo paradigma previo</w:t>
            </w:r>
          </w:p>
        </w:tc>
      </w:tr>
      <w:tr>
        <w:tc>
          <w:tcPr>
            <w:tcW w:type="dxa" w:w="117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Idioma</w:t>
            </w:r>
          </w:p>
        </w:tc>
        <w:tc>
          <w:tcPr>
            <w:tcW w:type="dxa" w:w="259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Inglés I a V obligatorio</w:t>
            </w:r>
          </w:p>
        </w:tc>
        <w:tc>
          <w:tcPr>
            <w:tcW w:type="dxa" w:w="20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Inglés B1 como requisito de titulación</w:t>
            </w:r>
          </w:p>
        </w:tc>
        <w:tc>
          <w:tcPr>
            <w:tcW w:type="dxa" w:w="182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Inglés A1 a B2</w:t>
            </w:r>
          </w:p>
        </w:tc>
        <w:tc>
          <w:tcPr>
            <w:tcW w:type="dxa" w:w="146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Ausente</w:t>
            </w:r>
          </w:p>
        </w:tc>
      </w:tr>
      <w:tr>
        <w:tc>
          <w:tcPr>
            <w:tcW w:type="dxa" w:w="117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Práctica</w:t>
            </w:r>
          </w:p>
        </w:tc>
        <w:tc>
          <w:tcPr>
            <w:tcW w:type="dxa" w:w="259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Práctica profesional obligatoria</w:t>
            </w:r>
          </w:p>
        </w:tc>
        <w:tc>
          <w:tcPr>
            <w:tcW w:type="dxa" w:w="20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Servicio social de 480 horas</w:t>
            </w:r>
          </w:p>
        </w:tc>
        <w:tc>
          <w:tcPr>
            <w:tcW w:type="dxa" w:w="182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w:t>
            </w:r>
          </w:p>
        </w:tc>
        <w:tc>
          <w:tcPr>
            <w:tcW w:type="dxa" w:w="146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Ausente</w:t>
            </w:r>
          </w:p>
        </w:tc>
      </w:tr>
      <w:tr>
        <w:tc>
          <w:tcPr>
            <w:tcW w:type="dxa" w:w="117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Sostenibilidad y ética</w:t>
            </w:r>
          </w:p>
        </w:tc>
        <w:tc>
          <w:tcPr>
            <w:tcW w:type="dxa" w:w="259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w:t>
            </w:r>
          </w:p>
        </w:tc>
        <w:tc>
          <w:tcPr>
            <w:tcW w:type="dxa" w:w="20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sz w:val="20"/>
              </w:rPr>
              <w:t>Desarrollo sostenible en las organizaciones</w:t>
            </w:r>
            <w:r>
              <w:rPr>
                <w:rFonts w:ascii="Century Gothic" w:hAnsi="Century Gothic" w:cs="Century Gothic" w:eastAsia="Century Gothic"/>
                <w:b w:val="0"/>
                <w:i w:val="0"/>
                <w:sz w:val="20"/>
              </w:rPr>
              <w:t>; ética obligatoria</w:t>
            </w:r>
          </w:p>
        </w:tc>
        <w:tc>
          <w:tcPr>
            <w:tcW w:type="dxa" w:w="182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Responsabilidad social; ética</w:t>
            </w:r>
          </w:p>
        </w:tc>
        <w:tc>
          <w:tcPr>
            <w:tcW w:type="dxa" w:w="146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Ética terminal; sin sostenibilidad</w:t>
            </w:r>
          </w:p>
        </w:tc>
      </w:tr>
      <w:tr>
        <w:tc>
          <w:tcPr>
            <w:tcW w:type="dxa" w:w="117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Calidad</w:t>
            </w:r>
          </w:p>
        </w:tc>
        <w:tc>
          <w:tcPr>
            <w:tcW w:type="dxa" w:w="259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Acreditación internacional AACSB desde 2015</w:t>
            </w:r>
          </w:p>
        </w:tc>
        <w:tc>
          <w:tcPr>
            <w:tcW w:type="dxa" w:w="20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w:t>
            </w:r>
          </w:p>
        </w:tc>
        <w:tc>
          <w:tcPr>
            <w:tcW w:type="dxa" w:w="182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Acreditación institucional de alta calidad</w:t>
            </w:r>
          </w:p>
        </w:tc>
        <w:tc>
          <w:tcPr>
            <w:tcW w:type="dxa" w:w="146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w:t>
            </w:r>
          </w:p>
        </w:tc>
      </w:tr>
    </w:tbl>
    <w:p>
      <w:pPr>
        <w:spacing w:before="0" w:after="120" w:line="240" w:lineRule="auto"/>
        <w:jc w:val="left"/>
      </w:pPr>
    </w:p>
    <w:p>
      <w:pPr>
        <w:spacing w:before="0" w:after="200" w:line="240" w:lineRule="auto"/>
        <w:jc w:val="both"/>
      </w:pPr>
      <w:r>
        <w:rPr>
          <w:rFonts w:ascii="Century Gothic" w:hAnsi="Century Gothic" w:cs="Century Gothic" w:eastAsia="Century Gothic"/>
          <w:b w:val="0"/>
          <w:i/>
          <w:sz w:val="20"/>
        </w:rPr>
        <w:t>Fuente: Universidad de Chile (2024); UNAM (2025); Universidad Jorge Tadeo Lozano (s. f.).</w:t>
      </w:r>
    </w:p>
    <w:p>
      <w:pPr>
        <w:spacing w:before="0" w:after="200" w:line="240" w:lineRule="auto"/>
        <w:jc w:val="both"/>
      </w:pPr>
      <w:r>
        <w:rPr>
          <w:rFonts w:ascii="Century Gothic" w:hAnsi="Century Gothic" w:cs="Century Gothic" w:eastAsia="Century Gothic"/>
          <w:b/>
          <w:i w:val="0"/>
          <w:sz w:val="20"/>
        </w:rPr>
        <w:t>Lectura.</w:t>
      </w:r>
      <w:r>
        <w:rPr>
          <w:rFonts w:ascii="Century Gothic" w:hAnsi="Century Gothic" w:cs="Century Gothic" w:eastAsia="Century Gothic"/>
          <w:b w:val="0"/>
          <w:i w:val="0"/>
          <w:sz w:val="20"/>
        </w:rPr>
        <w:t xml:space="preserve"> Los tres referentes comparten lo que el Plan 2013 no tiene: </w:t>
      </w:r>
      <w:r>
        <w:rPr>
          <w:rFonts w:ascii="Century Gothic" w:hAnsi="Century Gothic" w:cs="Century Gothic" w:eastAsia="Century Gothic"/>
          <w:b/>
          <w:i w:val="0"/>
          <w:sz w:val="20"/>
        </w:rPr>
        <w:t>tecnología y analítica en la malla, idioma inglés y una experiencia práctica o de servicio obligatoria</w:t>
      </w:r>
      <w:r>
        <w:rPr>
          <w:rFonts w:ascii="Century Gothic" w:hAnsi="Century Gothic" w:cs="Century Gothic" w:eastAsia="Century Gothic"/>
          <w:b w:val="0"/>
          <w:i w:val="0"/>
          <w:sz w:val="20"/>
        </w:rPr>
        <w:t>; el plan de la UNAM incorpora además sostenibilidad como asignatura obligatoria. El referente chileno muestra, asimismo, que la acreditación internacional —meta de la Visión 2030 de la UMSA— se apoya en esos componentes. El rediseño sitúa a la Carrera en ese estándar, sumándole un activo propio: la amplitud de su bloque de aseguramiento, con ocho gabinetes especializados (financiero, tributario, gubernamental, de sistemas, ambiental, de proyectos, forense y de entidades financieras) además de Auditoría Operativa.</w:t>
      </w:r>
    </w:p>
    <w:p>
      <w:pPr>
        <w:spacing w:before="0" w:after="200" w:line="240" w:lineRule="auto"/>
        <w:jc w:val="both"/>
      </w:pPr>
      <w:r>
        <w:rPr>
          <w:rFonts w:ascii="Century Gothic" w:hAnsi="Century Gothic" w:cs="Century Gothic" w:eastAsia="Century Gothic"/>
          <w:b/>
          <w:i w:val="0"/>
          <w:sz w:val="20"/>
        </w:rPr>
        <w:t>Cuadro 31. Matriz comparativa: Plan 2013, propuesta y referentes</w:t>
      </w:r>
    </w:p>
    <w:tbl>
      <w:tblPr>
        <w:tblW w:type="auto" w:w="0"/>
        <w:jc w:val="center"/>
        <w:tblLayout w:type="fixed"/>
        <w:tblLook w:firstColumn="1" w:firstRow="1" w:lastColumn="0" w:lastRow="0" w:noHBand="0" w:noVBand="1" w:val="04A0"/>
      </w:tblPr>
      <w:tblGrid>
        <w:gridCol w:w="1400"/>
        <w:gridCol w:w="1506"/>
        <w:gridCol w:w="2056"/>
        <w:gridCol w:w="1979"/>
        <w:gridCol w:w="2130"/>
      </w:tblGrid>
      <w:tr>
        <w:trPr>
          <w:tblHeader/>
        </w:trPr>
        <w:tc>
          <w:tcPr>
            <w:tcW w:type="dxa" w:w="1400"/>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20"/>
              </w:rPr>
              <w:t>Dimensión</w:t>
            </w:r>
          </w:p>
        </w:tc>
        <w:tc>
          <w:tcPr>
            <w:tcW w:type="dxa" w:w="1506"/>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20"/>
              </w:rPr>
              <w:t>Plan 2013</w:t>
            </w:r>
          </w:p>
        </w:tc>
        <w:tc>
          <w:tcPr>
            <w:tcW w:type="dxa" w:w="2056"/>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20"/>
              </w:rPr>
              <w:t>Propuesta de rediseño</w:t>
            </w:r>
          </w:p>
        </w:tc>
        <w:tc>
          <w:tcPr>
            <w:tcW w:type="dxa" w:w="1979"/>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20"/>
              </w:rPr>
              <w:t>Referentes nacionales</w:t>
            </w:r>
          </w:p>
        </w:tc>
        <w:tc>
          <w:tcPr>
            <w:tcW w:type="dxa" w:w="2130"/>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20"/>
              </w:rPr>
              <w:t>Referentes internacionales</w:t>
            </w:r>
          </w:p>
        </w:tc>
      </w:tr>
      <w:tr>
        <w:tc>
          <w:tcPr>
            <w:tcW w:type="dxa" w:w="140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Título</w:t>
            </w:r>
          </w:p>
        </w:tc>
        <w:tc>
          <w:tcPr>
            <w:tcW w:type="dxa" w:w="150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Auditor Financiero</w:t>
            </w:r>
          </w:p>
        </w:tc>
        <w:tc>
          <w:tcPr>
            <w:tcW w:type="dxa" w:w="205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Contador Público Autorizado</w:t>
            </w:r>
          </w:p>
        </w:tc>
        <w:tc>
          <w:tcPr>
            <w:tcW w:type="dxa" w:w="197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CPA (UMSFX, UMSS, UAGRM)</w:t>
            </w:r>
          </w:p>
        </w:tc>
        <w:tc>
          <w:tcPr>
            <w:tcW w:type="dxa" w:w="213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Contador / Contador Auditor</w:t>
            </w:r>
          </w:p>
        </w:tc>
      </w:tr>
      <w:tr>
        <w:tc>
          <w:tcPr>
            <w:tcW w:type="dxa" w:w="140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Enfoque</w:t>
            </w:r>
          </w:p>
        </w:tc>
        <w:tc>
          <w:tcPr>
            <w:tcW w:type="dxa" w:w="150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Objetivos y contenidos</w:t>
            </w:r>
          </w:p>
        </w:tc>
        <w:tc>
          <w:tcPr>
            <w:tcW w:type="dxa" w:w="205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Competencias</w:t>
            </w:r>
          </w:p>
        </w:tc>
        <w:tc>
          <w:tcPr>
            <w:tcW w:type="dxa" w:w="197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En transición (acuerdo sectorial 2024)</w:t>
            </w:r>
          </w:p>
        </w:tc>
        <w:tc>
          <w:tcPr>
            <w:tcW w:type="dxa" w:w="213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Resultados de aprendizaje (NIE)</w:t>
            </w:r>
          </w:p>
        </w:tc>
      </w:tr>
      <w:tr>
        <w:tc>
          <w:tcPr>
            <w:tcW w:type="dxa" w:w="140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Tecnología</w:t>
            </w:r>
          </w:p>
        </w:tc>
        <w:tc>
          <w:tcPr>
            <w:tcW w:type="dxa" w:w="150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Paradigma previo</w:t>
            </w:r>
          </w:p>
        </w:tc>
        <w:tc>
          <w:tcPr>
            <w:tcW w:type="dxa" w:w="205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Eje transversal</w:t>
            </w:r>
          </w:p>
        </w:tc>
        <w:tc>
          <w:tcPr>
            <w:tcW w:type="dxa" w:w="197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Heterogéneo</w:t>
            </w:r>
          </w:p>
        </w:tc>
        <w:tc>
          <w:tcPr>
            <w:tcW w:type="dxa" w:w="213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Analítica, TI y auditoría de TI obligatorias</w:t>
            </w:r>
          </w:p>
        </w:tc>
      </w:tr>
      <w:tr>
        <w:tc>
          <w:tcPr>
            <w:tcW w:type="dxa" w:w="140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Sostenibilidad</w:t>
            </w:r>
          </w:p>
        </w:tc>
        <w:tc>
          <w:tcPr>
            <w:tcW w:type="dxa" w:w="150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Ausente</w:t>
            </w:r>
          </w:p>
        </w:tc>
        <w:tc>
          <w:tcPr>
            <w:tcW w:type="dxa" w:w="205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Incorporada</w:t>
            </w:r>
          </w:p>
        </w:tc>
        <w:tc>
          <w:tcPr>
            <w:tcW w:type="dxa" w:w="197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Incipiente</w:t>
            </w:r>
          </w:p>
        </w:tc>
        <w:tc>
          <w:tcPr>
            <w:tcW w:type="dxa" w:w="213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En incorporación (UNAM obligatoria)</w:t>
            </w:r>
          </w:p>
        </w:tc>
      </w:tr>
      <w:tr>
        <w:tc>
          <w:tcPr>
            <w:tcW w:type="dxa" w:w="140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Práctica</w:t>
            </w:r>
          </w:p>
        </w:tc>
        <w:tc>
          <w:tcPr>
            <w:tcW w:type="dxa" w:w="150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Ausente</w:t>
            </w:r>
          </w:p>
        </w:tc>
        <w:tc>
          <w:tcPr>
            <w:tcW w:type="dxa" w:w="205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Obligatoria desde 3.er año</w:t>
            </w:r>
          </w:p>
        </w:tc>
        <w:tc>
          <w:tcPr>
            <w:tcW w:type="dxa" w:w="197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Variable</w:t>
            </w:r>
          </w:p>
        </w:tc>
        <w:tc>
          <w:tcPr>
            <w:tcW w:type="dxa" w:w="213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Obligatoria (NIE 5)</w:t>
            </w:r>
          </w:p>
        </w:tc>
      </w:tr>
      <w:tr>
        <w:tc>
          <w:tcPr>
            <w:tcW w:type="dxa" w:w="140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Idioma</w:t>
            </w:r>
          </w:p>
        </w:tc>
        <w:tc>
          <w:tcPr>
            <w:tcW w:type="dxa" w:w="150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Ausente</w:t>
            </w:r>
          </w:p>
        </w:tc>
        <w:tc>
          <w:tcPr>
            <w:tcW w:type="dxa" w:w="205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Inglés técnico progresivo</w:t>
            </w:r>
          </w:p>
        </w:tc>
        <w:tc>
          <w:tcPr>
            <w:tcW w:type="dxa" w:w="197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Recomendado (Reunión Sectorial 2024)</w:t>
            </w:r>
          </w:p>
        </w:tc>
        <w:tc>
          <w:tcPr>
            <w:tcW w:type="dxa" w:w="213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Obligatorio o requisito de titulación</w:t>
            </w:r>
          </w:p>
        </w:tc>
      </w:tr>
      <w:tr>
        <w:tc>
          <w:tcPr>
            <w:tcW w:type="dxa" w:w="140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Evaluación</w:t>
            </w:r>
          </w:p>
        </w:tc>
        <w:tc>
          <w:tcPr>
            <w:tcW w:type="dxa" w:w="150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Memorística</w:t>
            </w:r>
          </w:p>
        </w:tc>
        <w:tc>
          <w:tcPr>
            <w:tcW w:type="dxa" w:w="205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Por evidencias</w:t>
            </w:r>
          </w:p>
        </w:tc>
        <w:tc>
          <w:tcPr>
            <w:tcW w:type="dxa" w:w="197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Predominantemente tradicional</w:t>
            </w:r>
          </w:p>
        </w:tc>
        <w:tc>
          <w:tcPr>
            <w:tcW w:type="dxa" w:w="213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Por desempeño (NIE 6)</w:t>
            </w:r>
          </w:p>
        </w:tc>
      </w:tr>
      <w:tr>
        <w:tc>
          <w:tcPr>
            <w:tcW w:type="dxa" w:w="140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Salidas intermedias</w:t>
            </w:r>
          </w:p>
        </w:tc>
        <w:tc>
          <w:tcPr>
            <w:tcW w:type="dxa" w:w="150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Ausentes</w:t>
            </w:r>
          </w:p>
        </w:tc>
        <w:tc>
          <w:tcPr>
            <w:tcW w:type="dxa" w:w="205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Certificaciones articuladas con postgrado</w:t>
            </w:r>
          </w:p>
        </w:tc>
        <w:tc>
          <w:tcPr>
            <w:tcW w:type="dxa" w:w="197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Técnico Superior en algunas</w:t>
            </w:r>
          </w:p>
        </w:tc>
        <w:tc>
          <w:tcPr>
            <w:tcW w:type="dxa" w:w="213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Minors, microcredenciales, doble titulación</w:t>
            </w:r>
          </w:p>
        </w:tc>
      </w:tr>
    </w:tbl>
    <w:p>
      <w:pPr>
        <w:spacing w:before="0" w:after="120" w:line="240" w:lineRule="auto"/>
        <w:jc w:val="left"/>
      </w:pPr>
    </w:p>
    <w:p>
      <w:pPr>
        <w:spacing w:before="0" w:after="200" w:line="240" w:lineRule="auto"/>
        <w:jc w:val="both"/>
      </w:pPr>
      <w:r>
        <w:rPr>
          <w:rFonts w:ascii="Century Gothic" w:hAnsi="Century Gothic" w:cs="Century Gothic" w:eastAsia="Century Gothic"/>
          <w:b w:val="0"/>
          <w:i/>
          <w:sz w:val="20"/>
        </w:rPr>
        <w:t>Fuente: elaboración de la Comisión.</w:t>
      </w:r>
    </w:p>
    <w:p>
      <w:pPr>
        <w:spacing w:before="0" w:after="200" w:line="240" w:lineRule="auto"/>
        <w:jc w:val="both"/>
      </w:pPr>
      <w:r>
        <w:rPr>
          <w:rFonts w:ascii="Century Gothic" w:hAnsi="Century Gothic" w:cs="Century Gothic" w:eastAsia="Century Gothic"/>
          <w:b/>
          <w:i w:val="0"/>
          <w:sz w:val="20"/>
        </w:rPr>
        <w:t>Posicionamiento propuesto.</w:t>
      </w:r>
      <w:r>
        <w:rPr>
          <w:rFonts w:ascii="Century Gothic" w:hAnsi="Century Gothic" w:cs="Century Gothic" w:eastAsia="Century Gothic"/>
          <w:b w:val="0"/>
          <w:i w:val="0"/>
          <w:sz w:val="20"/>
        </w:rPr>
        <w:t xml:space="preserve"> El rediseño orienta a la Carrera a formar </w:t>
      </w:r>
      <w:r>
        <w:rPr>
          <w:rFonts w:ascii="Century Gothic" w:hAnsi="Century Gothic" w:cs="Century Gothic" w:eastAsia="Century Gothic"/>
          <w:b/>
          <w:i w:val="0"/>
          <w:sz w:val="20"/>
        </w:rPr>
        <w:t>el Contador Público Autorizado de referencia nacional en el aseguramiento de información financiera y no financiera, con dominio tecnológico aplicado y rigor ético, alineado a estándares internacionales y vinculado al sector productivo e institucional del país</w:t>
      </w:r>
      <w:r>
        <w:rPr>
          <w:rFonts w:ascii="Century Gothic" w:hAnsi="Century Gothic" w:cs="Century Gothic" w:eastAsia="Century Gothic"/>
          <w:b w:val="0"/>
          <w:i w:val="0"/>
          <w:sz w:val="20"/>
        </w:rPr>
        <w:t>. Lo sostienen tres atributos: la amplitud del bloque de aseguramiento, ampliado a la sostenibilidad; la integración transversal de la tecnología; y la articulación vertical con el postgrado de la Facultad.</w:t>
      </w:r>
    </w:p>
    <w:p>
      <w:pPr>
        <w:keepNext/>
        <w:spacing w:before="120" w:after="200" w:line="240" w:lineRule="auto"/>
        <w:jc w:val="left"/>
      </w:pPr>
      <w:r>
        <w:rPr>
          <w:rFonts w:ascii="Century Gothic" w:hAnsi="Century Gothic" w:cs="Century Gothic" w:eastAsia="Century Gothic"/>
          <w:b/>
          <w:i w:val="0"/>
          <w:sz w:val="24"/>
        </w:rPr>
        <w:t>Síntesis: necesidades de formación y decisión</w:t>
      </w:r>
    </w:p>
    <w:p>
      <w:pPr>
        <w:spacing w:before="0" w:after="200" w:line="240" w:lineRule="auto"/>
        <w:jc w:val="both"/>
      </w:pPr>
      <w:r>
        <w:rPr>
          <w:rFonts w:ascii="Century Gothic" w:hAnsi="Century Gothic" w:cs="Century Gothic" w:eastAsia="Century Gothic"/>
          <w:b/>
          <w:i w:val="0"/>
          <w:sz w:val="20"/>
        </w:rPr>
        <w:t>Cuadro 32. Necesidades de formación que se derivan de la justificación</w:t>
      </w:r>
    </w:p>
    <w:tbl>
      <w:tblPr>
        <w:tblW w:type="auto" w:w="0"/>
        <w:jc w:val="center"/>
        <w:tblLayout w:type="fixed"/>
        <w:tblLook w:firstColumn="1" w:firstRow="1" w:lastColumn="0" w:lastRow="0" w:noHBand="0" w:noVBand="1" w:val="04A0"/>
      </w:tblPr>
      <w:tblGrid>
        <w:gridCol w:w="3155"/>
        <w:gridCol w:w="3098"/>
        <w:gridCol w:w="1241"/>
        <w:gridCol w:w="1577"/>
      </w:tblGrid>
      <w:tr>
        <w:trPr>
          <w:tblHeader/>
        </w:trPr>
        <w:tc>
          <w:tcPr>
            <w:tcW w:type="dxa" w:w="3155"/>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20"/>
              </w:rPr>
              <w:t>Necesidad de formación</w:t>
            </w:r>
          </w:p>
        </w:tc>
        <w:tc>
          <w:tcPr>
            <w:tcW w:type="dxa" w:w="3098"/>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20"/>
              </w:rPr>
              <w:t>Evidencia principal</w:t>
            </w:r>
          </w:p>
        </w:tc>
        <w:tc>
          <w:tcPr>
            <w:tcW w:type="dxa" w:w="1241"/>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20"/>
              </w:rPr>
              <w:t>Subpunto</w:t>
            </w:r>
          </w:p>
        </w:tc>
        <w:tc>
          <w:tcPr>
            <w:tcW w:type="dxa" w:w="1577"/>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20"/>
              </w:rPr>
              <w:t>Dimensión del perfil</w:t>
            </w:r>
          </w:p>
        </w:tc>
      </w:tr>
      <w:tr>
        <w:tc>
          <w:tcPr>
            <w:tcW w:type="dxa" w:w="315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 xml:space="preserve">Perfil de </w:t>
            </w:r>
            <w:r>
              <w:rPr>
                <w:rFonts w:ascii="Century Gothic" w:hAnsi="Century Gothic" w:cs="Century Gothic" w:eastAsia="Century Gothic"/>
                <w:b/>
                <w:i w:val="0"/>
                <w:sz w:val="20"/>
              </w:rPr>
              <w:t>Contador Público Autorizado</w:t>
            </w:r>
          </w:p>
        </w:tc>
        <w:tc>
          <w:tcPr>
            <w:tcW w:type="dxa" w:w="309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Res. 07/2024; desalineamiento con el SUB</w:t>
            </w:r>
          </w:p>
        </w:tc>
        <w:tc>
          <w:tcPr>
            <w:tcW w:type="dxa" w:w="1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3.2, 3.5</w:t>
            </w:r>
          </w:p>
        </w:tc>
        <w:tc>
          <w:tcPr>
            <w:tcW w:type="dxa" w:w="157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Perfil de egreso</w:t>
            </w:r>
          </w:p>
        </w:tc>
      </w:tr>
      <w:tr>
        <w:tc>
          <w:tcPr>
            <w:tcW w:type="dxa" w:w="315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i w:val="0"/>
                <w:sz w:val="20"/>
              </w:rPr>
              <w:t>Conservar y actualizar</w:t>
            </w:r>
            <w:r>
              <w:rPr>
                <w:rFonts w:ascii="Century Gothic" w:hAnsi="Century Gothic" w:cs="Century Gothic" w:eastAsia="Century Gothic"/>
                <w:b w:val="0"/>
                <w:i w:val="0"/>
                <w:sz w:val="20"/>
              </w:rPr>
              <w:t xml:space="preserve"> el núcleo contable, tributario y de auditoría</w:t>
            </w:r>
          </w:p>
        </w:tc>
        <w:tc>
          <w:tcPr>
            <w:tcW w:type="dxa" w:w="309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65 % pertinencia de Contabilidad Básica; NIIF PYMES 3ª ed.; NIA 315 rev.; NIA-ELC</w:t>
            </w:r>
          </w:p>
        </w:tc>
        <w:tc>
          <w:tcPr>
            <w:tcW w:type="dxa" w:w="1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3.1, 3.2</w:t>
            </w:r>
          </w:p>
        </w:tc>
        <w:tc>
          <w:tcPr>
            <w:tcW w:type="dxa" w:w="157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Saber conocer</w:t>
            </w:r>
          </w:p>
        </w:tc>
      </w:tr>
      <w:tr>
        <w:tc>
          <w:tcPr>
            <w:tcW w:type="dxa" w:w="315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i w:val="0"/>
                <w:sz w:val="20"/>
              </w:rPr>
              <w:t>Información y aseguramiento de sostenibilidad</w:t>
            </w:r>
          </w:p>
        </w:tc>
        <w:tc>
          <w:tcPr>
            <w:tcW w:type="dxa" w:w="309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CTNAC 01/2024 (2027); NIEA 5000</w:t>
            </w:r>
          </w:p>
        </w:tc>
        <w:tc>
          <w:tcPr>
            <w:tcW w:type="dxa" w:w="1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3.2, 3.4</w:t>
            </w:r>
          </w:p>
        </w:tc>
        <w:tc>
          <w:tcPr>
            <w:tcW w:type="dxa" w:w="157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Saber conocer</w:t>
            </w:r>
          </w:p>
        </w:tc>
      </w:tr>
      <w:tr>
        <w:tc>
          <w:tcPr>
            <w:tcW w:type="dxa" w:w="315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i w:val="0"/>
                <w:sz w:val="20"/>
              </w:rPr>
              <w:t>Eje tecnológico transversal</w:t>
            </w:r>
            <w:r>
              <w:rPr>
                <w:rFonts w:ascii="Century Gothic" w:hAnsi="Century Gothic" w:cs="Century Gothic" w:eastAsia="Century Gothic"/>
                <w:b w:val="0"/>
                <w:i w:val="0"/>
                <w:sz w:val="20"/>
              </w:rPr>
              <w:t xml:space="preserve"> (operar, auditar, juzgar)</w:t>
            </w:r>
          </w:p>
        </w:tc>
        <w:tc>
          <w:tcPr>
            <w:tcW w:type="dxa" w:w="309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Brecha de 43–51 pp; 5 % recibió software/ERP; IA 9 % → 41 %</w:t>
            </w:r>
          </w:p>
        </w:tc>
        <w:tc>
          <w:tcPr>
            <w:tcW w:type="dxa" w:w="1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3.1, 3.3, 3.4</w:t>
            </w:r>
          </w:p>
        </w:tc>
        <w:tc>
          <w:tcPr>
            <w:tcW w:type="dxa" w:w="157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Saber hacer</w:t>
            </w:r>
          </w:p>
        </w:tc>
      </w:tr>
      <w:tr>
        <w:tc>
          <w:tcPr>
            <w:tcW w:type="dxa" w:w="315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i w:val="0"/>
                <w:sz w:val="20"/>
              </w:rPr>
              <w:t>Prácticas preprofesionales</w:t>
            </w:r>
            <w:r>
              <w:rPr>
                <w:rFonts w:ascii="Century Gothic" w:hAnsi="Century Gothic" w:cs="Century Gothic" w:eastAsia="Century Gothic"/>
                <w:b w:val="0"/>
                <w:i w:val="0"/>
                <w:sz w:val="20"/>
              </w:rPr>
              <w:t xml:space="preserve"> obligatorias desde tercer año</w:t>
            </w:r>
          </w:p>
        </w:tc>
        <w:tc>
          <w:tcPr>
            <w:tcW w:type="dxa" w:w="309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Art. 8 Res. HCU 032/2025; 88 % las respalda; Trabajo Dirigido −75,89 %</w:t>
            </w:r>
          </w:p>
        </w:tc>
        <w:tc>
          <w:tcPr>
            <w:tcW w:type="dxa" w:w="1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3.1, 3.3</w:t>
            </w:r>
          </w:p>
        </w:tc>
        <w:tc>
          <w:tcPr>
            <w:tcW w:type="dxa" w:w="157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Saber hacer</w:t>
            </w:r>
          </w:p>
        </w:tc>
      </w:tr>
      <w:tr>
        <w:tc>
          <w:tcPr>
            <w:tcW w:type="dxa" w:w="315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i w:val="0"/>
                <w:sz w:val="20"/>
              </w:rPr>
              <w:t>Reorientar el área cuantitativa</w:t>
            </w:r>
            <w:r>
              <w:rPr>
                <w:rFonts w:ascii="Century Gothic" w:hAnsi="Century Gothic" w:cs="Century Gothic" w:eastAsia="Century Gothic"/>
                <w:b w:val="0"/>
                <w:i w:val="0"/>
                <w:sz w:val="20"/>
              </w:rPr>
              <w:t xml:space="preserve"> hacia matemática financiera, estadística y analítica</w:t>
            </w:r>
          </w:p>
        </w:tc>
        <w:tc>
          <w:tcPr>
            <w:tcW w:type="dxa" w:w="309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Álgebra (42 %), Cálculo (33 %) y Actuariales (29 %), las menos pertinentes</w:t>
            </w:r>
          </w:p>
        </w:tc>
        <w:tc>
          <w:tcPr>
            <w:tcW w:type="dxa" w:w="1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3.1</w:t>
            </w:r>
          </w:p>
        </w:tc>
        <w:tc>
          <w:tcPr>
            <w:tcW w:type="dxa" w:w="157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Saber hacer</w:t>
            </w:r>
          </w:p>
        </w:tc>
      </w:tr>
      <w:tr>
        <w:tc>
          <w:tcPr>
            <w:tcW w:type="dxa" w:w="315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i w:val="0"/>
                <w:sz w:val="20"/>
              </w:rPr>
              <w:t>Liderazgo, gestión y comunicación</w:t>
            </w:r>
            <w:r>
              <w:rPr>
                <w:rFonts w:ascii="Century Gothic" w:hAnsi="Century Gothic" w:cs="Century Gothic" w:eastAsia="Century Gothic"/>
                <w:b w:val="0"/>
                <w:i w:val="0"/>
                <w:sz w:val="20"/>
              </w:rPr>
              <w:t xml:space="preserve"> evaluables</w:t>
            </w:r>
          </w:p>
        </w:tc>
        <w:tc>
          <w:tcPr>
            <w:tcW w:type="dxa" w:w="309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0 % en cargos gerenciales; brechas de 37–40 pp</w:t>
            </w:r>
          </w:p>
        </w:tc>
        <w:tc>
          <w:tcPr>
            <w:tcW w:type="dxa" w:w="1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3.3</w:t>
            </w:r>
          </w:p>
        </w:tc>
        <w:tc>
          <w:tcPr>
            <w:tcW w:type="dxa" w:w="157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Saber ser y convivir</w:t>
            </w:r>
          </w:p>
        </w:tc>
      </w:tr>
      <w:tr>
        <w:tc>
          <w:tcPr>
            <w:tcW w:type="dxa" w:w="315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i w:val="0"/>
                <w:sz w:val="20"/>
              </w:rPr>
              <w:t>Ética transversal</w:t>
            </w:r>
            <w:r>
              <w:rPr>
                <w:rFonts w:ascii="Century Gothic" w:hAnsi="Century Gothic" w:cs="Century Gothic" w:eastAsia="Century Gothic"/>
                <w:b w:val="0"/>
                <w:i w:val="0"/>
                <w:sz w:val="20"/>
              </w:rPr>
              <w:t xml:space="preserve"> (Código IESBA)</w:t>
            </w:r>
          </w:p>
        </w:tc>
        <w:tc>
          <w:tcPr>
            <w:tcW w:type="dxa" w:w="309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CTNAC 01/2020; NIE 4</w:t>
            </w:r>
          </w:p>
        </w:tc>
        <w:tc>
          <w:tcPr>
            <w:tcW w:type="dxa" w:w="1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3.2</w:t>
            </w:r>
          </w:p>
        </w:tc>
        <w:tc>
          <w:tcPr>
            <w:tcW w:type="dxa" w:w="157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Saber ser y convivir</w:t>
            </w:r>
          </w:p>
        </w:tc>
      </w:tr>
      <w:tr>
        <w:tc>
          <w:tcPr>
            <w:tcW w:type="dxa" w:w="315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i w:val="0"/>
                <w:sz w:val="20"/>
              </w:rPr>
              <w:t>Inglés técnico contable</w:t>
            </w:r>
          </w:p>
        </w:tc>
        <w:tc>
          <w:tcPr>
            <w:tcW w:type="dxa" w:w="309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89 % / 83 % (FODA); referentes internacionales</w:t>
            </w:r>
          </w:p>
        </w:tc>
        <w:tc>
          <w:tcPr>
            <w:tcW w:type="dxa" w:w="1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3.3, 3.5</w:t>
            </w:r>
          </w:p>
        </w:tc>
        <w:tc>
          <w:tcPr>
            <w:tcW w:type="dxa" w:w="157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Saber ser y convivir</w:t>
            </w:r>
          </w:p>
        </w:tc>
      </w:tr>
      <w:tr>
        <w:tc>
          <w:tcPr>
            <w:tcW w:type="dxa" w:w="315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i w:val="0"/>
                <w:sz w:val="20"/>
              </w:rPr>
              <w:t>Evaluación auténtica</w:t>
            </w:r>
            <w:r>
              <w:rPr>
                <w:rFonts w:ascii="Century Gothic" w:hAnsi="Century Gothic" w:cs="Century Gothic" w:eastAsia="Century Gothic"/>
                <w:b w:val="0"/>
                <w:i w:val="0"/>
                <w:sz w:val="20"/>
              </w:rPr>
              <w:t xml:space="preserve"> y titulación integrada al último año</w:t>
            </w:r>
          </w:p>
        </w:tc>
        <w:tc>
          <w:tcPr>
            <w:tcW w:type="dxa" w:w="309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72,91 % titula por examen; 21 % sin título</w:t>
            </w:r>
          </w:p>
        </w:tc>
        <w:tc>
          <w:tcPr>
            <w:tcW w:type="dxa" w:w="1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3.1, 3.3</w:t>
            </w:r>
          </w:p>
        </w:tc>
        <w:tc>
          <w:tcPr>
            <w:tcW w:type="dxa" w:w="157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Estructura curricular</w:t>
            </w:r>
          </w:p>
        </w:tc>
      </w:tr>
      <w:tr>
        <w:tc>
          <w:tcPr>
            <w:tcW w:type="dxa" w:w="315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i w:val="0"/>
                <w:sz w:val="20"/>
              </w:rPr>
              <w:t>Investigación</w:t>
            </w:r>
            <w:r>
              <w:rPr>
                <w:rFonts w:ascii="Century Gothic" w:hAnsi="Century Gothic" w:cs="Century Gothic" w:eastAsia="Century Gothic"/>
                <w:b w:val="0"/>
                <w:i w:val="0"/>
                <w:sz w:val="20"/>
              </w:rPr>
              <w:t xml:space="preserve"> articulada con el IICCFA</w:t>
            </w:r>
          </w:p>
        </w:tc>
        <w:tc>
          <w:tcPr>
            <w:tcW w:type="dxa" w:w="309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0,21 % titula por tesis</w:t>
            </w:r>
          </w:p>
        </w:tc>
        <w:tc>
          <w:tcPr>
            <w:tcW w:type="dxa" w:w="1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3.1</w:t>
            </w:r>
          </w:p>
        </w:tc>
        <w:tc>
          <w:tcPr>
            <w:tcW w:type="dxa" w:w="157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Estructura curricular</w:t>
            </w:r>
          </w:p>
        </w:tc>
      </w:tr>
      <w:tr>
        <w:tc>
          <w:tcPr>
            <w:tcW w:type="dxa" w:w="315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i w:val="0"/>
                <w:sz w:val="20"/>
              </w:rPr>
              <w:t>Flexibilidad y certificaciones intermedias</w:t>
            </w:r>
          </w:p>
        </w:tc>
        <w:tc>
          <w:tcPr>
            <w:tcW w:type="dxa" w:w="309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85 % siente presión para abandonar; Art. 11 (articulación)</w:t>
            </w:r>
          </w:p>
        </w:tc>
        <w:tc>
          <w:tcPr>
            <w:tcW w:type="dxa" w:w="12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3.2, 3.3</w:t>
            </w:r>
          </w:p>
        </w:tc>
        <w:tc>
          <w:tcPr>
            <w:tcW w:type="dxa" w:w="157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Estructura curricular</w:t>
            </w:r>
          </w:p>
        </w:tc>
      </w:tr>
    </w:tbl>
    <w:p>
      <w:pPr>
        <w:spacing w:before="0" w:after="120" w:line="240" w:lineRule="auto"/>
        <w:jc w:val="left"/>
      </w:pPr>
    </w:p>
    <w:p>
      <w:pPr>
        <w:keepNext/>
        <w:spacing w:before="40" w:after="200" w:line="240" w:lineRule="auto"/>
        <w:jc w:val="left"/>
      </w:pPr>
      <w:r>
        <w:rPr>
          <w:rFonts w:ascii="Century Gothic" w:hAnsi="Century Gothic" w:cs="Century Gothic" w:eastAsia="Century Gothic"/>
          <w:b/>
          <w:i w:val="0"/>
          <w:sz w:val="22"/>
        </w:rPr>
        <w:t>Condiciones de implementación</w:t>
      </w:r>
    </w:p>
    <w:p>
      <w:pPr>
        <w:spacing w:before="0" w:after="200" w:line="240" w:lineRule="auto"/>
        <w:jc w:val="both"/>
      </w:pPr>
      <w:r>
        <w:rPr>
          <w:rFonts w:ascii="Century Gothic" w:hAnsi="Century Gothic" w:cs="Century Gothic" w:eastAsia="Century Gothic"/>
          <w:b w:val="0"/>
          <w:i w:val="0"/>
          <w:sz w:val="20"/>
        </w:rPr>
        <w:t xml:space="preserve">El rediseño se implementa en un contexto fiscal restrictivo, por lo que su viabilidad descansa en la </w:t>
      </w:r>
      <w:r>
        <w:rPr>
          <w:rFonts w:ascii="Century Gothic" w:hAnsi="Century Gothic" w:cs="Century Gothic" w:eastAsia="Century Gothic"/>
          <w:b/>
          <w:i w:val="0"/>
          <w:sz w:val="20"/>
        </w:rPr>
        <w:t>gradualidad</w:t>
      </w:r>
      <w:r>
        <w:rPr>
          <w:rFonts w:ascii="Century Gothic" w:hAnsi="Century Gothic" w:cs="Century Gothic" w:eastAsia="Century Gothic"/>
          <w:b w:val="0"/>
          <w:i w:val="0"/>
          <w:sz w:val="20"/>
        </w:rPr>
        <w:t xml:space="preserve"> (implementación por cohortes desde el primer año), el </w:t>
      </w:r>
      <w:r>
        <w:rPr>
          <w:rFonts w:ascii="Century Gothic" w:hAnsi="Century Gothic" w:cs="Century Gothic" w:eastAsia="Century Gothic"/>
          <w:b/>
          <w:i w:val="0"/>
          <w:sz w:val="20"/>
        </w:rPr>
        <w:t>bajo costo marginal</w:t>
      </w:r>
      <w:r>
        <w:rPr>
          <w:rFonts w:ascii="Century Gothic" w:hAnsi="Century Gothic" w:cs="Century Gothic" w:eastAsia="Century Gothic"/>
          <w:b w:val="0"/>
          <w:i w:val="0"/>
          <w:sz w:val="20"/>
        </w:rPr>
        <w:t xml:space="preserve"> del componente tecnológico (software de licencia académica o de código abierto), la </w:t>
      </w:r>
      <w:r>
        <w:rPr>
          <w:rFonts w:ascii="Century Gothic" w:hAnsi="Century Gothic" w:cs="Century Gothic" w:eastAsia="Century Gothic"/>
          <w:b/>
          <w:i w:val="0"/>
          <w:sz w:val="20"/>
        </w:rPr>
        <w:t>redistribución</w:t>
      </w:r>
      <w:r>
        <w:rPr>
          <w:rFonts w:ascii="Century Gothic" w:hAnsi="Century Gothic" w:cs="Century Gothic" w:eastAsia="Century Gothic"/>
          <w:b w:val="0"/>
          <w:i w:val="0"/>
          <w:sz w:val="20"/>
        </w:rPr>
        <w:t xml:space="preserve"> de carga dentro de las 6.000 horas y las </w:t>
      </w:r>
      <w:r>
        <w:rPr>
          <w:rFonts w:ascii="Century Gothic" w:hAnsi="Century Gothic" w:cs="Century Gothic" w:eastAsia="Century Gothic"/>
          <w:b/>
          <w:i w:val="0"/>
          <w:sz w:val="20"/>
        </w:rPr>
        <w:t>alianzas</w:t>
      </w:r>
      <w:r>
        <w:rPr>
          <w:rFonts w:ascii="Century Gothic" w:hAnsi="Century Gothic" w:cs="Century Gothic" w:eastAsia="Century Gothic"/>
          <w:b w:val="0"/>
          <w:i w:val="0"/>
          <w:sz w:val="20"/>
        </w:rPr>
        <w:t xml:space="preserve"> con el CAUB, firmas de auditoría, entidades públicas y proveedores de software. La restricción más severa es la masificación:</w:t>
      </w:r>
    </w:p>
    <w:p>
      <w:pPr>
        <w:spacing w:before="0" w:after="200" w:line="240" w:lineRule="auto"/>
        <w:jc w:val="both"/>
      </w:pPr>
      <w:r>
        <w:rPr>
          <w:rFonts w:ascii="Century Gothic" w:hAnsi="Century Gothic" w:cs="Century Gothic" w:eastAsia="Century Gothic"/>
          <w:b/>
          <w:i w:val="0"/>
          <w:sz w:val="20"/>
        </w:rPr>
        <w:t>Cuadro 33. Paralelos requeridos según escenarios de estudiantes por paralelo</w:t>
      </w:r>
    </w:p>
    <w:tbl>
      <w:tblPr>
        <w:tblW w:type="auto" w:w="0"/>
        <w:jc w:val="center"/>
        <w:tblLayout w:type="fixed"/>
        <w:tblLook w:firstColumn="1" w:firstRow="1" w:lastColumn="0" w:lastRow="0" w:noHBand="0" w:noVBand="1" w:val="04A0"/>
      </w:tblPr>
      <w:tblGrid>
        <w:gridCol w:w="1918"/>
        <w:gridCol w:w="2511"/>
        <w:gridCol w:w="2292"/>
        <w:gridCol w:w="2349"/>
      </w:tblGrid>
      <w:tr>
        <w:trPr>
          <w:tblHeader/>
        </w:trPr>
        <w:tc>
          <w:tcPr>
            <w:tcW w:type="dxa" w:w="1918"/>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20"/>
              </w:rPr>
              <w:t>Escenario</w:t>
            </w:r>
          </w:p>
        </w:tc>
        <w:tc>
          <w:tcPr>
            <w:tcW w:type="dxa" w:w="2511"/>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20"/>
              </w:rPr>
              <w:t>Estudiantes por paralelo</w:t>
            </w:r>
          </w:p>
        </w:tc>
        <w:tc>
          <w:tcPr>
            <w:tcW w:type="dxa" w:w="2292"/>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20"/>
              </w:rPr>
              <w:t>Paralelos requeridos</w:t>
            </w:r>
          </w:p>
        </w:tc>
        <w:tc>
          <w:tcPr>
            <w:tcW w:type="dxa" w:w="2349"/>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20"/>
              </w:rPr>
              <w:t>Paralelos adicionales</w:t>
            </w:r>
          </w:p>
        </w:tc>
      </w:tr>
      <w:tr>
        <w:tc>
          <w:tcPr>
            <w:tcW w:type="dxa" w:w="191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Situación 2023</w:t>
            </w:r>
          </w:p>
        </w:tc>
        <w:tc>
          <w:tcPr>
            <w:tcW w:type="dxa" w:w="251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109</w:t>
            </w:r>
          </w:p>
        </w:tc>
        <w:tc>
          <w:tcPr>
            <w:tcW w:type="dxa" w:w="229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208</w:t>
            </w:r>
          </w:p>
        </w:tc>
        <w:tc>
          <w:tcPr>
            <w:tcW w:type="dxa" w:w="234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w:t>
            </w:r>
          </w:p>
        </w:tc>
      </w:tr>
      <w:tr>
        <w:tc>
          <w:tcPr>
            <w:tcW w:type="dxa" w:w="191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Intermedio</w:t>
            </w:r>
          </w:p>
        </w:tc>
        <w:tc>
          <w:tcPr>
            <w:tcW w:type="dxa" w:w="251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80</w:t>
            </w:r>
          </w:p>
        </w:tc>
        <w:tc>
          <w:tcPr>
            <w:tcW w:type="dxa" w:w="229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284</w:t>
            </w:r>
          </w:p>
        </w:tc>
        <w:tc>
          <w:tcPr>
            <w:tcW w:type="dxa" w:w="234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+76</w:t>
            </w:r>
          </w:p>
        </w:tc>
      </w:tr>
      <w:tr>
        <w:tc>
          <w:tcPr>
            <w:tcW w:type="dxa" w:w="191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Objetivo</w:t>
            </w:r>
          </w:p>
        </w:tc>
        <w:tc>
          <w:tcPr>
            <w:tcW w:type="dxa" w:w="251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60</w:t>
            </w:r>
          </w:p>
        </w:tc>
        <w:tc>
          <w:tcPr>
            <w:tcW w:type="dxa" w:w="229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378</w:t>
            </w:r>
          </w:p>
        </w:tc>
        <w:tc>
          <w:tcPr>
            <w:tcW w:type="dxa" w:w="234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+170</w:t>
            </w:r>
          </w:p>
        </w:tc>
      </w:tr>
    </w:tbl>
    <w:p>
      <w:pPr>
        <w:spacing w:before="0" w:after="120" w:line="240" w:lineRule="auto"/>
        <w:jc w:val="left"/>
      </w:pPr>
    </w:p>
    <w:p>
      <w:pPr>
        <w:spacing w:before="0" w:after="200" w:line="240" w:lineRule="auto"/>
        <w:jc w:val="both"/>
      </w:pPr>
      <w:r>
        <w:rPr>
          <w:rFonts w:ascii="Century Gothic" w:hAnsi="Century Gothic" w:cs="Century Gothic" w:eastAsia="Century Gothic"/>
          <w:b w:val="0"/>
          <w:i/>
          <w:sz w:val="20"/>
        </w:rPr>
        <w:t>Cálculo de la Comisión: 22.641 inscripciones por asignatura y paralelo (2023) entre estudiantes por paralelo, redondeado al entero superior.</w:t>
      </w:r>
    </w:p>
    <w:p>
      <w:pPr>
        <w:spacing w:before="0" w:after="200" w:line="240" w:lineRule="auto"/>
        <w:jc w:val="both"/>
      </w:pPr>
      <w:r>
        <w:rPr>
          <w:rFonts w:ascii="Century Gothic" w:hAnsi="Century Gothic" w:cs="Century Gothic" w:eastAsia="Century Gothic"/>
          <w:b w:val="0"/>
          <w:i w:val="0"/>
          <w:sz w:val="20"/>
        </w:rPr>
        <w:t xml:space="preserve">Dado que el escenario objetivo no es financiable de inmediato, se propone </w:t>
      </w:r>
      <w:r>
        <w:rPr>
          <w:rFonts w:ascii="Century Gothic" w:hAnsi="Century Gothic" w:cs="Century Gothic" w:eastAsia="Century Gothic"/>
          <w:b/>
          <w:i w:val="0"/>
          <w:sz w:val="20"/>
        </w:rPr>
        <w:t>desdoblar únicamente los componentes prácticos y de laboratorio</w:t>
      </w:r>
      <w:r>
        <w:rPr>
          <w:rFonts w:ascii="Century Gothic" w:hAnsi="Century Gothic" w:cs="Century Gothic" w:eastAsia="Century Gothic"/>
          <w:b w:val="0"/>
          <w:i w:val="0"/>
          <w:sz w:val="20"/>
        </w:rPr>
        <w:t>, con apoyo de auxiliares de docencia, y trasladar parte de la carga a horas no presenciales con seguimiento en el campus virtual.</w:t>
      </w:r>
    </w:p>
    <w:p>
      <w:pPr>
        <w:spacing w:before="0" w:after="200" w:line="240" w:lineRule="auto"/>
        <w:jc w:val="both"/>
      </w:pPr>
      <w:r>
        <w:rPr>
          <w:rFonts w:ascii="Century Gothic" w:hAnsi="Century Gothic" w:cs="Century Gothic" w:eastAsia="Century Gothic"/>
          <w:b/>
          <w:i w:val="0"/>
          <w:sz w:val="20"/>
        </w:rPr>
        <w:t>Cuadro 34. Fases de implementación</w:t>
      </w:r>
    </w:p>
    <w:tbl>
      <w:tblPr>
        <w:tblW w:type="auto" w:w="0"/>
        <w:jc w:val="center"/>
        <w:tblLayout w:type="fixed"/>
        <w:tblLook w:firstColumn="1" w:firstRow="1" w:lastColumn="0" w:lastRow="0" w:noHBand="0" w:noVBand="1" w:val="04A0"/>
      </w:tblPr>
      <w:tblGrid>
        <w:gridCol w:w="2980"/>
        <w:gridCol w:w="6091"/>
      </w:tblGrid>
      <w:tr>
        <w:trPr>
          <w:tblHeader/>
        </w:trPr>
        <w:tc>
          <w:tcPr>
            <w:tcW w:type="dxa" w:w="2980"/>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20"/>
              </w:rPr>
              <w:t>Fase</w:t>
            </w:r>
          </w:p>
        </w:tc>
        <w:tc>
          <w:tcPr>
            <w:tcW w:type="dxa" w:w="6091"/>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20"/>
              </w:rPr>
              <w:t>Acciones principales</w:t>
            </w:r>
          </w:p>
        </w:tc>
      </w:tr>
      <w:tr>
        <w:tc>
          <w:tcPr>
            <w:tcW w:type="dxa" w:w="298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0. Aprobación</w:t>
            </w:r>
          </w:p>
        </w:tc>
        <w:tc>
          <w:tcPr>
            <w:tcW w:type="dxa" w:w="609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 xml:space="preserve">Evaluación </w:t>
            </w:r>
            <w:r>
              <w:rPr>
                <w:rFonts w:ascii="Century Gothic" w:hAnsi="Century Gothic" w:cs="Century Gothic" w:eastAsia="Century Gothic"/>
                <w:b w:val="0"/>
                <w:i/>
                <w:sz w:val="20"/>
              </w:rPr>
              <w:t>ex ante</w:t>
            </w:r>
            <w:r>
              <w:rPr>
                <w:rFonts w:ascii="Century Gothic" w:hAnsi="Century Gothic" w:cs="Century Gothic" w:eastAsia="Century Gothic"/>
                <w:b w:val="0"/>
                <w:i w:val="0"/>
                <w:sz w:val="20"/>
              </w:rPr>
              <w:t xml:space="preserve"> por Secretaría Académica; revisión del CAU; aprobación del HCU; cuadro de convalidación</w:t>
            </w:r>
          </w:p>
        </w:tc>
      </w:tr>
      <w:tr>
        <w:tc>
          <w:tcPr>
            <w:tcW w:type="dxa" w:w="298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1. Preparación</w:t>
            </w:r>
          </w:p>
        </w:tc>
        <w:tc>
          <w:tcPr>
            <w:tcW w:type="dxa" w:w="609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Formación docente en competencias, nuevas normas y herramientas; habilitación del laboratorio; convenios iniciales</w:t>
            </w:r>
          </w:p>
        </w:tc>
      </w:tr>
      <w:tr>
        <w:tc>
          <w:tcPr>
            <w:tcW w:type="dxa" w:w="298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2. Implementación progresiva</w:t>
            </w:r>
          </w:p>
        </w:tc>
        <w:tc>
          <w:tcPr>
            <w:tcW w:type="dxa" w:w="609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Ingreso de la primera cohorte; implementación año por año; prácticas desde tercer año; complementación anual (Art. 7)</w:t>
            </w:r>
          </w:p>
        </w:tc>
      </w:tr>
      <w:tr>
        <w:tc>
          <w:tcPr>
            <w:tcW w:type="dxa" w:w="298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3. Extinción del Plan 2013</w:t>
            </w:r>
          </w:p>
        </w:tc>
        <w:tc>
          <w:tcPr>
            <w:tcW w:type="dxa" w:w="609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Continuidad de las cohortes vigentes hasta su conclusión; convalidación para quienes migren; garantía de no perjuicio</w:t>
            </w:r>
          </w:p>
        </w:tc>
      </w:tr>
      <w:tr>
        <w:tc>
          <w:tcPr>
            <w:tcW w:type="dxa" w:w="298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4. Evaluación</w:t>
            </w:r>
          </w:p>
        </w:tc>
        <w:tc>
          <w:tcPr>
            <w:tcW w:type="dxa" w:w="609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Seguimiento de titulados y observatorio de egresados y empleadores</w:t>
            </w:r>
          </w:p>
        </w:tc>
      </w:tr>
    </w:tbl>
    <w:p>
      <w:pPr>
        <w:spacing w:before="0" w:after="120" w:line="240" w:lineRule="auto"/>
        <w:jc w:val="left"/>
      </w:pPr>
    </w:p>
    <w:p>
      <w:pPr>
        <w:spacing w:before="0" w:after="200" w:line="240" w:lineRule="auto"/>
        <w:jc w:val="both"/>
      </w:pPr>
      <w:r>
        <w:rPr>
          <w:rFonts w:ascii="Century Gothic" w:hAnsi="Century Gothic" w:cs="Century Gothic" w:eastAsia="Century Gothic"/>
          <w:b/>
          <w:i w:val="0"/>
          <w:sz w:val="20"/>
        </w:rPr>
        <w:t>Cuadro 35. Riesgos de implementación y medidas de mitigación</w:t>
      </w:r>
    </w:p>
    <w:tbl>
      <w:tblPr>
        <w:tblW w:type="auto" w:w="0"/>
        <w:jc w:val="center"/>
        <w:tblLayout w:type="fixed"/>
        <w:tblLook w:firstColumn="1" w:firstRow="1" w:lastColumn="0" w:lastRow="0" w:noHBand="0" w:noVBand="1" w:val="04A0"/>
      </w:tblPr>
      <w:tblGrid>
        <w:gridCol w:w="2777"/>
        <w:gridCol w:w="1403"/>
        <w:gridCol w:w="1134"/>
        <w:gridCol w:w="3756"/>
      </w:tblGrid>
      <w:tr>
        <w:trPr>
          <w:tblHeader/>
        </w:trPr>
        <w:tc>
          <w:tcPr>
            <w:tcW w:type="dxa" w:w="2777"/>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20"/>
              </w:rPr>
              <w:t>Riesgo</w:t>
            </w:r>
          </w:p>
        </w:tc>
        <w:tc>
          <w:tcPr>
            <w:tcW w:type="dxa" w:w="1403"/>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20"/>
              </w:rPr>
              <w:t>Probabilidad</w:t>
            </w:r>
          </w:p>
        </w:tc>
        <w:tc>
          <w:tcPr>
            <w:tcW w:type="dxa" w:w="1134"/>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20"/>
              </w:rPr>
              <w:t>Impacto</w:t>
            </w:r>
          </w:p>
        </w:tc>
        <w:tc>
          <w:tcPr>
            <w:tcW w:type="dxa" w:w="3756"/>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20"/>
              </w:rPr>
              <w:t>Mitigación</w:t>
            </w:r>
          </w:p>
        </w:tc>
      </w:tr>
      <w:tr>
        <w:tc>
          <w:tcPr>
            <w:tcW w:type="dxa" w:w="277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Restricción presupuestaria por el ajuste fiscal</w:t>
            </w:r>
          </w:p>
        </w:tc>
        <w:tc>
          <w:tcPr>
            <w:tcW w:type="dxa" w:w="140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Alta</w:t>
            </w:r>
          </w:p>
        </w:tc>
        <w:tc>
          <w:tcPr>
            <w:tcW w:type="dxa" w:w="113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Alto</w:t>
            </w:r>
          </w:p>
        </w:tc>
        <w:tc>
          <w:tcPr>
            <w:tcW w:type="dxa" w:w="375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Gradualidad; software sin costo de licencia; redistribución horaria; alianzas</w:t>
            </w:r>
          </w:p>
        </w:tc>
      </w:tr>
      <w:tr>
        <w:tc>
          <w:tcPr>
            <w:tcW w:type="dxa" w:w="277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Resistencia al cambio de modelo pedagógico</w:t>
            </w:r>
          </w:p>
        </w:tc>
        <w:tc>
          <w:tcPr>
            <w:tcW w:type="dxa" w:w="140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Media</w:t>
            </w:r>
          </w:p>
        </w:tc>
        <w:tc>
          <w:tcPr>
            <w:tcW w:type="dxa" w:w="113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Alto</w:t>
            </w:r>
          </w:p>
        </w:tc>
        <w:tc>
          <w:tcPr>
            <w:tcW w:type="dxa" w:w="375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Formación docente previa; acompañamiento; socialización participativa (Art. 3)</w:t>
            </w:r>
          </w:p>
        </w:tc>
      </w:tr>
      <w:tr>
        <w:tc>
          <w:tcPr>
            <w:tcW w:type="dxa" w:w="277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Insuficiencia de convenios para prácticas</w:t>
            </w:r>
          </w:p>
        </w:tc>
        <w:tc>
          <w:tcPr>
            <w:tcW w:type="dxa" w:w="140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Media</w:t>
            </w:r>
          </w:p>
        </w:tc>
        <w:tc>
          <w:tcPr>
            <w:tcW w:type="dxa" w:w="113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Alto</w:t>
            </w:r>
          </w:p>
        </w:tc>
        <w:tc>
          <w:tcPr>
            <w:tcW w:type="dxa" w:w="375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Unidad de vinculación; sector público como receptor; convenio marco con el CAUB</w:t>
            </w:r>
          </w:p>
        </w:tc>
      </w:tr>
      <w:tr>
        <w:tc>
          <w:tcPr>
            <w:tcW w:type="dxa" w:w="277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Masificación persistente</w:t>
            </w:r>
          </w:p>
        </w:tc>
        <w:tc>
          <w:tcPr>
            <w:tcW w:type="dxa" w:w="140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Alta</w:t>
            </w:r>
          </w:p>
        </w:tc>
        <w:tc>
          <w:tcPr>
            <w:tcW w:type="dxa" w:w="113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Alto</w:t>
            </w:r>
          </w:p>
        </w:tc>
        <w:tc>
          <w:tcPr>
            <w:tcW w:type="dxa" w:w="375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Desdoblamiento de componentes prácticos; auxiliares de docencia; horas no presenciales</w:t>
            </w:r>
          </w:p>
        </w:tc>
      </w:tr>
      <w:tr>
        <w:tc>
          <w:tcPr>
            <w:tcW w:type="dxa" w:w="277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Abandono por presión económica</w:t>
            </w:r>
          </w:p>
        </w:tc>
        <w:tc>
          <w:tcPr>
            <w:tcW w:type="dxa" w:w="140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Media</w:t>
            </w:r>
          </w:p>
        </w:tc>
        <w:tc>
          <w:tcPr>
            <w:tcW w:type="dxa" w:w="113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Medio</w:t>
            </w:r>
          </w:p>
        </w:tc>
        <w:tc>
          <w:tcPr>
            <w:tcW w:type="dxa" w:w="375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Turno nocturno; organización modular; certificaciones intermedias</w:t>
            </w:r>
          </w:p>
        </w:tc>
      </w:tr>
      <w:tr>
        <w:tc>
          <w:tcPr>
            <w:tcW w:type="dxa" w:w="277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Obsolescencia de contenidos tecnológicos</w:t>
            </w:r>
          </w:p>
        </w:tc>
        <w:tc>
          <w:tcPr>
            <w:tcW w:type="dxa" w:w="140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Alta</w:t>
            </w:r>
          </w:p>
        </w:tc>
        <w:tc>
          <w:tcPr>
            <w:tcW w:type="dxa" w:w="113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Medio</w:t>
            </w:r>
          </w:p>
        </w:tc>
        <w:tc>
          <w:tcPr>
            <w:tcW w:type="dxa" w:w="375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Complementación curricular anual (Art. 7); observatorio de egresados y empleadores</w:t>
            </w:r>
          </w:p>
        </w:tc>
      </w:tr>
    </w:tbl>
    <w:p>
      <w:pPr>
        <w:spacing w:before="0" w:after="120" w:line="240" w:lineRule="auto"/>
        <w:jc w:val="left"/>
      </w:pPr>
    </w:p>
    <w:p>
      <w:pPr>
        <w:spacing w:before="0" w:after="200" w:line="240" w:lineRule="auto"/>
        <w:jc w:val="both"/>
      </w:pPr>
      <w:r>
        <w:rPr>
          <w:rFonts w:ascii="Century Gothic" w:hAnsi="Century Gothic" w:cs="Century Gothic" w:eastAsia="Century Gothic"/>
          <w:b/>
          <w:i w:val="0"/>
          <w:sz w:val="20"/>
        </w:rPr>
        <w:t>Cuadro 36. Cumplimiento de los criterios específicos del Art. 12 (dimensión «Justificación»)</w:t>
      </w:r>
    </w:p>
    <w:tbl>
      <w:tblPr>
        <w:tblW w:type="auto" w:w="0"/>
        <w:jc w:val="center"/>
        <w:tblLayout w:type="fixed"/>
        <w:tblLook w:firstColumn="1" w:firstRow="1" w:lastColumn="0" w:lastRow="0" w:noHBand="0" w:noVBand="1" w:val="04A0"/>
      </w:tblPr>
      <w:tblGrid>
        <w:gridCol w:w="3234"/>
        <w:gridCol w:w="3063"/>
        <w:gridCol w:w="2773"/>
      </w:tblGrid>
      <w:tr>
        <w:trPr>
          <w:tblHeader/>
        </w:trPr>
        <w:tc>
          <w:tcPr>
            <w:tcW w:type="dxa" w:w="3234"/>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20"/>
              </w:rPr>
              <w:t>Exigencia del Art. 12</w:t>
            </w:r>
          </w:p>
        </w:tc>
        <w:tc>
          <w:tcPr>
            <w:tcW w:type="dxa" w:w="3063"/>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20"/>
              </w:rPr>
              <w:t>Dónde se cumple</w:t>
            </w:r>
          </w:p>
        </w:tc>
        <w:tc>
          <w:tcPr>
            <w:tcW w:type="dxa" w:w="2773"/>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20"/>
              </w:rPr>
              <w:t>Estado</w:t>
            </w:r>
          </w:p>
        </w:tc>
      </w:tr>
      <w:tr>
        <w:tc>
          <w:tcPr>
            <w:tcW w:type="dxa" w:w="323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Descripción de las mallas anteriores y de sus resultados</w:t>
            </w:r>
          </w:p>
        </w:tc>
        <w:tc>
          <w:tcPr>
            <w:tcW w:type="dxa" w:w="306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3.1 (malla, estructura, indicadores, percepción de egresados)</w:t>
            </w:r>
          </w:p>
        </w:tc>
        <w:tc>
          <w:tcPr>
            <w:tcW w:type="dxa" w:w="277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Cumplido; actualizar series a 2024–2025</w:t>
            </w:r>
          </w:p>
        </w:tc>
      </w:tr>
      <w:tr>
        <w:tc>
          <w:tcPr>
            <w:tcW w:type="dxa" w:w="323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Diagnóstico de políticas y normas</w:t>
            </w:r>
          </w:p>
        </w:tc>
        <w:tc>
          <w:tcPr>
            <w:tcW w:type="dxa" w:w="306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3.2</w:t>
            </w:r>
          </w:p>
        </w:tc>
        <w:tc>
          <w:tcPr>
            <w:tcW w:type="dxa" w:w="277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Cumplido</w:t>
            </w:r>
          </w:p>
        </w:tc>
      </w:tr>
      <w:tr>
        <w:tc>
          <w:tcPr>
            <w:tcW w:type="dxa" w:w="323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Diagnóstico del contexto social, económico y del mercado laboral</w:t>
            </w:r>
          </w:p>
        </w:tc>
        <w:tc>
          <w:tcPr>
            <w:tcW w:type="dxa" w:w="306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3.3</w:t>
            </w:r>
          </w:p>
        </w:tc>
        <w:tc>
          <w:tcPr>
            <w:tcW w:type="dxa" w:w="277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Cumplido; contrastar cifras de 2026 con originales</w:t>
            </w:r>
          </w:p>
        </w:tc>
      </w:tr>
      <w:tr>
        <w:tc>
          <w:tcPr>
            <w:tcW w:type="dxa" w:w="323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Familias laborales y empleadores</w:t>
            </w:r>
          </w:p>
        </w:tc>
        <w:tc>
          <w:tcPr>
            <w:tcW w:type="dxa" w:w="306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3.3 c)</w:t>
            </w:r>
          </w:p>
        </w:tc>
        <w:tc>
          <w:tcPr>
            <w:tcW w:type="dxa" w:w="277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Cumplido</w:t>
            </w:r>
          </w:p>
        </w:tc>
      </w:tr>
      <w:tr>
        <w:tc>
          <w:tcPr>
            <w:tcW w:type="dxa" w:w="323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Oferta similar nacional e internacional, con universidades nombradas</w:t>
            </w:r>
          </w:p>
        </w:tc>
        <w:tc>
          <w:tcPr>
            <w:tcW w:type="dxa" w:w="306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3.5</w:t>
            </w:r>
          </w:p>
        </w:tc>
        <w:tc>
          <w:tcPr>
            <w:tcW w:type="dxa" w:w="277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Cumplido</w:t>
            </w:r>
          </w:p>
        </w:tc>
      </w:tr>
      <w:tr>
        <w:tc>
          <w:tcPr>
            <w:tcW w:type="dxa" w:w="323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Vínculo con misión, perfil, competencias y contenidos</w:t>
            </w:r>
          </w:p>
        </w:tc>
        <w:tc>
          <w:tcPr>
            <w:tcW w:type="dxa" w:w="306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3.6 (necesidades de formación por dimensión del perfil)</w:t>
            </w:r>
          </w:p>
        </w:tc>
        <w:tc>
          <w:tcPr>
            <w:tcW w:type="dxa" w:w="277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Cumplido</w:t>
            </w:r>
          </w:p>
        </w:tc>
      </w:tr>
    </w:tbl>
    <w:p>
      <w:pPr>
        <w:spacing w:before="0" w:after="120" w:line="240" w:lineRule="auto"/>
        <w:jc w:val="left"/>
      </w:pPr>
    </w:p>
    <w:p>
      <w:pPr>
        <w:spacing w:before="0" w:after="200" w:line="240" w:lineRule="auto"/>
        <w:jc w:val="both"/>
      </w:pPr>
      <w:r>
        <w:rPr>
          <w:rFonts w:ascii="Century Gothic" w:hAnsi="Century Gothic" w:cs="Century Gothic" w:eastAsia="Century Gothic"/>
          <w:b/>
          <w:i w:val="0"/>
          <w:sz w:val="20"/>
        </w:rPr>
        <w:t>Decisión.</w:t>
      </w:r>
      <w:r>
        <w:rPr>
          <w:rFonts w:ascii="Century Gothic" w:hAnsi="Century Gothic" w:cs="Century Gothic" w:eastAsia="Century Gothic"/>
          <w:b w:val="0"/>
          <w:i w:val="0"/>
          <w:sz w:val="20"/>
        </w:rPr>
        <w:t xml:space="preserve"> Corresponde declarar la necesidad de </w:t>
      </w:r>
      <w:r>
        <w:rPr>
          <w:rFonts w:ascii="Century Gothic" w:hAnsi="Century Gothic" w:cs="Century Gothic" w:eastAsia="Century Gothic"/>
          <w:b/>
          <w:i w:val="0"/>
          <w:sz w:val="20"/>
        </w:rPr>
        <w:t>rediseño curricular</w:t>
      </w:r>
      <w:r>
        <w:rPr>
          <w:rFonts w:ascii="Century Gothic" w:hAnsi="Century Gothic" w:cs="Century Gothic" w:eastAsia="Century Gothic"/>
          <w:b w:val="0"/>
          <w:i w:val="0"/>
          <w:sz w:val="20"/>
        </w:rPr>
        <w:t xml:space="preserve"> de la Licenciatura en Contaduría Pública conforme al Art. 5 de la Resolución HCU 032/2025. Su viabilidad exige, como condiciones de implementación, un programa de formación docente previo, el incremento progresivo de docentes a tiempo completo en el área de Atestación, un laboratorio con software de licencia académica o abierta, el desdoblamiento de los componentes prácticos para reducir la relación de 109 estudiantes por paralelo, y una política de convenios para prácticas.</w:t>
      </w:r>
    </w:p>
    <w:p>
      <w:pPr>
        <w:spacing w:before="0" w:after="200" w:line="240" w:lineRule="auto"/>
        <w:jc w:val="both"/>
      </w:pPr>
      <w:r>
        <w:rPr>
          <w:rFonts w:ascii="Century Gothic" w:hAnsi="Century Gothic" w:cs="Century Gothic" w:eastAsia="Century Gothic"/>
          <w:b/>
          <w:i w:val="0"/>
          <w:sz w:val="20"/>
        </w:rPr>
        <w:t>Pendientes antes de la remisión a Secretaría Académica:</w:t>
      </w:r>
      <w:r>
        <w:rPr>
          <w:rFonts w:ascii="Century Gothic" w:hAnsi="Century Gothic" w:cs="Century Gothic" w:eastAsia="Century Gothic"/>
          <w:b w:val="0"/>
          <w:i w:val="0"/>
          <w:sz w:val="20"/>
        </w:rPr>
        <w:t xml:space="preserve"> actualizar las series institucionales a 2024–2025; unificar la cifra de planta docente (hoy aparece como 81, 108 y 201 según la fuente); contrastar con los documentos originales las cifras macroeconómicas de 2026 citadas a través de prensa; y alinear el documento de Perfil Profesional 2026 con las cifras de este punto (en particular, la brecha tecnológica de 43–51 pp en lugar de «93 %» y el 31 % de ejercicio independiente en lugar de 41 %).</w:t>
      </w:r>
    </w:p>
    <w:p>
      <w:pPr>
        <w:keepNext/>
        <w:spacing w:before="120" w:after="200" w:line="240" w:lineRule="auto"/>
        <w:jc w:val="left"/>
      </w:pPr>
      <w:r>
        <w:rPr>
          <w:rFonts w:ascii="Century Gothic" w:hAnsi="Century Gothic" w:cs="Century Gothic" w:eastAsia="Century Gothic"/>
          <w:b/>
          <w:i w:val="0"/>
          <w:sz w:val="24"/>
        </w:rPr>
        <w:t>Referencias</w:t>
      </w:r>
    </w:p>
    <w:p>
      <w:pPr>
        <w:spacing w:before="0" w:after="200" w:line="240" w:lineRule="auto"/>
        <w:jc w:val="both"/>
      </w:pPr>
      <w:r>
        <w:rPr>
          <w:rFonts w:ascii="Century Gothic" w:hAnsi="Century Gothic" w:cs="Century Gothic" w:eastAsia="Century Gothic"/>
          <w:b w:val="0"/>
          <w:i w:val="0"/>
          <w:sz w:val="20"/>
        </w:rPr>
        <w:t xml:space="preserve">AICPA &amp; CIMA. (2025). </w:t>
      </w:r>
      <w:r>
        <w:rPr>
          <w:rFonts w:ascii="Century Gothic" w:hAnsi="Century Gothic" w:cs="Century Gothic" w:eastAsia="Century Gothic"/>
          <w:b w:val="0"/>
          <w:i/>
          <w:sz w:val="20"/>
        </w:rPr>
        <w:t>Future-ready finance: Technology, productivity, and skills survey report</w:t>
      </w:r>
      <w:r>
        <w:rPr>
          <w:rFonts w:ascii="Century Gothic" w:hAnsi="Century Gothic" w:cs="Century Gothic" w:eastAsia="Century Gothic"/>
          <w:b w:val="0"/>
          <w:i w:val="0"/>
          <w:sz w:val="20"/>
        </w:rPr>
        <w:t>. https://www.aicpa-cima.com/news/article/ai-transformation-opens-door-for-finance-professionals-to-build-future-ready</w:t>
      </w:r>
    </w:p>
    <w:p>
      <w:pPr>
        <w:spacing w:before="0" w:after="200" w:line="240" w:lineRule="auto"/>
        <w:jc w:val="both"/>
      </w:pPr>
      <w:r>
        <w:rPr>
          <w:rFonts w:ascii="Century Gothic" w:hAnsi="Century Gothic" w:cs="Century Gothic" w:eastAsia="Century Gothic"/>
          <w:b w:val="0"/>
          <w:i w:val="0"/>
          <w:sz w:val="20"/>
        </w:rPr>
        <w:t xml:space="preserve">Autoridad de Supervisión del Sistema Financiero [ASFI]. (2025). </w:t>
      </w:r>
      <w:r>
        <w:rPr>
          <w:rFonts w:ascii="Century Gothic" w:hAnsi="Century Gothic" w:cs="Century Gothic" w:eastAsia="Century Gothic"/>
          <w:b w:val="0"/>
          <w:i/>
          <w:sz w:val="20"/>
        </w:rPr>
        <w:t>Transformación digital: el impulso de los medios electrónicos de pago en Bolivia</w:t>
      </w:r>
      <w:r>
        <w:rPr>
          <w:rFonts w:ascii="Century Gothic" w:hAnsi="Century Gothic" w:cs="Century Gothic" w:eastAsia="Century Gothic"/>
          <w:b w:val="0"/>
          <w:i w:val="0"/>
          <w:sz w:val="20"/>
        </w:rPr>
        <w:t>. https://www.asfi.gob.bo/sites/default/files/2025-07/Transformaci%C3%B3n%20digital%20El%20impulso%20de%20los%20medios%20electr%C3%B3nicos%20de%20pago%20en%20Bolivia.pdf</w:t>
      </w:r>
    </w:p>
    <w:p>
      <w:pPr>
        <w:spacing w:before="0" w:after="200" w:line="240" w:lineRule="auto"/>
        <w:jc w:val="both"/>
      </w:pPr>
      <w:r>
        <w:rPr>
          <w:rFonts w:ascii="Century Gothic" w:hAnsi="Century Gothic" w:cs="Century Gothic" w:eastAsia="Century Gothic"/>
          <w:b w:val="0"/>
          <w:i w:val="0"/>
          <w:sz w:val="20"/>
        </w:rPr>
        <w:t xml:space="preserve">Banco Central de Bolivia [BCB]. (2026). </w:t>
      </w:r>
      <w:r>
        <w:rPr>
          <w:rFonts w:ascii="Century Gothic" w:hAnsi="Century Gothic" w:cs="Century Gothic" w:eastAsia="Century Gothic"/>
          <w:b w:val="0"/>
          <w:i/>
          <w:sz w:val="20"/>
        </w:rPr>
        <w:t>Reporte de Inflación y Política Monetaria</w:t>
      </w:r>
      <w:r>
        <w:rPr>
          <w:rFonts w:ascii="Century Gothic" w:hAnsi="Century Gothic" w:cs="Century Gothic" w:eastAsia="Century Gothic"/>
          <w:b w:val="0"/>
          <w:i w:val="0"/>
          <w:sz w:val="20"/>
        </w:rPr>
        <w:t>, agosto (citado en Correo del Sur, 23-08-2026).</w:t>
      </w:r>
    </w:p>
    <w:p>
      <w:pPr>
        <w:spacing w:before="0" w:after="200" w:line="240" w:lineRule="auto"/>
        <w:jc w:val="both"/>
      </w:pPr>
      <w:r>
        <w:rPr>
          <w:rFonts w:ascii="Century Gothic" w:hAnsi="Century Gothic" w:cs="Century Gothic" w:eastAsia="Century Gothic"/>
          <w:b w:val="0"/>
          <w:i w:val="0"/>
          <w:sz w:val="20"/>
        </w:rPr>
        <w:t xml:space="preserve">Carrera de Contaduría Pública, UMSA. (2013). </w:t>
      </w:r>
      <w:r>
        <w:rPr>
          <w:rFonts w:ascii="Century Gothic" w:hAnsi="Century Gothic" w:cs="Century Gothic" w:eastAsia="Century Gothic"/>
          <w:b w:val="0"/>
          <w:i/>
          <w:sz w:val="20"/>
        </w:rPr>
        <w:t>Documento Académico «Diseño Curricular 2013»</w:t>
      </w:r>
      <w:r>
        <w:rPr>
          <w:rFonts w:ascii="Century Gothic" w:hAnsi="Century Gothic" w:cs="Century Gothic" w:eastAsia="Century Gothic"/>
          <w:b w:val="0"/>
          <w:i w:val="0"/>
          <w:sz w:val="20"/>
        </w:rPr>
        <w:t>. Res. HCU N° 025/2013.</w:t>
      </w:r>
    </w:p>
    <w:p>
      <w:pPr>
        <w:spacing w:before="0" w:after="200" w:line="240" w:lineRule="auto"/>
        <w:jc w:val="both"/>
      </w:pPr>
      <w:r>
        <w:rPr>
          <w:rFonts w:ascii="Century Gothic" w:hAnsi="Century Gothic" w:cs="Century Gothic" w:eastAsia="Century Gothic"/>
          <w:b w:val="0"/>
          <w:i w:val="0"/>
          <w:sz w:val="20"/>
        </w:rPr>
        <w:t xml:space="preserve">Carrera de Contaduría Pública, UMSA. (2026). </w:t>
      </w:r>
      <w:r>
        <w:rPr>
          <w:rFonts w:ascii="Century Gothic" w:hAnsi="Century Gothic" w:cs="Century Gothic" w:eastAsia="Century Gothic"/>
          <w:b w:val="0"/>
          <w:i/>
          <w:sz w:val="20"/>
        </w:rPr>
        <w:t>Diseño curricular: Visión, Misión, Objetivos y Perfil Profesional</w:t>
      </w:r>
      <w:r>
        <w:rPr>
          <w:rFonts w:ascii="Century Gothic" w:hAnsi="Century Gothic" w:cs="Century Gothic" w:eastAsia="Century Gothic"/>
          <w:b w:val="0"/>
          <w:i w:val="0"/>
          <w:sz w:val="20"/>
        </w:rPr>
        <w:t>.</w:t>
      </w:r>
    </w:p>
    <w:p>
      <w:pPr>
        <w:spacing w:before="0" w:after="200" w:line="240" w:lineRule="auto"/>
        <w:jc w:val="both"/>
      </w:pPr>
      <w:r>
        <w:rPr>
          <w:rFonts w:ascii="Century Gothic" w:hAnsi="Century Gothic" w:cs="Century Gothic" w:eastAsia="Century Gothic"/>
          <w:b w:val="0"/>
          <w:i w:val="0"/>
          <w:sz w:val="20"/>
        </w:rPr>
        <w:t xml:space="preserve">Colegio de Auditores o Contadores Públicos de Bolivia [CAUB]. (2021). </w:t>
      </w:r>
      <w:r>
        <w:rPr>
          <w:rFonts w:ascii="Century Gothic" w:hAnsi="Century Gothic" w:cs="Century Gothic" w:eastAsia="Century Gothic"/>
          <w:b w:val="0"/>
          <w:i/>
          <w:sz w:val="20"/>
        </w:rPr>
        <w:t>Marco normativo legal y profesional del Contador Público</w:t>
      </w:r>
      <w:r>
        <w:rPr>
          <w:rFonts w:ascii="Century Gothic" w:hAnsi="Century Gothic" w:cs="Century Gothic" w:eastAsia="Century Gothic"/>
          <w:b w:val="0"/>
          <w:i w:val="0"/>
          <w:sz w:val="20"/>
        </w:rPr>
        <w:t>. https://auditorescontadorestarija.org/wp-content/uploads/2023/09/0.-Marco-normativo-legal-y-profesional-CP-CAUB0.pdf</w:t>
      </w:r>
    </w:p>
    <w:p>
      <w:pPr>
        <w:spacing w:before="0" w:after="200" w:line="240" w:lineRule="auto"/>
        <w:jc w:val="both"/>
      </w:pPr>
      <w:r>
        <w:rPr>
          <w:rFonts w:ascii="Century Gothic" w:hAnsi="Century Gothic" w:cs="Century Gothic" w:eastAsia="Century Gothic"/>
          <w:b w:val="0"/>
          <w:i w:val="0"/>
          <w:sz w:val="20"/>
        </w:rPr>
        <w:t xml:space="preserve">Comité Ejecutivo de la Universidad Boliviana [CEUB]. (s. f.). </w:t>
      </w:r>
      <w:r>
        <w:rPr>
          <w:rFonts w:ascii="Century Gothic" w:hAnsi="Century Gothic" w:cs="Century Gothic" w:eastAsia="Century Gothic"/>
          <w:b w:val="0"/>
          <w:i/>
          <w:sz w:val="20"/>
        </w:rPr>
        <w:t>Norma de Innovación Curricular del Sistema de la Universidad Boliviana</w:t>
      </w:r>
      <w:r>
        <w:rPr>
          <w:rFonts w:ascii="Century Gothic" w:hAnsi="Century Gothic" w:cs="Century Gothic" w:eastAsia="Century Gothic"/>
          <w:b w:val="0"/>
          <w:i w:val="0"/>
          <w:sz w:val="20"/>
        </w:rPr>
        <w:t>. https://ceub.edu.bo/doc/gaceta/normas/20_Innovacion_Curr.pdf</w:t>
      </w:r>
    </w:p>
    <w:p>
      <w:pPr>
        <w:spacing w:before="0" w:after="200" w:line="240" w:lineRule="auto"/>
        <w:jc w:val="both"/>
      </w:pPr>
      <w:r>
        <w:rPr>
          <w:rFonts w:ascii="Century Gothic" w:hAnsi="Century Gothic" w:cs="Century Gothic" w:eastAsia="Century Gothic"/>
          <w:b w:val="0"/>
          <w:i w:val="0"/>
          <w:sz w:val="20"/>
        </w:rPr>
        <w:t xml:space="preserve">Comité Ejecutivo de la Universidad Boliviana [CEUB]. (2014). </w:t>
      </w:r>
      <w:r>
        <w:rPr>
          <w:rFonts w:ascii="Century Gothic" w:hAnsi="Century Gothic" w:cs="Century Gothic" w:eastAsia="Century Gothic"/>
          <w:b w:val="0"/>
          <w:i/>
          <w:sz w:val="20"/>
        </w:rPr>
        <w:t>Carreras oficiales del Sistema de la Universidad Boliviana</w:t>
      </w:r>
      <w:r>
        <w:rPr>
          <w:rFonts w:ascii="Century Gothic" w:hAnsi="Century Gothic" w:cs="Century Gothic" w:eastAsia="Century Gothic"/>
          <w:b w:val="0"/>
          <w:i w:val="0"/>
          <w:sz w:val="20"/>
        </w:rPr>
        <w:t>. https://ceub.edu.bo/doc/gaceta/normas/24_Crr_Oficiales_2014.pdf</w:t>
      </w:r>
    </w:p>
    <w:p>
      <w:pPr>
        <w:spacing w:before="0" w:after="200" w:line="240" w:lineRule="auto"/>
        <w:jc w:val="both"/>
      </w:pPr>
      <w:r>
        <w:rPr>
          <w:rFonts w:ascii="Century Gothic" w:hAnsi="Century Gothic" w:cs="Century Gothic" w:eastAsia="Century Gothic"/>
          <w:b w:val="0"/>
          <w:i w:val="0"/>
          <w:sz w:val="20"/>
        </w:rPr>
        <w:t xml:space="preserve">Consejo Técnico Nacional de Auditoría y Contabilidad [CTNAC]. (2024). </w:t>
      </w:r>
      <w:r>
        <w:rPr>
          <w:rFonts w:ascii="Century Gothic" w:hAnsi="Century Gothic" w:cs="Century Gothic" w:eastAsia="Century Gothic"/>
          <w:b w:val="0"/>
          <w:i/>
          <w:sz w:val="20"/>
        </w:rPr>
        <w:t>Resolución N° 01/2024: adopción de las Normas NIIF de Sostenibilidad</w:t>
      </w:r>
      <w:r>
        <w:rPr>
          <w:rFonts w:ascii="Century Gothic" w:hAnsi="Century Gothic" w:cs="Century Gothic" w:eastAsia="Century Gothic"/>
          <w:b w:val="0"/>
          <w:i w:val="0"/>
          <w:sz w:val="20"/>
        </w:rPr>
        <w:t xml:space="preserve"> (reportado en InfoRSE, 12-04-2024). https://www.inforse.com.bo/2024/04/12/auditores-y-contadores-de-bolivia-adoptan-normas-niif-s-para-su-aplicacion-a-partir-del-1ro-de-enero-de-2027/</w:t>
      </w:r>
    </w:p>
    <w:p>
      <w:pPr>
        <w:spacing w:before="0" w:after="200" w:line="240" w:lineRule="auto"/>
        <w:jc w:val="both"/>
      </w:pPr>
      <w:r>
        <w:rPr>
          <w:rFonts w:ascii="Century Gothic" w:hAnsi="Century Gothic" w:cs="Century Gothic" w:eastAsia="Century Gothic"/>
          <w:b w:val="0"/>
          <w:i w:val="0"/>
          <w:sz w:val="20"/>
        </w:rPr>
        <w:t xml:space="preserve">Frey, C. B. y Osborne, M. A. (2013). </w:t>
      </w:r>
      <w:r>
        <w:rPr>
          <w:rFonts w:ascii="Century Gothic" w:hAnsi="Century Gothic" w:cs="Century Gothic" w:eastAsia="Century Gothic"/>
          <w:b w:val="0"/>
          <w:i/>
          <w:sz w:val="20"/>
        </w:rPr>
        <w:t>The future of employment: How susceptible are jobs to computerisation?</w:t>
      </w:r>
      <w:r>
        <w:rPr>
          <w:rFonts w:ascii="Century Gothic" w:hAnsi="Century Gothic" w:cs="Century Gothic" w:eastAsia="Century Gothic"/>
          <w:b w:val="0"/>
          <w:i w:val="0"/>
          <w:sz w:val="20"/>
        </w:rPr>
        <w:t xml:space="preserve"> Oxford Martin School, University of Oxford.</w:t>
      </w:r>
    </w:p>
    <w:p>
      <w:pPr>
        <w:spacing w:before="0" w:after="200" w:line="240" w:lineRule="auto"/>
        <w:jc w:val="both"/>
      </w:pPr>
      <w:r>
        <w:rPr>
          <w:rFonts w:ascii="Century Gothic" w:hAnsi="Century Gothic" w:cs="Century Gothic" w:eastAsia="Century Gothic"/>
          <w:b w:val="0"/>
          <w:i w:val="0"/>
          <w:sz w:val="20"/>
        </w:rPr>
        <w:t xml:space="preserve">Fondo Monetario Internacional [FMI]. (2026). </w:t>
      </w:r>
      <w:r>
        <w:rPr>
          <w:rFonts w:ascii="Century Gothic" w:hAnsi="Century Gothic" w:cs="Century Gothic" w:eastAsia="Century Gothic"/>
          <w:b w:val="0"/>
          <w:i/>
          <w:sz w:val="20"/>
        </w:rPr>
        <w:t>Perspectivas de la economía mundial</w:t>
      </w:r>
      <w:r>
        <w:rPr>
          <w:rFonts w:ascii="Century Gothic" w:hAnsi="Century Gothic" w:cs="Century Gothic" w:eastAsia="Century Gothic"/>
          <w:b w:val="0"/>
          <w:i w:val="0"/>
          <w:sz w:val="20"/>
        </w:rPr>
        <w:t xml:space="preserve"> (abril) y </w:t>
      </w:r>
      <w:r>
        <w:rPr>
          <w:rFonts w:ascii="Century Gothic" w:hAnsi="Century Gothic" w:cs="Century Gothic" w:eastAsia="Century Gothic"/>
          <w:b w:val="0"/>
          <w:i/>
          <w:sz w:val="20"/>
        </w:rPr>
        <w:t>Acuerdo de Servicio Ampliado con Bolivia</w:t>
      </w:r>
      <w:r>
        <w:rPr>
          <w:rFonts w:ascii="Century Gothic" w:hAnsi="Century Gothic" w:cs="Century Gothic" w:eastAsia="Century Gothic"/>
          <w:b w:val="0"/>
          <w:i w:val="0"/>
          <w:sz w:val="20"/>
        </w:rPr>
        <w:t xml:space="preserve"> (octubre), citados en el subpunto 3.3 de la Comisión 1.</w:t>
      </w:r>
    </w:p>
    <w:p>
      <w:pPr>
        <w:spacing w:before="0" w:after="200" w:line="240" w:lineRule="auto"/>
        <w:jc w:val="both"/>
      </w:pPr>
      <w:r>
        <w:rPr>
          <w:rFonts w:ascii="Century Gothic" w:hAnsi="Century Gothic" w:cs="Century Gothic" w:eastAsia="Century Gothic"/>
          <w:b w:val="0"/>
          <w:i w:val="0"/>
          <w:sz w:val="20"/>
        </w:rPr>
        <w:t xml:space="preserve">Instituto de Investigaciones de Ciencias Contables, Financieras y Auditoría [IICCFA]. (2025). </w:t>
      </w:r>
      <w:r>
        <w:rPr>
          <w:rFonts w:ascii="Century Gothic" w:hAnsi="Century Gothic" w:cs="Century Gothic" w:eastAsia="Century Gothic"/>
          <w:b w:val="0"/>
          <w:i/>
          <w:sz w:val="20"/>
        </w:rPr>
        <w:t>Informe de diagnóstico organizacional FODA, Carrera de Contaduría Pública</w:t>
      </w:r>
      <w:r>
        <w:rPr>
          <w:rFonts w:ascii="Century Gothic" w:hAnsi="Century Gothic" w:cs="Century Gothic" w:eastAsia="Century Gothic"/>
          <w:b w:val="0"/>
          <w:i w:val="0"/>
          <w:sz w:val="20"/>
        </w:rPr>
        <w:t xml:space="preserve"> (H. J. Quintanilla y J. Céspedes). UMSA.</w:t>
      </w:r>
    </w:p>
    <w:p>
      <w:pPr>
        <w:spacing w:before="0" w:after="200" w:line="240" w:lineRule="auto"/>
        <w:jc w:val="both"/>
      </w:pPr>
      <w:r>
        <w:rPr>
          <w:rFonts w:ascii="Century Gothic" w:hAnsi="Century Gothic" w:cs="Century Gothic" w:eastAsia="Century Gothic"/>
          <w:b w:val="0"/>
          <w:i w:val="0"/>
          <w:sz w:val="20"/>
        </w:rPr>
        <w:t xml:space="preserve">Instituto Nacional de Estadística [INE]. (2026). </w:t>
      </w:r>
      <w:r>
        <w:rPr>
          <w:rFonts w:ascii="Century Gothic" w:hAnsi="Century Gothic" w:cs="Century Gothic" w:eastAsia="Century Gothic"/>
          <w:b w:val="0"/>
          <w:i/>
          <w:sz w:val="20"/>
        </w:rPr>
        <w:t>Encuesta Continua de Empleo</w:t>
      </w:r>
      <w:r>
        <w:rPr>
          <w:rFonts w:ascii="Century Gothic" w:hAnsi="Century Gothic" w:cs="Century Gothic" w:eastAsia="Century Gothic"/>
          <w:b w:val="0"/>
          <w:i w:val="0"/>
          <w:sz w:val="20"/>
        </w:rPr>
        <w:t>, I y II trimestre (citado en el subpunto 3.3 de la Comisión 1).</w:t>
      </w:r>
    </w:p>
    <w:p>
      <w:pPr>
        <w:spacing w:before="0" w:after="200" w:line="240" w:lineRule="auto"/>
        <w:jc w:val="both"/>
      </w:pPr>
      <w:r>
        <w:rPr>
          <w:rFonts w:ascii="Century Gothic" w:hAnsi="Century Gothic" w:cs="Century Gothic" w:eastAsia="Century Gothic"/>
          <w:b w:val="0"/>
          <w:i w:val="0"/>
          <w:sz w:val="20"/>
        </w:rPr>
        <w:t xml:space="preserve">International Auditing and Assurance Standards Board [IAASB]. (2024). </w:t>
      </w:r>
      <w:r>
        <w:rPr>
          <w:rFonts w:ascii="Century Gothic" w:hAnsi="Century Gothic" w:cs="Century Gothic" w:eastAsia="Century Gothic"/>
          <w:b w:val="0"/>
          <w:i/>
          <w:sz w:val="20"/>
        </w:rPr>
        <w:t>ISSA 5000, General requirements for sustainability assurance engagements</w:t>
      </w:r>
      <w:r>
        <w:rPr>
          <w:rFonts w:ascii="Century Gothic" w:hAnsi="Century Gothic" w:cs="Century Gothic" w:eastAsia="Century Gothic"/>
          <w:b w:val="0"/>
          <w:i w:val="0"/>
          <w:sz w:val="20"/>
        </w:rPr>
        <w:t>. https://www.iaasb.org/ISSA5000</w:t>
      </w:r>
    </w:p>
    <w:p>
      <w:pPr>
        <w:spacing w:before="0" w:after="200" w:line="240" w:lineRule="auto"/>
        <w:jc w:val="both"/>
      </w:pPr>
      <w:r>
        <w:rPr>
          <w:rFonts w:ascii="Century Gothic" w:hAnsi="Century Gothic" w:cs="Century Gothic" w:eastAsia="Century Gothic"/>
          <w:b w:val="0"/>
          <w:i w:val="0"/>
          <w:sz w:val="20"/>
        </w:rPr>
        <w:t xml:space="preserve">International Federation of Accountants [IFAC]. (s. f.). </w:t>
      </w:r>
      <w:r>
        <w:rPr>
          <w:rFonts w:ascii="Century Gothic" w:hAnsi="Century Gothic" w:cs="Century Gothic" w:eastAsia="Century Gothic"/>
          <w:b w:val="0"/>
          <w:i/>
          <w:sz w:val="20"/>
        </w:rPr>
        <w:t>Member organizations: Bolivia</w:t>
      </w:r>
      <w:r>
        <w:rPr>
          <w:rFonts w:ascii="Century Gothic" w:hAnsi="Century Gothic" w:cs="Century Gothic" w:eastAsia="Century Gothic"/>
          <w:b w:val="0"/>
          <w:i w:val="0"/>
          <w:sz w:val="20"/>
        </w:rPr>
        <w:t>. https://www.ifac.org/about-ifac/membership/profile/bolivia</w:t>
      </w:r>
    </w:p>
    <w:p>
      <w:pPr>
        <w:spacing w:before="0" w:after="200" w:line="240" w:lineRule="auto"/>
        <w:jc w:val="both"/>
      </w:pPr>
      <w:r>
        <w:rPr>
          <w:rFonts w:ascii="Century Gothic" w:hAnsi="Century Gothic" w:cs="Century Gothic" w:eastAsia="Century Gothic"/>
          <w:b w:val="0"/>
          <w:i w:val="0"/>
          <w:sz w:val="20"/>
        </w:rPr>
        <w:t xml:space="preserve">International Federation of Accountants [IFAC]. (2019). </w:t>
      </w:r>
      <w:r>
        <w:rPr>
          <w:rFonts w:ascii="Century Gothic" w:hAnsi="Century Gothic" w:cs="Century Gothic" w:eastAsia="Century Gothic"/>
          <w:b w:val="0"/>
          <w:i/>
          <w:sz w:val="20"/>
        </w:rPr>
        <w:t>Revision of IESs 2, 3, 4 and 8: Information and communications technology</w:t>
      </w:r>
      <w:r>
        <w:rPr>
          <w:rFonts w:ascii="Century Gothic" w:hAnsi="Century Gothic" w:cs="Century Gothic" w:eastAsia="Century Gothic"/>
          <w:b w:val="0"/>
          <w:i w:val="0"/>
          <w:sz w:val="20"/>
        </w:rPr>
        <w:t>. https://www.ifac.org/education/consultations-projects/revision-iess-2-3-4-and-8-information-communications-technology</w:t>
      </w:r>
    </w:p>
    <w:p>
      <w:pPr>
        <w:spacing w:before="0" w:after="200" w:line="240" w:lineRule="auto"/>
        <w:jc w:val="both"/>
      </w:pPr>
      <w:r>
        <w:rPr>
          <w:rFonts w:ascii="Century Gothic" w:hAnsi="Century Gothic" w:cs="Century Gothic" w:eastAsia="Century Gothic"/>
          <w:b w:val="0"/>
          <w:i w:val="0"/>
          <w:sz w:val="20"/>
        </w:rPr>
        <w:t xml:space="preserve">Ipsos CIESMORI. (2025). </w:t>
      </w:r>
      <w:r>
        <w:rPr>
          <w:rFonts w:ascii="Century Gothic" w:hAnsi="Century Gothic" w:cs="Century Gothic" w:eastAsia="Century Gothic"/>
          <w:b w:val="0"/>
          <w:i/>
          <w:sz w:val="20"/>
        </w:rPr>
        <w:t>Futuro laboral: análisis de la demanda del mercado laboral y reformulación curricular. Estudio cuantitativo, Facultad de Ciencias Económicas y Financieras</w:t>
      </w:r>
      <w:r>
        <w:rPr>
          <w:rFonts w:ascii="Century Gothic" w:hAnsi="Century Gothic" w:cs="Century Gothic" w:eastAsia="Century Gothic"/>
          <w:b w:val="0"/>
          <w:i w:val="0"/>
          <w:sz w:val="20"/>
        </w:rPr>
        <w:t>. Informe para la UMSA.</w:t>
      </w:r>
    </w:p>
    <w:p>
      <w:pPr>
        <w:spacing w:before="0" w:after="200" w:line="240" w:lineRule="auto"/>
        <w:jc w:val="both"/>
      </w:pPr>
      <w:r>
        <w:rPr>
          <w:rFonts w:ascii="Century Gothic" w:hAnsi="Century Gothic" w:cs="Century Gothic" w:eastAsia="Century Gothic"/>
          <w:b w:val="0"/>
          <w:i w:val="0"/>
          <w:sz w:val="20"/>
        </w:rPr>
        <w:t xml:space="preserve">Servicio Plurinacional de Registro de Comercio [SEPREC]. (2025). </w:t>
      </w:r>
      <w:r>
        <w:rPr>
          <w:rFonts w:ascii="Century Gothic" w:hAnsi="Century Gothic" w:cs="Century Gothic" w:eastAsia="Century Gothic"/>
          <w:b w:val="0"/>
          <w:i/>
          <w:sz w:val="20"/>
        </w:rPr>
        <w:t>Información estadística de la Base Empresarial, septiembre de 2025</w:t>
      </w:r>
      <w:r>
        <w:rPr>
          <w:rFonts w:ascii="Century Gothic" w:hAnsi="Century Gothic" w:cs="Century Gothic" w:eastAsia="Century Gothic"/>
          <w:b w:val="0"/>
          <w:i w:val="0"/>
          <w:sz w:val="20"/>
        </w:rPr>
        <w:t>. https://www.seprec.gob.bo/wp-content/uploads/2025/11/Informacion-ESTADISTICA-WEB-SEP.pdf</w:t>
      </w:r>
    </w:p>
    <w:p>
      <w:pPr>
        <w:spacing w:before="0" w:after="200" w:line="240" w:lineRule="auto"/>
        <w:jc w:val="both"/>
      </w:pPr>
      <w:r>
        <w:rPr>
          <w:rFonts w:ascii="Century Gothic" w:hAnsi="Century Gothic" w:cs="Century Gothic" w:eastAsia="Century Gothic"/>
          <w:b w:val="0"/>
          <w:i w:val="0"/>
          <w:sz w:val="20"/>
        </w:rPr>
        <w:t xml:space="preserve">United Nations Conference on Trade and Development [UNCTAD]. (2003). </w:t>
      </w:r>
      <w:r>
        <w:rPr>
          <w:rFonts w:ascii="Century Gothic" w:hAnsi="Century Gothic" w:cs="Century Gothic" w:eastAsia="Century Gothic"/>
          <w:b w:val="0"/>
          <w:i/>
          <w:sz w:val="20"/>
        </w:rPr>
        <w:t>Revised model accounting curriculum</w:t>
      </w:r>
      <w:r>
        <w:rPr>
          <w:rFonts w:ascii="Century Gothic" w:hAnsi="Century Gothic" w:cs="Century Gothic" w:eastAsia="Century Gothic"/>
          <w:b w:val="0"/>
          <w:i w:val="0"/>
          <w:sz w:val="20"/>
        </w:rPr>
        <w:t xml:space="preserve"> (TD/B/COM.2/ISAR/21). https://digitallibrary.un.org/record/501398</w:t>
      </w:r>
    </w:p>
    <w:p>
      <w:pPr>
        <w:spacing w:before="0" w:after="200" w:line="240" w:lineRule="auto"/>
        <w:jc w:val="both"/>
      </w:pPr>
      <w:r>
        <w:rPr>
          <w:rFonts w:ascii="Century Gothic" w:hAnsi="Century Gothic" w:cs="Century Gothic" w:eastAsia="Century Gothic"/>
          <w:b w:val="0"/>
          <w:i w:val="0"/>
          <w:sz w:val="20"/>
        </w:rPr>
        <w:t xml:space="preserve">Universidad de Chile. (2024). </w:t>
      </w:r>
      <w:r>
        <w:rPr>
          <w:rFonts w:ascii="Century Gothic" w:hAnsi="Century Gothic" w:cs="Century Gothic" w:eastAsia="Century Gothic"/>
          <w:b w:val="0"/>
          <w:i/>
          <w:sz w:val="20"/>
        </w:rPr>
        <w:t>Contador Auditor: plan de estudios y malla 2024</w:t>
      </w:r>
      <w:r>
        <w:rPr>
          <w:rFonts w:ascii="Century Gothic" w:hAnsi="Century Gothic" w:cs="Century Gothic" w:eastAsia="Century Gothic"/>
          <w:b w:val="0"/>
          <w:i w:val="0"/>
          <w:sz w:val="20"/>
        </w:rPr>
        <w:t>. https://uchile.cl/carreras/86759/contador-auditor</w:t>
      </w:r>
    </w:p>
    <w:p>
      <w:pPr>
        <w:spacing w:before="0" w:after="200" w:line="240" w:lineRule="auto"/>
        <w:jc w:val="both"/>
      </w:pPr>
      <w:r>
        <w:rPr>
          <w:rFonts w:ascii="Century Gothic" w:hAnsi="Century Gothic" w:cs="Century Gothic" w:eastAsia="Century Gothic"/>
          <w:b w:val="0"/>
          <w:i w:val="0"/>
          <w:sz w:val="20"/>
        </w:rPr>
        <w:t xml:space="preserve">Universidad Jorge Tadeo Lozano. (s. f.). </w:t>
      </w:r>
      <w:r>
        <w:rPr>
          <w:rFonts w:ascii="Century Gothic" w:hAnsi="Century Gothic" w:cs="Century Gothic" w:eastAsia="Century Gothic"/>
          <w:b w:val="0"/>
          <w:i/>
          <w:sz w:val="20"/>
        </w:rPr>
        <w:t>Contaduría Pública</w:t>
      </w:r>
      <w:r>
        <w:rPr>
          <w:rFonts w:ascii="Century Gothic" w:hAnsi="Century Gothic" w:cs="Century Gothic" w:eastAsia="Century Gothic"/>
          <w:b w:val="0"/>
          <w:i w:val="0"/>
          <w:sz w:val="20"/>
        </w:rPr>
        <w:t>. https://www.utadeo.edu.co/sites/tadeo/files/node/program/field_brochure/contaduria_publica_0.pdf</w:t>
      </w:r>
    </w:p>
    <w:p>
      <w:pPr>
        <w:spacing w:before="0" w:after="200" w:line="240" w:lineRule="auto"/>
        <w:jc w:val="both"/>
      </w:pPr>
      <w:r>
        <w:rPr>
          <w:rFonts w:ascii="Century Gothic" w:hAnsi="Century Gothic" w:cs="Century Gothic" w:eastAsia="Century Gothic"/>
          <w:b w:val="0"/>
          <w:i w:val="0"/>
          <w:sz w:val="20"/>
        </w:rPr>
        <w:t xml:space="preserve">Universidad Mayor de San Andrés. (2020). </w:t>
      </w:r>
      <w:r>
        <w:rPr>
          <w:rFonts w:ascii="Century Gothic" w:hAnsi="Century Gothic" w:cs="Century Gothic" w:eastAsia="Century Gothic"/>
          <w:b w:val="0"/>
          <w:i/>
          <w:sz w:val="20"/>
        </w:rPr>
        <w:t>Plan Estratégico Institucional 2019–2025 con visión al 2030</w:t>
      </w:r>
      <w:r>
        <w:rPr>
          <w:rFonts w:ascii="Century Gothic" w:hAnsi="Century Gothic" w:cs="Century Gothic" w:eastAsia="Century Gothic"/>
          <w:b w:val="0"/>
          <w:i w:val="0"/>
          <w:sz w:val="20"/>
        </w:rPr>
        <w:t>. https://dipgis.umsa.bo/asdi/doc%20normativa/PEI_UMSA_2019-2025_02-03-2020-ajustado.pdf</w:t>
      </w:r>
    </w:p>
    <w:p>
      <w:pPr>
        <w:spacing w:before="0" w:after="200" w:line="240" w:lineRule="auto"/>
        <w:jc w:val="both"/>
      </w:pPr>
      <w:r>
        <w:rPr>
          <w:rFonts w:ascii="Century Gothic" w:hAnsi="Century Gothic" w:cs="Century Gothic" w:eastAsia="Century Gothic"/>
          <w:b w:val="0"/>
          <w:i w:val="0"/>
          <w:sz w:val="20"/>
        </w:rPr>
        <w:t xml:space="preserve">Universidad Mayor de San Andrés. (2025). </w:t>
      </w:r>
      <w:r>
        <w:rPr>
          <w:rFonts w:ascii="Century Gothic" w:hAnsi="Century Gothic" w:cs="Century Gothic" w:eastAsia="Century Gothic"/>
          <w:b w:val="0"/>
          <w:i/>
          <w:sz w:val="20"/>
        </w:rPr>
        <w:t>Resolución HCU N° 032/2025: Reglamento de Innovación Curricular de la UMSA</w:t>
      </w:r>
      <w:r>
        <w:rPr>
          <w:rFonts w:ascii="Century Gothic" w:hAnsi="Century Gothic" w:cs="Century Gothic" w:eastAsia="Century Gothic"/>
          <w:b w:val="0"/>
          <w:i w:val="0"/>
          <w:sz w:val="20"/>
        </w:rPr>
        <w:t>.</w:t>
      </w:r>
    </w:p>
    <w:p>
      <w:pPr>
        <w:spacing w:before="0" w:after="200" w:line="240" w:lineRule="auto"/>
        <w:jc w:val="both"/>
      </w:pPr>
      <w:r>
        <w:rPr>
          <w:rFonts w:ascii="Century Gothic" w:hAnsi="Century Gothic" w:cs="Century Gothic" w:eastAsia="Century Gothic"/>
          <w:b w:val="0"/>
          <w:i w:val="0"/>
          <w:sz w:val="20"/>
        </w:rPr>
        <w:t xml:space="preserve">Universidad Nacional Autónoma de México [UNAM]. (2025). </w:t>
      </w:r>
      <w:r>
        <w:rPr>
          <w:rFonts w:ascii="Century Gothic" w:hAnsi="Century Gothic" w:cs="Century Gothic" w:eastAsia="Century Gothic"/>
          <w:b w:val="0"/>
          <w:i/>
          <w:sz w:val="20"/>
        </w:rPr>
        <w:t>Plan de estudios de la Licenciatura en Contaduría</w:t>
      </w:r>
      <w:r>
        <w:rPr>
          <w:rFonts w:ascii="Century Gothic" w:hAnsi="Century Gothic" w:cs="Century Gothic" w:eastAsia="Century Gothic"/>
          <w:b w:val="0"/>
          <w:i w:val="0"/>
          <w:sz w:val="20"/>
        </w:rPr>
        <w:t>. https://escolar1.unam.mx/planes/oaxaca/contaduria.pdf</w:t>
      </w:r>
    </w:p>
    <w:p>
      <w:pPr>
        <w:spacing w:before="0" w:after="200" w:line="240" w:lineRule="auto"/>
        <w:jc w:val="both"/>
      </w:pPr>
      <w:r>
        <w:rPr>
          <w:rFonts w:ascii="Century Gothic" w:hAnsi="Century Gothic" w:cs="Century Gothic" w:eastAsia="Century Gothic"/>
          <w:b w:val="0"/>
          <w:i w:val="0"/>
          <w:sz w:val="20"/>
        </w:rPr>
        <w:t xml:space="preserve">Urquidi, M., Serrate, L., Sardán, S., Albarracín, S. y Chumacero, M. (2023a). </w:t>
      </w:r>
      <w:r>
        <w:rPr>
          <w:rFonts w:ascii="Century Gothic" w:hAnsi="Century Gothic" w:cs="Century Gothic" w:eastAsia="Century Gothic"/>
          <w:b w:val="0"/>
          <w:i/>
          <w:sz w:val="20"/>
        </w:rPr>
        <w:t>Encuesta de mercado laboral en Bolivia: demanda 2022</w:t>
      </w:r>
      <w:r>
        <w:rPr>
          <w:rFonts w:ascii="Century Gothic" w:hAnsi="Century Gothic" w:cs="Century Gothic" w:eastAsia="Century Gothic"/>
          <w:b w:val="0"/>
          <w:i w:val="0"/>
          <w:sz w:val="20"/>
        </w:rPr>
        <w:t xml:space="preserve"> (IDB-TN-2795). Banco Interamericano de Desarrollo. https://doi.org/10.18235/0005213</w:t>
      </w:r>
    </w:p>
    <w:p>
      <w:pPr>
        <w:spacing w:before="0" w:after="200" w:line="240" w:lineRule="auto"/>
        <w:jc w:val="both"/>
      </w:pPr>
      <w:r>
        <w:rPr>
          <w:rFonts w:ascii="Century Gothic" w:hAnsi="Century Gothic" w:cs="Century Gothic" w:eastAsia="Century Gothic"/>
          <w:b w:val="0"/>
          <w:i w:val="0"/>
          <w:sz w:val="20"/>
        </w:rPr>
        <w:t xml:space="preserve">Urquidi, M., Ergueta, A., Durand, G., Sardán, S. y Serrate, L. (2023b). </w:t>
      </w:r>
      <w:r>
        <w:rPr>
          <w:rFonts w:ascii="Century Gothic" w:hAnsi="Century Gothic" w:cs="Century Gothic" w:eastAsia="Century Gothic"/>
          <w:b w:val="0"/>
          <w:i/>
          <w:sz w:val="20"/>
        </w:rPr>
        <w:t>Análisis del mercado laboral: características de las empresas, mano de obra y habilidades en ciudades de Bolivia en 2022</w:t>
      </w:r>
      <w:r>
        <w:rPr>
          <w:rFonts w:ascii="Century Gothic" w:hAnsi="Century Gothic" w:cs="Century Gothic" w:eastAsia="Century Gothic"/>
          <w:b w:val="0"/>
          <w:i w:val="0"/>
          <w:sz w:val="20"/>
        </w:rPr>
        <w:t>. Banco Interamericano de Desarrollo. https://doi.org/10.18235/0005379</w:t>
      </w:r>
    </w:p>
    <w:p>
      <w:pPr>
        <w:spacing w:before="0" w:after="200" w:line="240" w:lineRule="auto"/>
        <w:jc w:val="both"/>
      </w:pPr>
      <w:r>
        <w:rPr>
          <w:rFonts w:ascii="Century Gothic" w:hAnsi="Century Gothic" w:cs="Century Gothic" w:eastAsia="Century Gothic"/>
          <w:b w:val="0"/>
          <w:i w:val="0"/>
          <w:sz w:val="20"/>
        </w:rPr>
        <w:t xml:space="preserve">Wolters Kluwer. (2025). </w:t>
      </w:r>
      <w:r>
        <w:rPr>
          <w:rFonts w:ascii="Century Gothic" w:hAnsi="Century Gothic" w:cs="Century Gothic" w:eastAsia="Century Gothic"/>
          <w:b w:val="0"/>
          <w:i/>
          <w:sz w:val="20"/>
        </w:rPr>
        <w:t>2025 Future Ready Accountant Report</w:t>
      </w:r>
      <w:r>
        <w:rPr>
          <w:rFonts w:ascii="Century Gothic" w:hAnsi="Century Gothic" w:cs="Century Gothic" w:eastAsia="Century Gothic"/>
          <w:b w:val="0"/>
          <w:i w:val="0"/>
          <w:sz w:val="20"/>
        </w:rPr>
        <w:t>. https://www.wolterskluwer.com/en/news/wolters-kluwer-releases-its-2025-future-ready-accountant-report</w:t>
      </w:r>
    </w:p>
    <w:p>
      <w:pPr>
        <w:spacing w:before="0" w:after="200" w:line="240" w:lineRule="auto"/>
        <w:jc w:val="both"/>
      </w:pPr>
      <w:r>
        <w:rPr>
          <w:rFonts w:ascii="Century Gothic" w:hAnsi="Century Gothic" w:cs="Century Gothic" w:eastAsia="Century Gothic"/>
          <w:b w:val="0"/>
          <w:i w:val="0"/>
          <w:sz w:val="20"/>
        </w:rPr>
        <w:t xml:space="preserve">World Economic Forum [WEF]. (2025). </w:t>
      </w:r>
      <w:r>
        <w:rPr>
          <w:rFonts w:ascii="Century Gothic" w:hAnsi="Century Gothic" w:cs="Century Gothic" w:eastAsia="Century Gothic"/>
          <w:b w:val="0"/>
          <w:i/>
          <w:sz w:val="20"/>
        </w:rPr>
        <w:t>The Future of Jobs Report 2025</w:t>
      </w:r>
      <w:r>
        <w:rPr>
          <w:rFonts w:ascii="Century Gothic" w:hAnsi="Century Gothic" w:cs="Century Gothic" w:eastAsia="Century Gothic"/>
          <w:b w:val="0"/>
          <w:i w:val="0"/>
          <w:sz w:val="20"/>
        </w:rPr>
        <w:t>. https://www.weforum.org/publications/the-future-of-jobs-report-2025/</w:t>
      </w:r>
    </w:p>
    <w:sectPr w:rsidR="00FC693F" w:rsidRPr="0006063C" w:rsidSect="00034616">
      <w:headerReference w:type="default" r:id="rId9"/>
      <w:footerReference w:type="default" r:id="rId10"/>
      <w:pgSz w:w="12240" w:h="15840"/>
      <w:pgMar w:top="1701" w:right="1134" w:bottom="1134" w:left="1701" w:header="567"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line="240" w:lineRule="auto"/>
      <w:jc w:val="right"/>
    </w:pPr>
    <w:r>
      <w:rPr>
        <w:rFonts w:ascii="Century Gothic" w:hAnsi="Century Gothic" w:cs="Century Gothic" w:eastAsia="Century Gothic"/>
        <w:sz w:val="20"/>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tbl>
    <w:tblPr>
      <w:tblW w:type="auto" w:w="0"/>
      <w:jc w:val="center"/>
      <w:tblBorders>
        <w:top w:val="nil"/>
        <w:left w:val="nil"/>
        <w:bottom w:val="single" w:sz="6" w:space="0" w:color="000000"/>
        <w:right w:val="nil"/>
        <w:insideH w:val="nil"/>
        <w:insideV w:val="nil"/>
      </w:tblBorders>
      <w:tblLayout w:type="fixed"/>
      <w:tblLook w:firstColumn="1" w:firstRow="1" w:lastColumn="0" w:lastRow="0" w:noHBand="0" w:noVBand="1" w:val="04A0"/>
    </w:tblPr>
    <w:tblGrid>
      <w:gridCol w:w="1247"/>
      <w:gridCol w:w="6911"/>
      <w:gridCol w:w="1247"/>
    </w:tblGrid>
    <w:tr>
      <w:tc>
        <w:tcPr>
          <w:tcW w:type="dxa" w:w="1247"/>
          <w:vAlign w:val="center"/>
        </w:tcPr>
        <w:p>
          <w:pPr>
            <w:spacing w:before="0" w:after="40" w:line="240" w:lineRule="auto"/>
            <w:jc w:val="left"/>
          </w:pPr>
          <w:r>
            <w:drawing>
              <wp:inline xmlns:a="http://schemas.openxmlformats.org/drawingml/2006/main" xmlns:pic="http://schemas.openxmlformats.org/drawingml/2006/picture">
                <wp:extent cx="484248" cy="684000"/>
                <wp:docPr id="1" name="Picture 1"/>
                <wp:cNvGraphicFramePr>
                  <a:graphicFrameLocks noChangeAspect="1"/>
                </wp:cNvGraphicFramePr>
                <a:graphic>
                  <a:graphicData uri="http://schemas.openxmlformats.org/drawingml/2006/picture">
                    <pic:pic>
                      <pic:nvPicPr>
                        <pic:cNvPr id="0" name="logo_umsa.png"/>
                        <pic:cNvPicPr/>
                      </pic:nvPicPr>
                      <pic:blipFill>
                        <a:blip r:embed="rId1"/>
                        <a:stretch>
                          <a:fillRect/>
                        </a:stretch>
                      </pic:blipFill>
                      <pic:spPr>
                        <a:xfrm>
                          <a:off x="0" y="0"/>
                          <a:ext cx="484248" cy="684000"/>
                        </a:xfrm>
                        <a:prstGeom prst="rect"/>
                      </pic:spPr>
                    </pic:pic>
                  </a:graphicData>
                </a:graphic>
              </wp:inline>
            </w:drawing>
          </w:r>
        </w:p>
      </w:tc>
      <w:tc>
        <w:tcPr>
          <w:tcW w:type="dxa" w:w="6911"/>
          <w:vAlign w:val="center"/>
        </w:tcPr>
        <w:p>
          <w:pPr>
            <w:spacing w:before="0" w:after="0" w:line="240" w:lineRule="auto"/>
            <w:jc w:val="center"/>
          </w:pPr>
          <w:r>
            <w:rPr>
              <w:rFonts w:ascii="Century Gothic" w:hAnsi="Century Gothic" w:cs="Century Gothic" w:eastAsia="Century Gothic"/>
              <w:b/>
              <w:sz w:val="22"/>
            </w:rPr>
            <w:t>Universidad Mayor de “San Andrés”</w:t>
            <w:br/>
          </w:r>
          <w:r>
            <w:rPr>
              <w:rFonts w:ascii="Century Gothic" w:hAnsi="Century Gothic" w:cs="Century Gothic" w:eastAsia="Century Gothic"/>
              <w:b/>
              <w:sz w:val="22"/>
            </w:rPr>
            <w:t>Facultad de Ciencias Económicas y Financieras</w:t>
            <w:br/>
          </w:r>
          <w:r>
            <w:rPr>
              <w:rFonts w:ascii="Century Gothic" w:hAnsi="Century Gothic" w:cs="Century Gothic" w:eastAsia="Century Gothic"/>
              <w:b/>
              <w:sz w:val="22"/>
            </w:rPr>
            <w:t>Carrera Contaduría Pública</w:t>
          </w:r>
        </w:p>
      </w:tc>
      <w:tc>
        <w:tcPr>
          <w:tcW w:type="dxa" w:w="1247"/>
          <w:vAlign w:val="center"/>
        </w:tcPr>
        <w:p>
          <w:pPr>
            <w:spacing w:before="0" w:after="40" w:line="240" w:lineRule="auto"/>
            <w:jc w:val="right"/>
          </w:pPr>
          <w:r>
            <w:drawing>
              <wp:inline xmlns:a="http://schemas.openxmlformats.org/drawingml/2006/main" xmlns:pic="http://schemas.openxmlformats.org/drawingml/2006/picture">
                <wp:extent cx="445846" cy="684000"/>
                <wp:docPr id="2" name="Picture 2"/>
                <wp:cNvGraphicFramePr>
                  <a:graphicFrameLocks noChangeAspect="1"/>
                </wp:cNvGraphicFramePr>
                <a:graphic>
                  <a:graphicData uri="http://schemas.openxmlformats.org/drawingml/2006/picture">
                    <pic:pic>
                      <pic:nvPicPr>
                        <pic:cNvPr id="0" name="logo_carrera.png"/>
                        <pic:cNvPicPr/>
                      </pic:nvPicPr>
                      <pic:blipFill>
                        <a:blip r:embed="rId2"/>
                        <a:stretch>
                          <a:fillRect/>
                        </a:stretch>
                      </pic:blipFill>
                      <pic:spPr>
                        <a:xfrm>
                          <a:off x="0" y="0"/>
                          <a:ext cx="445846" cy="684000"/>
                        </a:xfrm>
                        <a:prstGeom prst="rect"/>
                      </pic:spPr>
                    </pic:pic>
                  </a:graphicData>
                </a:graphic>
              </wp:inline>
            </w:drawing>
          </w:r>
        </w:p>
      </w:tc>
    </w:tr>
  </w:tbl>
  <w:p>
    <w:pPr>
      <w:spacing w:after="0"/>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00">
    <w:multiLevelType w:val="hybridMultilevel"/>
    <w:lvl w:ilvl="0">
      <w:start w:val="1"/>
      <w:numFmt w:val="bullet"/>
      <w:lvlText w:val=""/>
      <w:lvlJc w:val="left"/>
      <w:pPr>
        <w:ind w:left="357" w:hanging="357"/>
      </w:pPr>
      <w:rPr>
        <w:rFonts w:ascii="Wingdings" w:hAnsi="Wingdings" w:cs="Wingdings" w:hint="default"/>
        <w:sz w:val="20"/>
      </w:rPr>
    </w:lvl>
    <w:lvl w:ilvl="1">
      <w:start w:val="1"/>
      <w:numFmt w:val="bullet"/>
      <w:lvlText w:val="–"/>
      <w:lvlJc w:val="left"/>
      <w:pPr>
        <w:ind w:left="720" w:hanging="283"/>
      </w:pPr>
      <w:rPr>
        <w:rFonts w:ascii="Century Gothic" w:hAnsi="Century Gothic" w:cs="Century Gothic" w:hint="default"/>
        <w:sz w:val="20"/>
      </w:rPr>
    </w:lvl>
    <w:lvl w:ilvl="2">
      <w:start w:val="1"/>
      <w:numFmt w:val="bullet"/>
      <w:lvlText w:val="·"/>
      <w:lvlJc w:val="left"/>
      <w:pPr>
        <w:ind w:left="1077" w:hanging="283"/>
      </w:pPr>
      <w:rPr>
        <w:rFonts w:ascii="Symbol" w:hAnsi="Symbol" w:cs="Symbol" w:hint="default"/>
        <w:sz w:val="20"/>
      </w:rPr>
    </w:lvl>
  </w:abstractNum>
  <w:abstractNum w:abstractNumId="901">
    <w:multiLevelType w:val="hybridMultilevel"/>
    <w:lvl w:ilvl="0">
      <w:start w:val="1"/>
      <w:numFmt w:val="lowerLetter"/>
      <w:lvlText w:val="%1."/>
      <w:lvlJc w:val="left"/>
      <w:pPr>
        <w:ind w:left="357" w:hanging="357"/>
      </w:pPr>
      <w:rPr>
        <w:rFonts w:ascii="Century Gothic" w:hAnsi="Century Gothic" w:cs="Century Gothic" w:hint="default"/>
        <w:b/>
        <w:sz w:val="20"/>
      </w:rPr>
    </w:lvl>
    <w:lvl w:ilvl="1">
      <w:start w:val="1"/>
      <w:numFmt w:val="bullet"/>
      <w:lvlText w:val=""/>
      <w:lvlJc w:val="left"/>
      <w:pPr>
        <w:ind w:left="720" w:hanging="357"/>
      </w:pPr>
      <w:rPr>
        <w:rFonts w:ascii="Wingdings" w:hAnsi="Wingdings" w:cs="Wingdings" w:hint="default"/>
        <w:sz w:val="20"/>
      </w:rPr>
    </w:lvl>
    <w:lvl w:ilvl="2">
      <w:start w:val="1"/>
      <w:numFmt w:val="bullet"/>
      <w:lvlText w:val="–"/>
      <w:lvlJc w:val="left"/>
      <w:pPr>
        <w:ind w:left="1077" w:hanging="283"/>
      </w:pPr>
      <w:rPr>
        <w:rFonts w:ascii="Century Gothic" w:hAnsi="Century Gothic" w:cs="Century Gothic" w:hint="default"/>
        <w:sz w:val="20"/>
      </w:rPr>
    </w:lvl>
  </w:abstractNum>
  <w:abstractNum w:abstractNumId="902">
    <w:multiLevelType w:val="hybridMultilevel"/>
    <w:lvl w:ilvl="0">
      <w:start w:val="1"/>
      <w:numFmt w:val="decimal"/>
      <w:lvlText w:val="%1."/>
      <w:lvlJc w:val="left"/>
      <w:pPr>
        <w:ind w:left="357" w:hanging="357"/>
      </w:pPr>
      <w:rPr>
        <w:rFonts w:ascii="Century Gothic" w:hAnsi="Century Gothic" w:cs="Century Gothic" w:hint="default"/>
        <w:b/>
        <w:sz w:val="20"/>
      </w:rPr>
    </w:lvl>
    <w:lvl w:ilvl="1">
      <w:start w:val="1"/>
      <w:numFmt w:val="lowerLetter"/>
      <w:lvlText w:val="%2."/>
      <w:lvlJc w:val="left"/>
      <w:pPr>
        <w:ind w:left="720" w:hanging="357"/>
      </w:pPr>
      <w:rPr>
        <w:rFonts w:ascii="Century Gothic" w:hAnsi="Century Gothic" w:cs="Century Gothic" w:hint="default"/>
        <w:b/>
        <w:sz w:val="20"/>
      </w:rPr>
    </w:lvl>
    <w:lvl w:ilvl="2">
      <w:start w:val="1"/>
      <w:numFmt w:val="bullet"/>
      <w:lvlText w:val=""/>
      <w:lvlJc w:val="left"/>
      <w:pPr>
        <w:ind w:left="1077" w:hanging="283"/>
      </w:pPr>
      <w:rPr>
        <w:rFonts w:ascii="Wingdings" w:hAnsi="Wingdings" w:cs="Wingdings" w:hint="default"/>
        <w:sz w:val="20"/>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901">
    <w:abstractNumId w:val="900"/>
    <w:lvlOverride w:ilvl="0">
      <w:startOverride w:val="1"/>
    </w:lvlOverride>
  </w:num>
  <w:num w:numId="902">
    <w:abstractNumId w:val="90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line="240" w:lineRule="auto"/>
    </w:pPr>
    <w:rPr>
      <w:rFonts w:ascii="Century Gothic" w:hAnsi="Century Gothic" w:cs="Century Gothic" w:eastAsia="Century Gothic"/>
      <w:sz w:val="20"/>
      <w:lang w:val="es-BO" w:eastAsia="es-BO"/>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