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Admisión, Promoción y Graduación</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5.</w:t>
        <w:tab/>
      </w:r>
      <w:r>
        <w:rPr>
          <w:rFonts w:ascii="Century Gothic" w:hAnsi="Century Gothic" w:cs="Century Gothic" w:eastAsia="Century Gothic"/>
          <w:b/>
          <w:i w:val="0"/>
          <w:sz w:val="24"/>
        </w:rPr>
        <w:t>Admisión, promoción y graduación</w:t>
      </w:r>
    </w:p>
    <w:p>
      <w:pPr>
        <w:spacing w:before="0" w:after="200" w:line="240" w:lineRule="auto"/>
        <w:jc w:val="both"/>
      </w:pPr>
      <w:r>
        <w:rPr>
          <w:rFonts w:ascii="Century Gothic" w:hAnsi="Century Gothic" w:cs="Century Gothic" w:eastAsia="Century Gothic"/>
          <w:b w:val="0"/>
          <w:i w:val="0"/>
          <w:sz w:val="20"/>
        </w:rPr>
        <w:t xml:space="preserve">El presente informe se organiza en dos partes. La </w:t>
      </w:r>
      <w:r>
        <w:rPr>
          <w:rFonts w:ascii="Century Gothic" w:hAnsi="Century Gothic" w:cs="Century Gothic" w:eastAsia="Century Gothic"/>
          <w:b/>
          <w:i w:val="0"/>
          <w:sz w:val="20"/>
        </w:rPr>
        <w:t>Parte I</w:t>
      </w:r>
      <w:r>
        <w:rPr>
          <w:rFonts w:ascii="Century Gothic" w:hAnsi="Century Gothic" w:cs="Century Gothic" w:eastAsia="Century Gothic"/>
          <w:b w:val="0"/>
          <w:i w:val="0"/>
          <w:sz w:val="20"/>
        </w:rPr>
        <w:t xml:space="preserve"> expone el diagnóstico situacional de la carrera con su estructura actual en los procesos de admisión, promoción y graduación, e identifica las problemáticas detectadas en cada uno. La </w:t>
      </w:r>
      <w:r>
        <w:rPr>
          <w:rFonts w:ascii="Century Gothic" w:hAnsi="Century Gothic" w:cs="Century Gothic" w:eastAsia="Century Gothic"/>
          <w:b/>
          <w:i w:val="0"/>
          <w:sz w:val="20"/>
        </w:rPr>
        <w:t>Parte II</w:t>
      </w:r>
      <w:r>
        <w:rPr>
          <w:rFonts w:ascii="Century Gothic" w:hAnsi="Century Gothic" w:cs="Century Gothic" w:eastAsia="Century Gothic"/>
          <w:b w:val="0"/>
          <w:i w:val="0"/>
          <w:sz w:val="20"/>
        </w:rPr>
        <w:t xml:space="preserve"> desarrolla el análisis prospectivo y las propuestas de mejora para el nuevo diseño curricular, que responden a dichas problemáticas.</w:t>
      </w:r>
    </w:p>
    <w:p>
      <w:pPr>
        <w:keepNext/>
        <w:spacing w:before="40" w:after="200" w:line="240" w:lineRule="auto"/>
        <w:jc w:val="left"/>
      </w:pPr>
      <w:r>
        <w:rPr>
          <w:rFonts w:ascii="Century Gothic" w:hAnsi="Century Gothic" w:cs="Century Gothic" w:eastAsia="Century Gothic"/>
          <w:b/>
          <w:i w:val="0"/>
          <w:sz w:val="22"/>
        </w:rPr>
        <w:t>PARTE I: DIAGNÓSTICO SITUACIONAL CON LA ACTUAL ESTRUCTURA</w:t>
      </w:r>
    </w:p>
    <w:p>
      <w:pPr>
        <w:spacing w:before="0" w:after="200" w:line="240" w:lineRule="auto"/>
        <w:jc w:val="both"/>
      </w:pPr>
      <w:r>
        <w:rPr>
          <w:rFonts w:ascii="Century Gothic" w:hAnsi="Century Gothic" w:cs="Century Gothic" w:eastAsia="Century Gothic"/>
          <w:b w:val="0"/>
          <w:i w:val="0"/>
          <w:sz w:val="20"/>
        </w:rPr>
        <w:t>Esta parte describe la situación vigente de la carrera en sus tres procesos académicos —admisión, promoción y graduación— y señala, al cierre de cada eje, las problemáticas que fundamentan las propuestas de la Parte II.</w:t>
      </w:r>
    </w:p>
    <w:p>
      <w:pPr>
        <w:keepNext/>
        <w:spacing w:before="40" w:after="200" w:line="240" w:lineRule="auto"/>
        <w:jc w:val="left"/>
      </w:pPr>
      <w:r>
        <w:rPr>
          <w:rFonts w:ascii="Century Gothic" w:hAnsi="Century Gothic" w:cs="Century Gothic" w:eastAsia="Century Gothic"/>
          <w:b/>
          <w:i w:val="0"/>
          <w:sz w:val="22"/>
        </w:rPr>
        <w:t>PARTE II: ANÁLISIS PROSPECTIVO Y PROPUESTAS DE MEJORA PARA EL NUEVO DISEÑO CURRICULAR</w:t>
      </w:r>
    </w:p>
    <w:p>
      <w:pPr>
        <w:spacing w:before="0" w:after="200" w:line="240" w:lineRule="auto"/>
        <w:jc w:val="both"/>
      </w:pPr>
      <w:r>
        <w:rPr>
          <w:rFonts w:ascii="Century Gothic" w:hAnsi="Century Gothic" w:cs="Century Gothic" w:eastAsia="Century Gothic"/>
          <w:b/>
          <w:i w:val="0"/>
          <w:sz w:val="20"/>
        </w:rPr>
        <w:t>Presentación y propósito del tránsito</w:t>
      </w:r>
    </w:p>
    <w:p>
      <w:pPr>
        <w:spacing w:before="0" w:after="200" w:line="240" w:lineRule="auto"/>
        <w:jc w:val="both"/>
      </w:pPr>
      <w:r>
        <w:rPr>
          <w:rFonts w:ascii="Century Gothic" w:hAnsi="Century Gothic" w:cs="Century Gothic" w:eastAsia="Century Gothic"/>
          <w:b w:val="0"/>
          <w:i w:val="0"/>
          <w:sz w:val="20"/>
        </w:rPr>
        <w:t>La presente parte establece las directrices prospectivas para gestionar el tránsito operativo, normativo y pedagógico entre el modelo académico vigente y la nueva estructura curricular en construcción. Ante las problemáticas evidenciadas en el diagnóstico situacional —marcadas por alta deserción temprana, rigidez en la promoción y cuellos de botella burocráticos y normativos en la graduación—, este plan propone una reingeniería basada en la flexibilidad, la digitalización y el acompañamiento preventivo. Para ello, se organizan las propuestas en tres ejes (admisión, promoción y graduación) y, en cada punto, se contrasta el estado actual con la proyección deseada, indicando el mecanismo operativo, la justificación y la factibilidad de su aplicación.</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5.1</w:t>
        <w:tab/>
      </w:r>
      <w:r>
        <w:rPr>
          <w:rFonts w:ascii="Century Gothic" w:hAnsi="Century Gothic" w:cs="Century Gothic" w:eastAsia="Century Gothic"/>
          <w:b/>
          <w:i w:val="0"/>
          <w:sz w:val="24"/>
        </w:rPr>
        <w:t>Perfil del postulante</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5.1.1</w:t>
        <w:tab/>
      </w:r>
      <w:r>
        <w:rPr>
          <w:rFonts w:ascii="Century Gothic" w:hAnsi="Century Gothic" w:cs="Century Gothic" w:eastAsia="Century Gothic"/>
          <w:b/>
          <w:i w:val="0"/>
          <w:sz w:val="22"/>
        </w:rPr>
        <w:t>EJE 1: PROCESO DE ADMISIÓN</w:t>
      </w:r>
    </w:p>
    <w:p>
      <w:pPr>
        <w:keepNext/>
        <w:spacing w:before="40" w:after="200" w:line="240" w:lineRule="auto"/>
        <w:jc w:val="left"/>
      </w:pPr>
      <w:r>
        <w:rPr>
          <w:rFonts w:ascii="Century Gothic" w:hAnsi="Century Gothic" w:cs="Century Gothic" w:eastAsia="Century Gothic"/>
          <w:b/>
          <w:i w:val="0"/>
          <w:sz w:val="22"/>
        </w:rPr>
        <w:t>b) Análisis del perfil del postulante</w:t>
      </w:r>
    </w:p>
    <w:p>
      <w:pPr>
        <w:spacing w:before="0" w:after="200" w:line="240" w:lineRule="auto"/>
        <w:jc w:val="both"/>
      </w:pPr>
      <w:r>
        <w:rPr>
          <w:rFonts w:ascii="Century Gothic" w:hAnsi="Century Gothic" w:cs="Century Gothic" w:eastAsia="Century Gothic"/>
          <w:b w:val="0"/>
          <w:i w:val="0"/>
          <w:sz w:val="20"/>
        </w:rPr>
        <w:t>El perfil académico exigido al postulante abarca:</w:t>
      </w:r>
    </w:p>
    <w:p>
      <w:pPr>
        <w:numPr>
          <w:ilvl w:val="0"/>
          <w:numId w:val="901"/>
        </w:numPr>
        <w:spacing w:before="0" w:after="160" w:line="240" w:lineRule="auto"/>
        <w:jc w:val="both"/>
      </w:pPr>
      <w:r>
        <w:rPr>
          <w:rFonts w:ascii="Century Gothic" w:hAnsi="Century Gothic" w:cs="Century Gothic" w:eastAsia="Century Gothic"/>
          <w:b/>
          <w:i w:val="0"/>
          <w:sz w:val="20"/>
        </w:rPr>
        <w:t>Competencias cuantitativas:</w:t>
      </w:r>
      <w:r>
        <w:rPr>
          <w:rFonts w:ascii="Century Gothic" w:hAnsi="Century Gothic" w:cs="Century Gothic" w:eastAsia="Century Gothic"/>
          <w:b w:val="0"/>
          <w:i w:val="0"/>
          <w:sz w:val="20"/>
        </w:rPr>
        <w:t xml:space="preserve"> razonamiento lógico-matemático, aritmética básica y nociones contables elementales.</w:t>
      </w:r>
    </w:p>
    <w:p>
      <w:pPr>
        <w:numPr>
          <w:ilvl w:val="0"/>
          <w:numId w:val="901"/>
        </w:numPr>
        <w:spacing w:before="0" w:after="160" w:line="240" w:lineRule="auto"/>
        <w:jc w:val="both"/>
      </w:pPr>
      <w:r>
        <w:rPr>
          <w:rFonts w:ascii="Century Gothic" w:hAnsi="Century Gothic" w:cs="Century Gothic" w:eastAsia="Century Gothic"/>
          <w:b/>
          <w:i w:val="0"/>
          <w:sz w:val="20"/>
        </w:rPr>
        <w:t>Competencias comunicativas y éticas:</w:t>
      </w:r>
      <w:r>
        <w:rPr>
          <w:rFonts w:ascii="Century Gothic" w:hAnsi="Century Gothic" w:cs="Century Gothic" w:eastAsia="Century Gothic"/>
          <w:b w:val="0"/>
          <w:i w:val="0"/>
          <w:sz w:val="20"/>
        </w:rPr>
        <w:t xml:space="preserve"> comprensión lectora, redacción básica y sentido de responsabilidad social.</w:t>
      </w:r>
    </w:p>
    <w:p>
      <w:pPr>
        <w:numPr>
          <w:ilvl w:val="0"/>
          <w:numId w:val="901"/>
        </w:numPr>
        <w:spacing w:before="0" w:after="200" w:line="240" w:lineRule="auto"/>
        <w:jc w:val="both"/>
      </w:pPr>
      <w:r>
        <w:rPr>
          <w:rFonts w:ascii="Century Gothic" w:hAnsi="Century Gothic" w:cs="Century Gothic" w:eastAsia="Century Gothic"/>
          <w:b/>
          <w:i w:val="0"/>
          <w:sz w:val="20"/>
        </w:rPr>
        <w:t>Brecha con el perfil real:</w:t>
      </w:r>
      <w:r>
        <w:rPr>
          <w:rFonts w:ascii="Century Gothic" w:hAnsi="Century Gothic" w:cs="Century Gothic" w:eastAsia="Century Gothic"/>
          <w:b w:val="0"/>
          <w:i w:val="0"/>
          <w:sz w:val="20"/>
        </w:rPr>
        <w:t xml:space="preserve"> existe una diferenciación notable entre las competencias del bachiller promedio y las exigencias del Plan de Estudios 2013, especialmente en competencias digitales, lógica de programación, manejo de hojas de cálculo avanzadas y pensamiento analítico.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5.2</w:t>
        <w:tab/>
      </w:r>
      <w:r>
        <w:rPr>
          <w:rFonts w:ascii="Century Gothic" w:hAnsi="Century Gothic" w:cs="Century Gothic" w:eastAsia="Century Gothic"/>
          <w:b/>
          <w:i w:val="0"/>
          <w:sz w:val="24"/>
        </w:rPr>
        <w:t>Modalidades de admisión</w:t>
      </w:r>
    </w:p>
    <w:p>
      <w:pPr>
        <w:keepNext/>
        <w:spacing w:before="40" w:after="200" w:line="240" w:lineRule="auto"/>
        <w:jc w:val="left"/>
      </w:pPr>
      <w:r>
        <w:rPr>
          <w:rFonts w:ascii="Century Gothic" w:hAnsi="Century Gothic" w:cs="Century Gothic" w:eastAsia="Century Gothic"/>
          <w:b/>
          <w:i w:val="0"/>
          <w:sz w:val="22"/>
        </w:rPr>
        <w:t>a) Modalidades de ingreso</w:t>
      </w:r>
    </w:p>
    <w:p>
      <w:pPr>
        <w:spacing w:before="0" w:after="200" w:line="240" w:lineRule="auto"/>
        <w:jc w:val="both"/>
      </w:pPr>
      <w:r>
        <w:rPr>
          <w:rFonts w:ascii="Century Gothic" w:hAnsi="Century Gothic" w:cs="Century Gothic" w:eastAsia="Century Gothic"/>
          <w:b w:val="0"/>
          <w:i w:val="0"/>
          <w:sz w:val="20"/>
        </w:rPr>
        <w:t>La Carrera de Contaduría Pública absorbe anualmente una masa estudiantil diversa a través de tres modalidades reguladas a nivel facultativo y universitario:</w:t>
      </w:r>
    </w:p>
    <w:p>
      <w:pPr>
        <w:numPr>
          <w:ilvl w:val="0"/>
          <w:numId w:val="902"/>
        </w:numPr>
        <w:spacing w:before="0" w:after="160" w:line="240" w:lineRule="auto"/>
        <w:jc w:val="both"/>
      </w:pPr>
      <w:r>
        <w:rPr>
          <w:rFonts w:ascii="Century Gothic" w:hAnsi="Century Gothic" w:cs="Century Gothic" w:eastAsia="Century Gothic"/>
          <w:b/>
          <w:i w:val="0"/>
          <w:sz w:val="20"/>
        </w:rPr>
        <w:t>Examen de Suficiencia Académica (PSA):</w:t>
      </w:r>
      <w:r>
        <w:rPr>
          <w:rFonts w:ascii="Century Gothic" w:hAnsi="Century Gothic" w:cs="Century Gothic" w:eastAsia="Century Gothic"/>
          <w:b w:val="0"/>
          <w:i w:val="0"/>
          <w:sz w:val="20"/>
        </w:rPr>
        <w:t xml:space="preserve"> prueba estandarizada presencial que evalúa conocimientos teóricos del nivel secundario.</w:t>
      </w:r>
    </w:p>
    <w:p>
      <w:pPr>
        <w:numPr>
          <w:ilvl w:val="0"/>
          <w:numId w:val="902"/>
        </w:numPr>
        <w:spacing w:before="0" w:after="160" w:line="240" w:lineRule="auto"/>
        <w:jc w:val="both"/>
      </w:pPr>
      <w:r>
        <w:rPr>
          <w:rFonts w:ascii="Century Gothic" w:hAnsi="Century Gothic" w:cs="Century Gothic" w:eastAsia="Century Gothic"/>
          <w:b/>
          <w:i w:val="0"/>
          <w:sz w:val="20"/>
        </w:rPr>
        <w:t>Curso Prefacultativo (CPF):</w:t>
      </w:r>
      <w:r>
        <w:rPr>
          <w:rFonts w:ascii="Century Gothic" w:hAnsi="Century Gothic" w:cs="Century Gothic" w:eastAsia="Century Gothic"/>
          <w:b w:val="0"/>
          <w:i w:val="0"/>
          <w:sz w:val="20"/>
        </w:rPr>
        <w:t xml:space="preserve"> modalidad de impartición de asignaturas preparatorias durante un semestre o periodo intensivo.</w:t>
      </w:r>
    </w:p>
    <w:p>
      <w:pPr>
        <w:numPr>
          <w:ilvl w:val="0"/>
          <w:numId w:val="902"/>
        </w:numPr>
        <w:spacing w:before="0" w:after="200" w:line="240" w:lineRule="auto"/>
        <w:jc w:val="both"/>
      </w:pPr>
      <w:r>
        <w:rPr>
          <w:rFonts w:ascii="Century Gothic" w:hAnsi="Century Gothic" w:cs="Century Gothic" w:eastAsia="Century Gothic"/>
          <w:b/>
          <w:i w:val="0"/>
          <w:sz w:val="20"/>
        </w:rPr>
        <w:t>Admisión Especial:</w:t>
      </w:r>
      <w:r>
        <w:rPr>
          <w:rFonts w:ascii="Century Gothic" w:hAnsi="Century Gothic" w:cs="Century Gothic" w:eastAsia="Century Gothic"/>
          <w:b w:val="0"/>
          <w:i w:val="0"/>
          <w:sz w:val="20"/>
        </w:rPr>
        <w:t xml:space="preserve"> mecanismo directo para profesionales titulados, traspasos de carrera o universidad y convenios institucionales.</w:t>
      </w:r>
    </w:p>
    <w:p>
      <w:pPr>
        <w:keepNext/>
        <w:spacing w:before="40" w:after="200" w:line="240" w:lineRule="auto"/>
        <w:jc w:val="left"/>
      </w:pPr>
      <w:r>
        <w:rPr>
          <w:rFonts w:ascii="Century Gothic" w:hAnsi="Century Gothic" w:cs="Century Gothic" w:eastAsia="Century Gothic"/>
          <w:b/>
          <w:i w:val="0"/>
          <w:sz w:val="22"/>
        </w:rPr>
        <w:t>c) Problemáticas detectadas</w:t>
      </w:r>
    </w:p>
    <w:p>
      <w:pPr>
        <w:numPr>
          <w:ilvl w:val="0"/>
          <w:numId w:val="901"/>
        </w:numPr>
        <w:spacing w:before="0" w:after="160" w:line="240" w:lineRule="auto"/>
        <w:jc w:val="both"/>
      </w:pPr>
      <w:r>
        <w:rPr>
          <w:rFonts w:ascii="Century Gothic" w:hAnsi="Century Gothic" w:cs="Century Gothic" w:eastAsia="Century Gothic"/>
          <w:b/>
          <w:i w:val="0"/>
          <w:sz w:val="20"/>
        </w:rPr>
        <w:t>Evaluación unidimensional:</w:t>
      </w:r>
      <w:r>
        <w:rPr>
          <w:rFonts w:ascii="Century Gothic" w:hAnsi="Century Gothic" w:cs="Century Gothic" w:eastAsia="Century Gothic"/>
          <w:b w:val="0"/>
          <w:i w:val="0"/>
          <w:sz w:val="20"/>
        </w:rPr>
        <w:t xml:space="preserve"> la admisión tradicional se ha limitado a medir memorización teórica, sin evaluar actitudes diagnósticas en tecnologías de la información e inteligencia artificial, ni la capacidad de pensamiento crítico y analítico.</w:t>
      </w:r>
    </w:p>
    <w:p>
      <w:pPr>
        <w:numPr>
          <w:ilvl w:val="0"/>
          <w:numId w:val="901"/>
        </w:numPr>
        <w:spacing w:before="0" w:after="160" w:line="240" w:lineRule="auto"/>
        <w:jc w:val="both"/>
      </w:pPr>
      <w:r>
        <w:rPr>
          <w:rFonts w:ascii="Century Gothic" w:hAnsi="Century Gothic" w:cs="Century Gothic" w:eastAsia="Century Gothic"/>
          <w:b/>
          <w:i w:val="0"/>
          <w:sz w:val="20"/>
        </w:rPr>
        <w:t>Alta deserción temprana:</w:t>
      </w:r>
      <w:r>
        <w:rPr>
          <w:rFonts w:ascii="Century Gothic" w:hAnsi="Century Gothic" w:cs="Century Gothic" w:eastAsia="Century Gothic"/>
          <w:b w:val="0"/>
          <w:i w:val="0"/>
          <w:sz w:val="20"/>
        </w:rPr>
        <w:t xml:space="preserve"> falta de mecanismos de nivelación para los postulantes a la carrera en nociones de Contabilidad, lo que genera bajas calificaciones e interrupción de estudios en los primeros años.</w:t>
      </w:r>
    </w:p>
    <w:p>
      <w:pPr>
        <w:numPr>
          <w:ilvl w:val="0"/>
          <w:numId w:val="901"/>
        </w:numPr>
        <w:spacing w:before="0" w:after="200" w:line="240" w:lineRule="auto"/>
        <w:jc w:val="both"/>
      </w:pPr>
      <w:r>
        <w:rPr>
          <w:rFonts w:ascii="Century Gothic" w:hAnsi="Century Gothic" w:cs="Century Gothic" w:eastAsia="Century Gothic"/>
          <w:b/>
          <w:i w:val="0"/>
          <w:sz w:val="20"/>
        </w:rPr>
        <w:t>Ausencia de registro digital diagnóstico:</w:t>
      </w:r>
      <w:r>
        <w:rPr>
          <w:rFonts w:ascii="Century Gothic" w:hAnsi="Century Gothic" w:cs="Century Gothic" w:eastAsia="Century Gothic"/>
          <w:b w:val="0"/>
          <w:i w:val="0"/>
          <w:sz w:val="20"/>
        </w:rPr>
        <w:t xml:space="preserve"> no se construye un expediente inicial con el perfil cualitativo del estudiante desde su primer día, lo que impide evaluar las causas de las bajas calificaciones o del abandono de materias y determinar si la falla radica en el estudiante, en la materia o en el docente. Dicho expediente sería, además, un mecanismo de retroalimentación.</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5.2.1</w:t>
        <w:tab/>
      </w:r>
      <w:r>
        <w:rPr>
          <w:rFonts w:ascii="Century Gothic" w:hAnsi="Century Gothic" w:cs="Century Gothic" w:eastAsia="Century Gothic"/>
          <w:b/>
          <w:i w:val="0"/>
          <w:sz w:val="22"/>
        </w:rPr>
        <w:t>EJE 1: PROCESO DE ADMISIÓN</w:t>
      </w:r>
    </w:p>
    <w:p>
      <w:pPr>
        <w:keepNext/>
        <w:spacing w:before="40" w:after="200" w:line="240" w:lineRule="auto"/>
        <w:jc w:val="left"/>
      </w:pPr>
      <w:r>
        <w:rPr>
          <w:rFonts w:ascii="Century Gothic" w:hAnsi="Century Gothic" w:cs="Century Gothic" w:eastAsia="Century Gothic"/>
          <w:b/>
          <w:i w:val="0"/>
          <w:sz w:val="22"/>
        </w:rPr>
        <w:t>De la Admisión Unidimensional a la Admisión Diagnóstica e Integral</w:t>
      </w:r>
    </w:p>
    <w:p>
      <w:pPr>
        <w:spacing w:before="0" w:after="200" w:line="240" w:lineRule="auto"/>
        <w:jc w:val="both"/>
      </w:pPr>
      <w:r>
        <w:rPr>
          <w:rFonts w:ascii="Century Gothic" w:hAnsi="Century Gothic" w:cs="Century Gothic" w:eastAsia="Century Gothic"/>
          <w:b w:val="0"/>
          <w:i w:val="0"/>
          <w:sz w:val="20"/>
        </w:rPr>
        <w:t>El tránsito del sistema tradicional (PSA, CPF y Admisión Especial basados en memorización) hacia el nuevo modelo propone incorporar competencias del siglo XXI y un seguimiento desde el primer día, de modo que la admisión deje de ser solo un filtro de ingreso y se convierta en el punto de partida del acompañamiento académico.</w:t>
      </w:r>
    </w:p>
    <w:p>
      <w:pPr>
        <w:spacing w:before="0" w:after="200" w:line="240" w:lineRule="auto"/>
        <w:jc w:val="both"/>
      </w:pPr>
      <w:r>
        <w:rPr>
          <w:rFonts w:ascii="Century Gothic" w:hAnsi="Century Gothic" w:cs="Century Gothic" w:eastAsia="Century Gothic"/>
          <w:b/>
          <w:i w:val="0"/>
          <w:sz w:val="20"/>
        </w:rPr>
        <w:t>1.1. Diversificación de la Prueba de Ingreso (Nuevo Modelo):</w:t>
      </w:r>
    </w:p>
    <w:p>
      <w:pPr>
        <w:spacing w:before="0" w:after="200" w:line="240" w:lineRule="auto"/>
        <w:jc w:val="both"/>
      </w:pPr>
      <w:r>
        <w:rPr>
          <w:rFonts w:ascii="Century Gothic" w:hAnsi="Century Gothic" w:cs="Century Gothic" w:eastAsia="Century Gothic"/>
          <w:b/>
          <w:i w:val="0"/>
          <w:sz w:val="20"/>
        </w:rPr>
        <w:t>Estado actual:</w:t>
      </w:r>
      <w:r>
        <w:rPr>
          <w:rFonts w:ascii="Century Gothic" w:hAnsi="Century Gothic" w:cs="Century Gothic" w:eastAsia="Century Gothic"/>
          <w:b w:val="0"/>
          <w:i w:val="0"/>
          <w:sz w:val="20"/>
        </w:rPr>
        <w:t xml:space="preserve"> Examen memorístico de conocimientos teóricos de secundaria y razonamiento cuantitativo básico.</w:t>
      </w:r>
    </w:p>
    <w:p>
      <w:pPr>
        <w:spacing w:before="0" w:after="200" w:line="240" w:lineRule="auto"/>
        <w:jc w:val="both"/>
      </w:pPr>
      <w:r>
        <w:rPr>
          <w:rFonts w:ascii="Century Gothic" w:hAnsi="Century Gothic" w:cs="Century Gothic" w:eastAsia="Century Gothic"/>
          <w:b/>
          <w:i w:val="0"/>
          <w:sz w:val="20"/>
        </w:rPr>
        <w:t>Prospectiva:</w:t>
      </w:r>
      <w:r>
        <w:rPr>
          <w:rFonts w:ascii="Century Gothic" w:hAnsi="Century Gothic" w:cs="Century Gothic" w:eastAsia="Century Gothic"/>
          <w:b w:val="0"/>
          <w:i w:val="0"/>
          <w:sz w:val="20"/>
        </w:rPr>
        <w:t xml:space="preserve"> Integración progresiva de reactivos de pensamiento crítico, lógica computacional, alfabetización digital básica y nociones de análisis de datos en los exámenes de suficiencia (PSA) y los cursos prefacultativos (CPF), reconociendo el impacto de la tecnología y la Inteligencia Artificial en la contabilidad moderna. De esta manera, el ingreso evalúa habilidades que el estudiante necesitará durante toda la carrera y no solo su capacidad de memorizar contenidos.</w:t>
      </w:r>
    </w:p>
    <w:p>
      <w:pPr>
        <w:spacing w:before="0" w:after="200" w:line="240" w:lineRule="auto"/>
        <w:jc w:val="both"/>
      </w:pPr>
      <w:r>
        <w:rPr>
          <w:rFonts w:ascii="Century Gothic" w:hAnsi="Century Gothic" w:cs="Century Gothic" w:eastAsia="Century Gothic"/>
          <w:b/>
          <w:i w:val="0"/>
          <w:sz w:val="20"/>
        </w:rPr>
        <w:t>1.2. Creación del Expediente Digital Diagnóstico (EDD):</w:t>
      </w:r>
    </w:p>
    <w:p>
      <w:pPr>
        <w:spacing w:before="0" w:after="200" w:line="240" w:lineRule="auto"/>
        <w:jc w:val="both"/>
      </w:pPr>
      <w:r>
        <w:rPr>
          <w:rFonts w:ascii="Century Gothic" w:hAnsi="Century Gothic" w:cs="Century Gothic" w:eastAsia="Century Gothic"/>
          <w:b/>
          <w:i w:val="0"/>
          <w:sz w:val="20"/>
        </w:rPr>
        <w:t>Estado actual:</w:t>
      </w:r>
      <w:r>
        <w:rPr>
          <w:rFonts w:ascii="Century Gothic" w:hAnsi="Century Gothic" w:cs="Century Gothic" w:eastAsia="Century Gothic"/>
          <w:b w:val="0"/>
          <w:i w:val="0"/>
          <w:sz w:val="20"/>
        </w:rPr>
        <w:t xml:space="preserve"> Ausencia de registro cualitativo inicial; el estudiante ingresa a ciegas respecto a sus deficiencias.</w:t>
      </w:r>
    </w:p>
    <w:p>
      <w:pPr>
        <w:spacing w:before="0" w:after="200" w:line="240" w:lineRule="auto"/>
        <w:jc w:val="both"/>
      </w:pPr>
      <w:r>
        <w:rPr>
          <w:rFonts w:ascii="Century Gothic" w:hAnsi="Century Gothic" w:cs="Century Gothic" w:eastAsia="Century Gothic"/>
          <w:b/>
          <w:i w:val="0"/>
          <w:sz w:val="20"/>
        </w:rPr>
        <w:t>Prospectiva:</w:t>
      </w:r>
      <w:r>
        <w:rPr>
          <w:rFonts w:ascii="Century Gothic" w:hAnsi="Century Gothic" w:cs="Century Gothic" w:eastAsia="Century Gothic"/>
          <w:b w:val="0"/>
          <w:i w:val="0"/>
          <w:sz w:val="20"/>
        </w:rPr>
        <w:t xml:space="preserve"> Implementación obligatoria de una prueba diagnóstica automatizada el primer día de clases. Este expediente permitirá perfilar las debilidades del ingresante en áreas críticas (aritmética, comprensión lectora y nociones contables) para derivarlo automáticamente a módulos de nivelación preventiva, con lo cual la carrera conocerá las necesidades de cada estudiante desde el inicio y no cuando el rendimiento ya se haya deteriorado.</w:t>
      </w:r>
    </w:p>
    <w:p>
      <w:pPr>
        <w:spacing w:before="0" w:after="200" w:line="240" w:lineRule="auto"/>
        <w:jc w:val="both"/>
      </w:pPr>
      <w:r>
        <w:rPr>
          <w:rFonts w:ascii="Century Gothic" w:hAnsi="Century Gothic" w:cs="Century Gothic" w:eastAsia="Century Gothic"/>
          <w:b/>
          <w:i w:val="0"/>
          <w:sz w:val="20"/>
        </w:rPr>
        <w:t>1.3. Programa de Nivelación Temprana contra la Deserción:</w:t>
      </w:r>
    </w:p>
    <w:p>
      <w:pPr>
        <w:spacing w:before="0" w:after="200" w:line="240" w:lineRule="auto"/>
        <w:jc w:val="both"/>
      </w:pPr>
      <w:r>
        <w:rPr>
          <w:rFonts w:ascii="Century Gothic" w:hAnsi="Century Gothic" w:cs="Century Gothic" w:eastAsia="Century Gothic"/>
          <w:b/>
          <w:i w:val="0"/>
          <w:sz w:val="20"/>
        </w:rPr>
        <w:t>Estado actual:</w:t>
      </w:r>
      <w:r>
        <w:rPr>
          <w:rFonts w:ascii="Century Gothic" w:hAnsi="Century Gothic" w:cs="Century Gothic" w:eastAsia="Century Gothic"/>
          <w:b w:val="0"/>
          <w:i w:val="0"/>
          <w:sz w:val="20"/>
        </w:rPr>
        <w:t xml:space="preserve"> Alta deserción temprana por falta de bases contables.</w:t>
      </w:r>
    </w:p>
    <w:p>
      <w:pPr>
        <w:spacing w:before="0" w:after="200" w:line="240" w:lineRule="auto"/>
        <w:jc w:val="both"/>
      </w:pPr>
      <w:r>
        <w:rPr>
          <w:rFonts w:ascii="Century Gothic" w:hAnsi="Century Gothic" w:cs="Century Gothic" w:eastAsia="Century Gothic"/>
          <w:b/>
          <w:i w:val="0"/>
          <w:sz w:val="20"/>
        </w:rPr>
        <w:t>Prospectiva:</w:t>
      </w:r>
      <w:r>
        <w:rPr>
          <w:rFonts w:ascii="Century Gothic" w:hAnsi="Century Gothic" w:cs="Century Gothic" w:eastAsia="Century Gothic"/>
          <w:b w:val="0"/>
          <w:i w:val="0"/>
          <w:sz w:val="20"/>
        </w:rPr>
        <w:t xml:space="preserve"> Establecimiento de un curso de nivelación obligatorio no punitivo durante las primeras 4 semanas del primer año para amortiguar el choque académico entre la educación secundaria y la universidad. Este programa se articula con el EDD (punto 1.2), pues los módulos de refuerzo se asignan según las debilidades que la prueba diagnóstica haya detectado.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5.3</w:t>
        <w:tab/>
      </w:r>
      <w:r>
        <w:rPr>
          <w:rFonts w:ascii="Century Gothic" w:hAnsi="Century Gothic" w:cs="Century Gothic" w:eastAsia="Century Gothic"/>
          <w:b/>
          <w:i w:val="0"/>
          <w:sz w:val="24"/>
        </w:rPr>
        <w:t>Condiciones de permanencia, licencias, suspensiones, plazo máximo de reincorporación, abandono, etc.</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5.3.1</w:t>
        <w:tab/>
      </w:r>
      <w:r>
        <w:rPr>
          <w:rFonts w:ascii="Century Gothic" w:hAnsi="Century Gothic" w:cs="Century Gothic" w:eastAsia="Century Gothic"/>
          <w:b/>
          <w:i w:val="0"/>
          <w:sz w:val="22"/>
        </w:rPr>
        <w:t>EJE 2: PROCESO DE PROMOCIÓN</w:t>
      </w:r>
    </w:p>
    <w:p>
      <w:pPr>
        <w:keepNext/>
        <w:spacing w:before="40" w:after="200" w:line="240" w:lineRule="auto"/>
        <w:jc w:val="left"/>
      </w:pPr>
      <w:r>
        <w:rPr>
          <w:rFonts w:ascii="Century Gothic" w:hAnsi="Century Gothic" w:cs="Century Gothic" w:eastAsia="Century Gothic"/>
          <w:b/>
          <w:i w:val="0"/>
          <w:sz w:val="22"/>
        </w:rPr>
        <w:t>a) Análisis de la carga horaria y la secuencia de asignaturas</w:t>
      </w:r>
    </w:p>
    <w:p>
      <w:pPr>
        <w:spacing w:before="0" w:after="200" w:line="240" w:lineRule="auto"/>
        <w:jc w:val="both"/>
      </w:pPr>
      <w:r>
        <w:rPr>
          <w:rFonts w:ascii="Century Gothic" w:hAnsi="Century Gothic" w:cs="Century Gothic" w:eastAsia="Century Gothic"/>
          <w:b w:val="0"/>
          <w:i w:val="0"/>
          <w:sz w:val="20"/>
        </w:rPr>
        <w:t>El avance curricular en el Plan de Estudios 2013 y 2024 se organiza por pre-requisitos entre asignaturas teóricas, contextuales y troncales. Para dinamizar la permanencia, el reglamento contempla dos mecanismos específicos:</w:t>
      </w:r>
    </w:p>
    <w:p>
      <w:pPr>
        <w:spacing w:before="0" w:after="200" w:line="240" w:lineRule="auto"/>
        <w:jc w:val="both"/>
      </w:pPr>
      <w:r>
        <w:rPr>
          <w:rFonts w:ascii="Century Gothic" w:hAnsi="Century Gothic" w:cs="Century Gothic" w:eastAsia="Century Gothic"/>
          <w:b/>
          <w:i/>
          <w:sz w:val="20"/>
        </w:rPr>
        <w:t>Cursos de Temporada (Verano)</w:t>
      </w:r>
    </w:p>
    <w:p>
      <w:pPr>
        <w:numPr>
          <w:ilvl w:val="0"/>
          <w:numId w:val="901"/>
        </w:numPr>
        <w:spacing w:before="0" w:after="160" w:line="240" w:lineRule="auto"/>
        <w:jc w:val="both"/>
      </w:pPr>
      <w:r>
        <w:rPr>
          <w:rFonts w:ascii="Century Gothic" w:hAnsi="Century Gothic" w:cs="Century Gothic" w:eastAsia="Century Gothic"/>
          <w:b/>
          <w:i w:val="0"/>
          <w:sz w:val="20"/>
        </w:rPr>
        <w:t>Objetivo y duración:</w:t>
      </w:r>
      <w:r>
        <w:rPr>
          <w:rFonts w:ascii="Century Gothic" w:hAnsi="Century Gothic" w:cs="Century Gothic" w:eastAsia="Century Gothic"/>
          <w:b w:val="0"/>
          <w:i w:val="0"/>
          <w:sz w:val="20"/>
        </w:rPr>
        <w:t xml:space="preserve"> modalidad intensiva de 8 semanas (60 días calendario como mínimo) que cubre el 100% del programa analítico teórico-práctico para nivelar o adelantar hasta dos asignaturas.</w:t>
      </w:r>
    </w:p>
    <w:p>
      <w:pPr>
        <w:numPr>
          <w:ilvl w:val="0"/>
          <w:numId w:val="901"/>
        </w:numPr>
        <w:spacing w:before="0" w:after="160" w:line="240" w:lineRule="auto"/>
        <w:jc w:val="both"/>
      </w:pPr>
      <w:r>
        <w:rPr>
          <w:rFonts w:ascii="Century Gothic" w:hAnsi="Century Gothic" w:cs="Century Gothic" w:eastAsia="Century Gothic"/>
          <w:b/>
          <w:i w:val="0"/>
          <w:sz w:val="20"/>
        </w:rPr>
        <w:t>Restricción de materias troncales:</w:t>
      </w:r>
      <w:r>
        <w:rPr>
          <w:rFonts w:ascii="Century Gothic" w:hAnsi="Century Gothic" w:cs="Century Gothic" w:eastAsia="Century Gothic"/>
          <w:b w:val="0"/>
          <w:i w:val="0"/>
          <w:sz w:val="20"/>
        </w:rPr>
        <w:t xml:space="preserve"> no se permite adelantar asignaturas del Área Troncal, salvo aquellas con carga horaria igual o menor a 160 horas.</w:t>
      </w:r>
    </w:p>
    <w:p>
      <w:pPr>
        <w:numPr>
          <w:ilvl w:val="0"/>
          <w:numId w:val="901"/>
        </w:numPr>
        <w:spacing w:before="0" w:after="200" w:line="240" w:lineRule="auto"/>
        <w:jc w:val="both"/>
      </w:pPr>
      <w:r>
        <w:rPr>
          <w:rFonts w:ascii="Century Gothic" w:hAnsi="Century Gothic" w:cs="Century Gothic" w:eastAsia="Century Gothic"/>
          <w:b/>
          <w:i w:val="0"/>
          <w:sz w:val="20"/>
        </w:rPr>
        <w:t>Nivelación por reprobación:</w:t>
      </w:r>
      <w:r>
        <w:rPr>
          <w:rFonts w:ascii="Century Gothic" w:hAnsi="Century Gothic" w:cs="Century Gothic" w:eastAsia="Century Gothic"/>
          <w:b w:val="0"/>
          <w:i w:val="0"/>
          <w:sz w:val="20"/>
        </w:rPr>
        <w:t xml:space="preserve"> para inscribirse a la recuperación de una materia troncal reprobada, el estudiante debe certificar haber obtenido una nota previa mayor o igual a 20 sobre 100 puntos en la gestión regular correspondiente.</w:t>
      </w:r>
    </w:p>
    <w:p>
      <w:pPr>
        <w:spacing w:before="0" w:after="200" w:line="240" w:lineRule="auto"/>
        <w:jc w:val="both"/>
      </w:pPr>
      <w:r>
        <w:rPr>
          <w:rFonts w:ascii="Century Gothic" w:hAnsi="Century Gothic" w:cs="Century Gothic" w:eastAsia="Century Gothic"/>
          <w:b/>
          <w:i/>
          <w:sz w:val="20"/>
        </w:rPr>
        <w:t>Mesas de Examen</w:t>
      </w:r>
    </w:p>
    <w:p>
      <w:pPr>
        <w:numPr>
          <w:ilvl w:val="0"/>
          <w:numId w:val="901"/>
        </w:numPr>
        <w:spacing w:before="0" w:after="160" w:line="240" w:lineRule="auto"/>
        <w:jc w:val="both"/>
      </w:pPr>
      <w:r>
        <w:rPr>
          <w:rFonts w:ascii="Century Gothic" w:hAnsi="Century Gothic" w:cs="Century Gothic" w:eastAsia="Century Gothic"/>
          <w:b/>
          <w:i w:val="0"/>
          <w:sz w:val="20"/>
        </w:rPr>
        <w:t>Concepto y habilitación:</w:t>
      </w:r>
      <w:r>
        <w:rPr>
          <w:rFonts w:ascii="Century Gothic" w:hAnsi="Century Gothic" w:cs="Century Gothic" w:eastAsia="Century Gothic"/>
          <w:b w:val="0"/>
          <w:i w:val="0"/>
          <w:sz w:val="20"/>
        </w:rPr>
        <w:t xml:space="preserve"> evaluación única que exime al estudiante de cursar la asignatura durante la gestión regular.</w:t>
      </w:r>
    </w:p>
    <w:p>
      <w:pPr>
        <w:numPr>
          <w:ilvl w:val="0"/>
          <w:numId w:val="901"/>
        </w:numPr>
        <w:spacing w:before="0" w:after="200" w:line="240" w:lineRule="auto"/>
        <w:jc w:val="both"/>
      </w:pPr>
      <w:r>
        <w:rPr>
          <w:rFonts w:ascii="Century Gothic" w:hAnsi="Century Gothic" w:cs="Century Gothic" w:eastAsia="Century Gothic"/>
          <w:b/>
          <w:i w:val="0"/>
          <w:sz w:val="20"/>
        </w:rPr>
        <w:t>Restricción exclusiva:</w:t>
      </w:r>
      <w:r>
        <w:rPr>
          <w:rFonts w:ascii="Century Gothic" w:hAnsi="Century Gothic" w:cs="Century Gothic" w:eastAsia="Century Gothic"/>
          <w:b w:val="0"/>
          <w:i w:val="0"/>
          <w:sz w:val="20"/>
        </w:rPr>
        <w:t xml:space="preserve"> aplica únicamente a materias teóricas aprobadas por el Consejo de Carrera. De acuerdo con el Reglamento 2024, estas materias son: Administración General, Derecho Comercial y Gobierno Corporativo, Derecho Laboral y Seguridad Social, Administración de Sistemas Gerenciales, Legislación Tributaria y Aduanera, Métodos y Técnicas de Investigación, Desarrollo Organizacional y Comportamiento Organizacional, y Ética e Independencia Profesional.</w:t>
      </w:r>
    </w:p>
    <w:p>
      <w:pPr>
        <w:keepNext/>
        <w:spacing w:before="40" w:after="200" w:line="240" w:lineRule="auto"/>
        <w:jc w:val="left"/>
      </w:pPr>
      <w:r>
        <w:rPr>
          <w:rFonts w:ascii="Century Gothic" w:hAnsi="Century Gothic" w:cs="Century Gothic" w:eastAsia="Century Gothic"/>
          <w:b/>
          <w:i w:val="0"/>
          <w:sz w:val="22"/>
        </w:rPr>
        <w:t>b) Análisis del rendimiento académico</w:t>
      </w:r>
    </w:p>
    <w:p>
      <w:pPr>
        <w:numPr>
          <w:ilvl w:val="0"/>
          <w:numId w:val="901"/>
        </w:numPr>
        <w:spacing w:before="0" w:after="160" w:line="240" w:lineRule="auto"/>
        <w:jc w:val="both"/>
      </w:pPr>
      <w:r>
        <w:rPr>
          <w:rFonts w:ascii="Century Gothic" w:hAnsi="Century Gothic" w:cs="Century Gothic" w:eastAsia="Century Gothic"/>
          <w:b/>
          <w:i w:val="0"/>
          <w:sz w:val="20"/>
        </w:rPr>
        <w:t>Índices de aprobación:</w:t>
      </w:r>
      <w:r>
        <w:rPr>
          <w:rFonts w:ascii="Century Gothic" w:hAnsi="Century Gothic" w:cs="Century Gothic" w:eastAsia="Century Gothic"/>
          <w:b w:val="0"/>
          <w:i w:val="0"/>
          <w:sz w:val="20"/>
        </w:rPr>
        <w:t xml:space="preserve"> las materias contextuales y teóricas registran tasas de aprobación superiores, mientras que las asignaturas troncales de las áreas de Contabilidad Financiera, Auditoría y Tributación presentan cuellos de botella, con tasas de reprobación y abandono.</w:t>
      </w:r>
    </w:p>
    <w:p>
      <w:pPr>
        <w:numPr>
          <w:ilvl w:val="0"/>
          <w:numId w:val="901"/>
        </w:numPr>
        <w:spacing w:before="0" w:after="200" w:line="240" w:lineRule="auto"/>
        <w:jc w:val="both"/>
      </w:pPr>
      <w:r>
        <w:rPr>
          <w:rFonts w:ascii="Century Gothic" w:hAnsi="Century Gothic" w:cs="Century Gothic" w:eastAsia="Century Gothic"/>
          <w:b/>
          <w:i w:val="0"/>
          <w:sz w:val="20"/>
        </w:rPr>
        <w:t>Fenómeno del rezago académico:</w:t>
      </w:r>
      <w:r>
        <w:rPr>
          <w:rFonts w:ascii="Century Gothic" w:hAnsi="Century Gothic" w:cs="Century Gothic" w:eastAsia="Century Gothic"/>
          <w:b w:val="0"/>
          <w:i w:val="0"/>
          <w:sz w:val="20"/>
        </w:rPr>
        <w:t xml:space="preserve"> la acumulación de asignaturas reprobadas distorsiona la secuencia de correlatividades y prolonga la permanencia universitaria a más de 5 años.</w:t>
      </w:r>
    </w:p>
    <w:p>
      <w:pPr>
        <w:keepNext/>
        <w:spacing w:before="40" w:after="200" w:line="240" w:lineRule="auto"/>
        <w:jc w:val="left"/>
      </w:pPr>
      <w:r>
        <w:rPr>
          <w:rFonts w:ascii="Century Gothic" w:hAnsi="Century Gothic" w:cs="Century Gothic" w:eastAsia="Century Gothic"/>
          <w:b/>
          <w:i w:val="0"/>
          <w:sz w:val="22"/>
        </w:rPr>
        <w:t>c) Problemáticas detectadas</w:t>
      </w:r>
    </w:p>
    <w:p>
      <w:pPr>
        <w:numPr>
          <w:ilvl w:val="0"/>
          <w:numId w:val="901"/>
        </w:numPr>
        <w:spacing w:before="0" w:after="160" w:line="240" w:lineRule="auto"/>
        <w:jc w:val="both"/>
      </w:pPr>
      <w:r>
        <w:rPr>
          <w:rFonts w:ascii="Century Gothic" w:hAnsi="Century Gothic" w:cs="Century Gothic" w:eastAsia="Century Gothic"/>
          <w:b/>
          <w:i w:val="0"/>
          <w:sz w:val="20"/>
        </w:rPr>
        <w:t>Oferta rígida en temporada:</w:t>
      </w:r>
      <w:r>
        <w:rPr>
          <w:rFonts w:ascii="Century Gothic" w:hAnsi="Century Gothic" w:cs="Century Gothic" w:eastAsia="Century Gothic"/>
          <w:b w:val="0"/>
          <w:i w:val="0"/>
          <w:sz w:val="20"/>
        </w:rPr>
        <w:t xml:space="preserve"> limitación reglamentaria para abrir materias troncales complejas en los cursos de verano, debido a la restricción de 80 horas.</w:t>
      </w:r>
    </w:p>
    <w:p>
      <w:pPr>
        <w:numPr>
          <w:ilvl w:val="0"/>
          <w:numId w:val="901"/>
        </w:numPr>
        <w:spacing w:before="0" w:after="160" w:line="240" w:lineRule="auto"/>
        <w:jc w:val="both"/>
      </w:pPr>
      <w:r>
        <w:rPr>
          <w:rFonts w:ascii="Century Gothic" w:hAnsi="Century Gothic" w:cs="Century Gothic" w:eastAsia="Century Gothic"/>
          <w:b/>
          <w:i w:val="0"/>
          <w:sz w:val="20"/>
        </w:rPr>
        <w:t>Seguimiento reactivo:</w:t>
      </w:r>
      <w:r>
        <w:rPr>
          <w:rFonts w:ascii="Century Gothic" w:hAnsi="Century Gothic" w:cs="Century Gothic" w:eastAsia="Century Gothic"/>
          <w:b w:val="0"/>
          <w:i w:val="0"/>
          <w:sz w:val="20"/>
        </w:rPr>
        <w:t xml:space="preserve"> falta de monitoreo en tiempo real del rendimiento estudiantil antes de los últimos exámenes parciales o finales, y para la apertura de materias en el curso de temporada (verano).</w:t>
      </w:r>
    </w:p>
    <w:p>
      <w:pPr>
        <w:numPr>
          <w:ilvl w:val="0"/>
          <w:numId w:val="901"/>
        </w:numPr>
        <w:spacing w:before="0" w:after="160" w:line="240" w:lineRule="auto"/>
        <w:jc w:val="both"/>
      </w:pPr>
      <w:r>
        <w:rPr>
          <w:rFonts w:ascii="Century Gothic" w:hAnsi="Century Gothic" w:cs="Century Gothic" w:eastAsia="Century Gothic"/>
          <w:b/>
          <w:i w:val="0"/>
          <w:sz w:val="20"/>
        </w:rPr>
        <w:t>Falta de apoyo tutorizado intensivo:</w:t>
      </w:r>
      <w:r>
        <w:rPr>
          <w:rFonts w:ascii="Century Gothic" w:hAnsi="Century Gothic" w:cs="Century Gothic" w:eastAsia="Century Gothic"/>
          <w:b w:val="0"/>
          <w:i w:val="0"/>
          <w:sz w:val="20"/>
        </w:rPr>
        <w:t xml:space="preserve"> las mesas de examen carecen de módulos de acompañamiento previo o simulacros de evaluación.</w:t>
      </w:r>
    </w:p>
    <w:p>
      <w:pPr>
        <w:numPr>
          <w:ilvl w:val="0"/>
          <w:numId w:val="901"/>
        </w:numPr>
        <w:spacing w:before="0" w:after="160" w:line="240" w:lineRule="auto"/>
        <w:jc w:val="both"/>
      </w:pPr>
      <w:r>
        <w:rPr>
          <w:rFonts w:ascii="Century Gothic" w:hAnsi="Century Gothic" w:cs="Century Gothic" w:eastAsia="Century Gothic"/>
          <w:b/>
          <w:i w:val="0"/>
          <w:sz w:val="20"/>
        </w:rPr>
        <w:t>Limitación para la inscripción en el curso de temporada:</w:t>
      </w:r>
      <w:r>
        <w:rPr>
          <w:rFonts w:ascii="Century Gothic" w:hAnsi="Century Gothic" w:cs="Century Gothic" w:eastAsia="Century Gothic"/>
          <w:b w:val="0"/>
          <w:i w:val="0"/>
          <w:sz w:val="20"/>
        </w:rPr>
        <w:t xml:space="preserve"> se exige un puntaje mínimo mayor o igual a 20 sobre 100 como requisito para nivelar materias en el curso de verano.</w:t>
      </w:r>
    </w:p>
    <w:p>
      <w:pPr>
        <w:numPr>
          <w:ilvl w:val="0"/>
          <w:numId w:val="901"/>
        </w:numPr>
        <w:spacing w:before="0" w:after="160" w:line="240" w:lineRule="auto"/>
        <w:jc w:val="both"/>
      </w:pPr>
      <w:r>
        <w:rPr>
          <w:rFonts w:ascii="Century Gothic" w:hAnsi="Century Gothic" w:cs="Century Gothic" w:eastAsia="Century Gothic"/>
          <w:b/>
          <w:i w:val="0"/>
          <w:sz w:val="20"/>
        </w:rPr>
        <w:t>Limitación del examen de mesa:</w:t>
      </w:r>
      <w:r>
        <w:rPr>
          <w:rFonts w:ascii="Century Gothic" w:hAnsi="Century Gothic" w:cs="Century Gothic" w:eastAsia="Century Gothic"/>
          <w:b w:val="0"/>
          <w:i w:val="0"/>
          <w:sz w:val="20"/>
        </w:rPr>
        <w:t xml:space="preserve"> al estar restringido a materias teóricas, excluye aquellas materias en las que el estudiante pudo haber reprobado y que tendría la oportunidad de nivelar.</w:t>
      </w:r>
    </w:p>
    <w:p>
      <w:pPr>
        <w:numPr>
          <w:ilvl w:val="0"/>
          <w:numId w:val="901"/>
        </w:numPr>
        <w:spacing w:before="0" w:after="200" w:line="240" w:lineRule="auto"/>
        <w:jc w:val="both"/>
      </w:pPr>
      <w:r>
        <w:rPr>
          <w:rFonts w:ascii="Century Gothic" w:hAnsi="Century Gothic" w:cs="Century Gothic" w:eastAsia="Century Gothic"/>
          <w:b/>
          <w:i w:val="0"/>
          <w:sz w:val="20"/>
        </w:rPr>
        <w:t>Ausencia de publicación de solucionarios y rúbricas:</w:t>
      </w:r>
      <w:r>
        <w:rPr>
          <w:rFonts w:ascii="Century Gothic" w:hAnsi="Century Gothic" w:cs="Century Gothic" w:eastAsia="Century Gothic"/>
          <w:b w:val="0"/>
          <w:i w:val="0"/>
          <w:sz w:val="20"/>
        </w:rPr>
        <w:t xml:space="preserve"> Ausencia tras las evaluaciones parciales publicar el solucionario oficial y rúbrica de calificación. Esto deja la revisión de pruebas sujeta a la discrecionalidad del docente, favorece los reclamos y limita el uso de la evaluación como instrumento de aprendizaje para el estudiante reprobado.</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5.3.2</w:t>
        <w:tab/>
      </w:r>
      <w:r>
        <w:rPr>
          <w:rFonts w:ascii="Century Gothic" w:hAnsi="Century Gothic" w:cs="Century Gothic" w:eastAsia="Century Gothic"/>
          <w:b/>
          <w:i w:val="0"/>
          <w:sz w:val="22"/>
        </w:rPr>
        <w:t>EJE 2: PROCESO DE PROMOCIÓN</w:t>
      </w:r>
    </w:p>
    <w:p>
      <w:pPr>
        <w:keepNext/>
        <w:spacing w:before="40" w:after="200" w:line="240" w:lineRule="auto"/>
        <w:jc w:val="left"/>
      </w:pPr>
      <w:r>
        <w:rPr>
          <w:rFonts w:ascii="Century Gothic" w:hAnsi="Century Gothic" w:cs="Century Gothic" w:eastAsia="Century Gothic"/>
          <w:b/>
          <w:i w:val="0"/>
          <w:sz w:val="22"/>
        </w:rPr>
        <w:t>De la Rigidez Curricular al Sistema Flexible y de Alerta Temprana</w:t>
      </w:r>
    </w:p>
    <w:p>
      <w:pPr>
        <w:spacing w:before="0" w:after="200" w:line="240" w:lineRule="auto"/>
        <w:jc w:val="both"/>
      </w:pPr>
      <w:r>
        <w:rPr>
          <w:rFonts w:ascii="Century Gothic" w:hAnsi="Century Gothic" w:cs="Century Gothic" w:eastAsia="Century Gothic"/>
          <w:b w:val="0"/>
          <w:i w:val="0"/>
          <w:sz w:val="20"/>
        </w:rPr>
        <w:t>El tránsito en la promoción busca superar los "cuellos de botella" en materias troncales y las restricciones severas en cursos de temporada y exámenes de mesa. Además, procura que la evaluación y el acompañamiento sean transparentes, preventivos y orientados al aprendizaje, y no únicamente a la sanción del estudiante que reprueba.</w:t>
      </w:r>
    </w:p>
    <w:p>
      <w:pPr>
        <w:spacing w:before="0" w:after="200" w:line="240" w:lineRule="auto"/>
        <w:jc w:val="both"/>
      </w:pPr>
      <w:r>
        <w:rPr>
          <w:rFonts w:ascii="Century Gothic" w:hAnsi="Century Gothic" w:cs="Century Gothic" w:eastAsia="Century Gothic"/>
          <w:b/>
          <w:i w:val="0"/>
          <w:sz w:val="20"/>
        </w:rPr>
        <w:t>2.1. Flexibilización y Apertura de Cursos de Temporada (Verano):</w:t>
      </w:r>
    </w:p>
    <w:p>
      <w:pPr>
        <w:spacing w:before="0" w:after="200" w:line="240" w:lineRule="auto"/>
        <w:jc w:val="both"/>
      </w:pPr>
      <w:r>
        <w:rPr>
          <w:rFonts w:ascii="Century Gothic" w:hAnsi="Century Gothic" w:cs="Century Gothic" w:eastAsia="Century Gothic"/>
          <w:b/>
          <w:i w:val="0"/>
          <w:sz w:val="20"/>
        </w:rPr>
        <w:t>Estado actual:</w:t>
      </w:r>
      <w:r>
        <w:rPr>
          <w:rFonts w:ascii="Century Gothic" w:hAnsi="Century Gothic" w:cs="Century Gothic" w:eastAsia="Century Gothic"/>
          <w:b w:val="0"/>
          <w:i w:val="0"/>
          <w:sz w:val="20"/>
        </w:rPr>
        <w:t xml:space="preserve"> Restricción de 160 horas para materias troncales y exigencia excluyente de tener al menos 20/100 puntos para nivelarse.</w:t>
      </w:r>
    </w:p>
    <w:p>
      <w:pPr>
        <w:spacing w:before="0" w:after="200" w:line="240" w:lineRule="auto"/>
        <w:jc w:val="both"/>
      </w:pPr>
      <w:r>
        <w:rPr>
          <w:rFonts w:ascii="Century Gothic" w:hAnsi="Century Gothic" w:cs="Century Gothic" w:eastAsia="Century Gothic"/>
          <w:b/>
          <w:i w:val="0"/>
          <w:sz w:val="20"/>
        </w:rPr>
        <w:t>Prospectiva:</w:t>
      </w:r>
    </w:p>
    <w:p>
      <w:pPr>
        <w:spacing w:before="0" w:after="200" w:line="240" w:lineRule="auto"/>
        <w:jc w:val="both"/>
      </w:pPr>
      <w:r>
        <w:rPr>
          <w:rFonts w:ascii="Century Gothic" w:hAnsi="Century Gothic" w:cs="Century Gothic" w:eastAsia="Century Gothic"/>
          <w:b w:val="0"/>
          <w:i w:val="0"/>
          <w:sz w:val="20"/>
        </w:rPr>
        <w:t>Eliminación de la barrera restrictiva de los 20 puntos, permitiendo que todo estudiante reprobado pueda optar por la nivelación bajo un esquema de tutoría complementaria obligatoria.</w:t>
      </w:r>
    </w:p>
    <w:p>
      <w:pPr>
        <w:spacing w:before="0" w:after="200" w:line="240" w:lineRule="auto"/>
        <w:jc w:val="both"/>
      </w:pPr>
      <w:r>
        <w:rPr>
          <w:rFonts w:ascii="Century Gothic" w:hAnsi="Century Gothic" w:cs="Century Gothic" w:eastAsia="Century Gothic"/>
          <w:b w:val="0"/>
          <w:i w:val="0"/>
          <w:sz w:val="20"/>
        </w:rPr>
        <w:t>Rediseño de los cursos de temporada mediante plataformas híbridas (virtual-presencial) para habilitar materias troncales complejas (Contabilidad Financiera, Auditoría y Tributación) superando el límite rígido de las 160 horas.</w:t>
      </w:r>
    </w:p>
    <w:p>
      <w:pPr>
        <w:spacing w:before="0" w:after="200" w:line="240" w:lineRule="auto"/>
        <w:jc w:val="both"/>
      </w:pPr>
      <w:r>
        <w:rPr>
          <w:rFonts w:ascii="Century Gothic" w:hAnsi="Century Gothic" w:cs="Century Gothic" w:eastAsia="Century Gothic"/>
          <w:b/>
          <w:i w:val="0"/>
          <w:sz w:val="20"/>
        </w:rPr>
        <w:t>2.2. Sistema de Alerta Temprana y Monitoreo Predictivo:</w:t>
      </w:r>
    </w:p>
    <w:p>
      <w:pPr>
        <w:spacing w:before="0" w:after="200" w:line="240" w:lineRule="auto"/>
        <w:jc w:val="both"/>
      </w:pPr>
      <w:r>
        <w:rPr>
          <w:rFonts w:ascii="Century Gothic" w:hAnsi="Century Gothic" w:cs="Century Gothic" w:eastAsia="Century Gothic"/>
          <w:b/>
          <w:i w:val="0"/>
          <w:sz w:val="20"/>
        </w:rPr>
        <w:t>Estado actual:</w:t>
      </w:r>
      <w:r>
        <w:rPr>
          <w:rFonts w:ascii="Century Gothic" w:hAnsi="Century Gothic" w:cs="Century Gothic" w:eastAsia="Century Gothic"/>
          <w:b w:val="0"/>
          <w:i w:val="0"/>
          <w:sz w:val="20"/>
        </w:rPr>
        <w:t xml:space="preserve"> Seguimiento reactivo (se descubre el fracaso tras los exámenes parciales o finales).</w:t>
      </w:r>
    </w:p>
    <w:p>
      <w:pPr>
        <w:spacing w:before="0" w:after="200" w:line="240" w:lineRule="auto"/>
        <w:jc w:val="both"/>
      </w:pPr>
      <w:r>
        <w:rPr>
          <w:rFonts w:ascii="Century Gothic" w:hAnsi="Century Gothic" w:cs="Century Gothic" w:eastAsia="Century Gothic"/>
          <w:b/>
          <w:i w:val="0"/>
          <w:sz w:val="20"/>
        </w:rPr>
        <w:t>Prospectiva:</w:t>
      </w:r>
    </w:p>
    <w:p>
      <w:pPr>
        <w:spacing w:before="0" w:after="200" w:line="240" w:lineRule="auto"/>
        <w:jc w:val="both"/>
      </w:pPr>
      <w:r>
        <w:rPr>
          <w:rFonts w:ascii="Century Gothic" w:hAnsi="Century Gothic" w:cs="Century Gothic" w:eastAsia="Century Gothic"/>
          <w:b w:val="0"/>
          <w:i w:val="0"/>
          <w:sz w:val="20"/>
        </w:rPr>
        <w:t>Creación de un software de seguimiento académico conectado al kárdex que detecte bajadas de rendimiento o inasistencias crónicas antes del primer parcial, activando alertas automáticas para tutorías de pares o asesoramiento pedagógico.</w:t>
      </w:r>
    </w:p>
    <w:p>
      <w:pPr>
        <w:spacing w:before="0" w:after="200" w:line="240" w:lineRule="auto"/>
        <w:jc w:val="both"/>
      </w:pPr>
      <w:r>
        <w:rPr>
          <w:rFonts w:ascii="Century Gothic" w:hAnsi="Century Gothic" w:cs="Century Gothic" w:eastAsia="Century Gothic"/>
          <w:b w:val="0"/>
          <w:i w:val="0"/>
          <w:sz w:val="20"/>
        </w:rPr>
        <w:t>Reestructuración de las auxiliaturas hacia talleres de consulta y tutoría entre pares: se reorientan las funciones de los Auxiliares de Docencia para destinar horas semanales a talleres fijos de resolución de dudas y repaso práctico en las materias con mayor índice de reprobación. Así, las alertas del sistema cuentan con un canal concreto de atención antes de las evaluaciones parciales, y los estudiantes con vacíos conceptuales pueden nivelarse antes de llegar al examen final.</w:t>
      </w:r>
    </w:p>
    <w:p>
      <w:pPr>
        <w:spacing w:before="0" w:after="200" w:line="240" w:lineRule="auto"/>
        <w:jc w:val="both"/>
      </w:pPr>
      <w:r>
        <w:rPr>
          <w:rFonts w:ascii="Century Gothic" w:hAnsi="Century Gothic" w:cs="Century Gothic" w:eastAsia="Century Gothic"/>
          <w:b/>
          <w:i w:val="0"/>
          <w:sz w:val="20"/>
        </w:rPr>
        <w:t>Factibilidad:</w:t>
      </w:r>
      <w:r>
        <w:rPr>
          <w:rFonts w:ascii="Century Gothic" w:hAnsi="Century Gothic" w:cs="Century Gothic" w:eastAsia="Century Gothic"/>
          <w:b w:val="0"/>
          <w:i w:val="0"/>
          <w:sz w:val="20"/>
        </w:rPr>
        <w:t xml:space="preserve"> No genera ningún costo adicional.</w:t>
      </w:r>
    </w:p>
    <w:p>
      <w:pPr>
        <w:spacing w:before="0" w:after="200" w:line="240" w:lineRule="auto"/>
        <w:jc w:val="both"/>
      </w:pPr>
      <w:r>
        <w:rPr>
          <w:rFonts w:ascii="Century Gothic" w:hAnsi="Century Gothic" w:cs="Century Gothic" w:eastAsia="Century Gothic"/>
          <w:b/>
          <w:i w:val="0"/>
          <w:sz w:val="20"/>
        </w:rPr>
        <w:t>2.3. Ampliación y Democratización de Mesas de Examen:</w:t>
      </w:r>
    </w:p>
    <w:p>
      <w:pPr>
        <w:spacing w:before="0" w:after="200" w:line="240" w:lineRule="auto"/>
        <w:jc w:val="both"/>
      </w:pPr>
      <w:r>
        <w:rPr>
          <w:rFonts w:ascii="Century Gothic" w:hAnsi="Century Gothic" w:cs="Century Gothic" w:eastAsia="Century Gothic"/>
          <w:b/>
          <w:i w:val="0"/>
          <w:sz w:val="20"/>
        </w:rPr>
        <w:t>Estado actual:</w:t>
      </w:r>
      <w:r>
        <w:rPr>
          <w:rFonts w:ascii="Century Gothic" w:hAnsi="Century Gothic" w:cs="Century Gothic" w:eastAsia="Century Gothic"/>
          <w:b w:val="0"/>
          <w:i w:val="0"/>
          <w:sz w:val="20"/>
        </w:rPr>
        <w:t xml:space="preserve"> Limitadas exclusivamente a un listado cerrado de materias teóricas.</w:t>
      </w:r>
    </w:p>
    <w:p>
      <w:pPr>
        <w:spacing w:before="0" w:after="200" w:line="240" w:lineRule="auto"/>
        <w:jc w:val="both"/>
      </w:pPr>
      <w:r>
        <w:rPr>
          <w:rFonts w:ascii="Century Gothic" w:hAnsi="Century Gothic" w:cs="Century Gothic" w:eastAsia="Century Gothic"/>
          <w:b/>
          <w:i w:val="0"/>
          <w:sz w:val="20"/>
        </w:rPr>
        <w:t>Prospectiva:</w:t>
      </w:r>
      <w:r>
        <w:rPr>
          <w:rFonts w:ascii="Century Gothic" w:hAnsi="Century Gothic" w:cs="Century Gothic" w:eastAsia="Century Gothic"/>
          <w:b w:val="0"/>
          <w:i w:val="0"/>
          <w:sz w:val="20"/>
        </w:rPr>
        <w:t xml:space="preserve"> Extensión gradual de las modalidades de evaluación extraordinaria (mesas de examen) a áreas prácticas y troncales, acompañadas de seminarios de resolución de casos prácticos previos a la evaluación.</w:t>
      </w:r>
    </w:p>
    <w:p>
      <w:pPr>
        <w:spacing w:before="0" w:after="200" w:line="240" w:lineRule="auto"/>
        <w:jc w:val="both"/>
      </w:pPr>
      <w:r>
        <w:rPr>
          <w:rFonts w:ascii="Century Gothic" w:hAnsi="Century Gothic" w:cs="Century Gothic" w:eastAsia="Century Gothic"/>
          <w:b/>
          <w:i w:val="0"/>
          <w:sz w:val="20"/>
        </w:rPr>
        <w:t>2.4. Publicación Obligatoria de Solucionarios Oficiales Post-Evaluación:</w:t>
      </w:r>
    </w:p>
    <w:p>
      <w:pPr>
        <w:spacing w:before="0" w:after="200" w:line="240" w:lineRule="auto"/>
        <w:jc w:val="both"/>
      </w:pPr>
      <w:r>
        <w:rPr>
          <w:rFonts w:ascii="Century Gothic" w:hAnsi="Century Gothic" w:cs="Century Gothic" w:eastAsia="Century Gothic"/>
          <w:b/>
          <w:i w:val="0"/>
          <w:sz w:val="20"/>
        </w:rPr>
        <w:t>Estado actual:</w:t>
      </w:r>
      <w:r>
        <w:rPr>
          <w:rFonts w:ascii="Century Gothic" w:hAnsi="Century Gothic" w:cs="Century Gothic" w:eastAsia="Century Gothic"/>
          <w:b w:val="0"/>
          <w:i w:val="0"/>
          <w:sz w:val="20"/>
        </w:rPr>
        <w:t xml:space="preserve"> La revisión de las pruebas no cuenta con una obligación formal de publicar el solucionario ni la rúbrica de calificación, lo que deja espacio a la discrecionalidad y a los reclamos.</w:t>
      </w:r>
    </w:p>
    <w:p>
      <w:pPr>
        <w:spacing w:before="0" w:after="200" w:line="240" w:lineRule="auto"/>
        <w:jc w:val="both"/>
      </w:pPr>
      <w:r>
        <w:rPr>
          <w:rFonts w:ascii="Century Gothic" w:hAnsi="Century Gothic" w:cs="Century Gothic" w:eastAsia="Century Gothic"/>
          <w:b/>
          <w:i w:val="0"/>
          <w:sz w:val="20"/>
        </w:rPr>
        <w:t>Prospectiva:</w:t>
      </w:r>
    </w:p>
    <w:p>
      <w:pPr>
        <w:spacing w:before="0" w:after="200" w:line="240" w:lineRule="auto"/>
        <w:jc w:val="both"/>
      </w:pPr>
      <w:r>
        <w:rPr>
          <w:rFonts w:ascii="Century Gothic" w:hAnsi="Century Gothic" w:cs="Century Gothic" w:eastAsia="Century Gothic"/>
          <w:b/>
          <w:i w:val="0"/>
          <w:sz w:val="20"/>
        </w:rPr>
        <w:t>Mecanismo operativo:</w:t>
      </w:r>
      <w:r>
        <w:rPr>
          <w:rFonts w:ascii="Century Gothic" w:hAnsi="Century Gothic" w:cs="Century Gothic" w:eastAsia="Century Gothic"/>
          <w:b w:val="0"/>
          <w:i w:val="0"/>
          <w:sz w:val="20"/>
        </w:rPr>
        <w:t xml:space="preserve"> emisión de una instrucción administrativa desde la Dirección de carrera a los docentes de materias troncales y teóricas a publicar el solucionario oficial detallado y la rúbrica de calificación en la plataforma virtual, dentro de las 48 horas posteriores a la toma de exámenes parciales, finales o mesas de examen.</w:t>
      </w:r>
    </w:p>
    <w:p>
      <w:pPr>
        <w:spacing w:before="0" w:after="200" w:line="240" w:lineRule="auto"/>
        <w:jc w:val="both"/>
      </w:pPr>
      <w:r>
        <w:rPr>
          <w:rFonts w:ascii="Century Gothic" w:hAnsi="Century Gothic" w:cs="Century Gothic" w:eastAsia="Century Gothic"/>
          <w:b/>
          <w:i w:val="0"/>
          <w:sz w:val="20"/>
        </w:rPr>
        <w:t>Justificación e impacto:</w:t>
      </w:r>
      <w:r>
        <w:rPr>
          <w:rFonts w:ascii="Century Gothic" w:hAnsi="Century Gothic" w:cs="Century Gothic" w:eastAsia="Century Gothic"/>
          <w:b w:val="0"/>
          <w:i w:val="0"/>
          <w:sz w:val="20"/>
        </w:rPr>
        <w:t xml:space="preserve"> garantiza la transparencia pedagógica, elimina la discrecionalidad en la revisión de pruebas, reduce sustancialmente los reclamos infundados y convierte a la evaluación en un instrumento de aprendizaje directo para el estudiante reprobado.</w:t>
      </w:r>
    </w:p>
    <w:p>
      <w:pPr>
        <w:spacing w:before="0" w:after="200" w:line="240" w:lineRule="auto"/>
        <w:jc w:val="both"/>
      </w:pPr>
      <w:r>
        <w:rPr>
          <w:rFonts w:ascii="Century Gothic" w:hAnsi="Century Gothic" w:cs="Century Gothic" w:eastAsia="Century Gothic"/>
          <w:b/>
          <w:i w:val="0"/>
          <w:sz w:val="20"/>
        </w:rPr>
        <w:t>Factibilidad:</w:t>
      </w:r>
      <w:r>
        <w:rPr>
          <w:rFonts w:ascii="Century Gothic" w:hAnsi="Century Gothic" w:cs="Century Gothic" w:eastAsia="Century Gothic"/>
          <w:b w:val="0"/>
          <w:i w:val="0"/>
          <w:sz w:val="20"/>
        </w:rPr>
        <w:t xml:space="preserve"> Su cumplimiento se gestiona mediante la supervisión del seguimiento académico de la Dirección de carrera.</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5.4</w:t>
        <w:tab/>
      </w:r>
      <w:r>
        <w:rPr>
          <w:rFonts w:ascii="Century Gothic" w:hAnsi="Century Gothic" w:cs="Century Gothic" w:eastAsia="Century Gothic"/>
          <w:b/>
          <w:i w:val="0"/>
          <w:sz w:val="24"/>
        </w:rPr>
        <w:t>Modalidades de graduación</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5.4.1</w:t>
        <w:tab/>
      </w:r>
      <w:r>
        <w:rPr>
          <w:rFonts w:ascii="Century Gothic" w:hAnsi="Century Gothic" w:cs="Century Gothic" w:eastAsia="Century Gothic"/>
          <w:b/>
          <w:i w:val="0"/>
          <w:sz w:val="22"/>
        </w:rPr>
        <w:t>EJE 3: PROCESO DE GRADUACIÓN</w:t>
      </w:r>
    </w:p>
    <w:p>
      <w:pPr>
        <w:spacing w:before="0" w:after="200" w:line="240" w:lineRule="auto"/>
        <w:jc w:val="both"/>
      </w:pPr>
      <w:r>
        <w:rPr>
          <w:rFonts w:ascii="Century Gothic" w:hAnsi="Century Gothic" w:cs="Century Gothic" w:eastAsia="Century Gothic"/>
          <w:b/>
          <w:i w:val="0"/>
          <w:sz w:val="20"/>
        </w:rPr>
        <w:t>Nivel técnico superior</w:t>
      </w:r>
    </w:p>
    <w:p>
      <w:pPr>
        <w:spacing w:before="0" w:after="200" w:line="240" w:lineRule="auto"/>
        <w:jc w:val="both"/>
      </w:pPr>
      <w:r>
        <w:rPr>
          <w:rFonts w:ascii="Century Gothic" w:hAnsi="Century Gothic" w:cs="Century Gothic" w:eastAsia="Century Gothic"/>
          <w:b/>
          <w:i w:val="0"/>
          <w:sz w:val="20"/>
        </w:rPr>
        <w:t>Situación actual:</w:t>
      </w:r>
      <w:r>
        <w:rPr>
          <w:rFonts w:ascii="Century Gothic" w:hAnsi="Century Gothic" w:cs="Century Gothic" w:eastAsia="Century Gothic"/>
          <w:b w:val="0"/>
          <w:i w:val="0"/>
          <w:sz w:val="20"/>
        </w:rPr>
        <w:t xml:space="preserve"> La carrera cuenta con una modalidad que consiste en rendir un solo examen, al vencimiento de todas las materias hasta el tercer año de la carrera, denominado “Examen de Grado Técnico Superior”, ante un tribunal examinador. Las materias evaluadas son: </w:t>
      </w:r>
      <w:r>
        <w:rPr>
          <w:rFonts w:ascii="Century Gothic" w:hAnsi="Century Gothic" w:cs="Century Gothic" w:eastAsia="Century Gothic"/>
          <w:b w:val="0"/>
          <w:i/>
          <w:sz w:val="20"/>
        </w:rPr>
        <w:t>Contabilidad Básica, Contabilidad Intermedia, Contabilidad de Sociedades, Contabilidad de Tributos, Contabilidad Internacional, Contabilidad de Costos y Gestión, Contabilidad de Bancos y Entidades Financieras, Presupuesto y Contabilidad Gubernamental</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i w:val="0"/>
          <w:sz w:val="20"/>
        </w:rPr>
        <w:t>Nivel licenciatura</w:t>
      </w:r>
    </w:p>
    <w:p>
      <w:pPr>
        <w:keepNext/>
        <w:spacing w:before="40" w:after="200" w:line="240" w:lineRule="auto"/>
        <w:jc w:val="left"/>
      </w:pPr>
      <w:r>
        <w:rPr>
          <w:rFonts w:ascii="Century Gothic" w:hAnsi="Century Gothic" w:cs="Century Gothic" w:eastAsia="Century Gothic"/>
          <w:b/>
          <w:i w:val="0"/>
          <w:sz w:val="22"/>
        </w:rPr>
        <w:t>a) Análisis de las modalidades de titulación y sus resultados</w:t>
      </w:r>
    </w:p>
    <w:p>
      <w:pPr>
        <w:spacing w:before="0" w:after="200" w:line="240" w:lineRule="auto"/>
        <w:jc w:val="both"/>
      </w:pPr>
      <w:r>
        <w:rPr>
          <w:rFonts w:ascii="Century Gothic" w:hAnsi="Century Gothic" w:cs="Century Gothic" w:eastAsia="Century Gothic"/>
          <w:b/>
          <w:i w:val="0"/>
          <w:sz w:val="20"/>
        </w:rPr>
        <w:t>Requisito indispensable:</w:t>
      </w:r>
      <w:r>
        <w:rPr>
          <w:rFonts w:ascii="Century Gothic" w:hAnsi="Century Gothic" w:cs="Century Gothic" w:eastAsia="Century Gothic"/>
          <w:b w:val="0"/>
          <w:i w:val="0"/>
          <w:sz w:val="20"/>
        </w:rPr>
        <w:t xml:space="preserve"> emisión del </w:t>
      </w:r>
      <w:r>
        <w:rPr>
          <w:rFonts w:ascii="Century Gothic" w:hAnsi="Century Gothic" w:cs="Century Gothic" w:eastAsia="Century Gothic"/>
          <w:b w:val="0"/>
          <w:i/>
          <w:sz w:val="20"/>
        </w:rPr>
        <w:t>Certificado de Conclusión de Estudios</w:t>
      </w:r>
      <w:r>
        <w:rPr>
          <w:rFonts w:ascii="Century Gothic" w:hAnsi="Century Gothic" w:cs="Century Gothic" w:eastAsia="Century Gothic"/>
          <w:b w:val="0"/>
          <w:i w:val="0"/>
          <w:sz w:val="20"/>
        </w:rPr>
        <w:t>, conforme al Plan de Estudios 2024, documento que habilita la elección formal de la modalidad de titulación para la obtención del Título de Licenciado en Contaduría Pública y del Título en Provisión Nacional de Contador Público Autorizado (CPA).</w:t>
      </w:r>
    </w:p>
    <w:p>
      <w:pPr>
        <w:spacing w:before="0" w:after="200" w:line="240" w:lineRule="auto"/>
        <w:jc w:val="both"/>
      </w:pPr>
      <w:r>
        <w:rPr>
          <w:rFonts w:ascii="Century Gothic" w:hAnsi="Century Gothic" w:cs="Century Gothic" w:eastAsia="Century Gothic"/>
          <w:b/>
          <w:i w:val="0"/>
          <w:sz w:val="20"/>
        </w:rPr>
        <w:t>Tabla 1. Modalidades de graduación</w:t>
      </w:r>
    </w:p>
    <w:tbl>
      <w:tblPr>
        <w:tblW w:type="auto" w:w="0"/>
        <w:jc w:val="center"/>
        <w:tblLayout w:type="fixed"/>
        <w:tblLook w:firstColumn="1" w:firstRow="1" w:lastColumn="0" w:lastRow="0" w:noHBand="0" w:noVBand="1" w:val="04A0"/>
      </w:tblPr>
      <w:tblGrid>
        <w:gridCol w:w="1709"/>
        <w:gridCol w:w="1819"/>
        <w:gridCol w:w="1709"/>
        <w:gridCol w:w="1765"/>
        <w:gridCol w:w="2069"/>
      </w:tblGrid>
      <w:tr>
        <w:trPr>
          <w:tblHeader/>
        </w:trPr>
        <w:tc>
          <w:tcPr>
            <w:tcW w:type="dxa" w:w="17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Modalidades de Graduación</w:t>
            </w:r>
          </w:p>
        </w:tc>
        <w:tc>
          <w:tcPr>
            <w:tcW w:type="dxa" w:w="181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p>
        </w:tc>
        <w:tc>
          <w:tcPr>
            <w:tcW w:type="dxa" w:w="170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p>
        </w:tc>
        <w:tc>
          <w:tcPr>
            <w:tcW w:type="dxa" w:w="176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p>
        </w:tc>
        <w:tc>
          <w:tcPr>
            <w:tcW w:type="dxa" w:w="20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p>
        </w:tc>
      </w:tr>
      <w:tr>
        <w:tc>
          <w:tcPr>
            <w:tcW w:type="dxa" w:w="17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sz w:val="20"/>
              </w:rPr>
              <w:t>Tesis de grado</w:t>
            </w:r>
          </w:p>
          <w:p>
            <w:pPr>
              <w:spacing w:before="0" w:after="0" w:line="240" w:lineRule="auto"/>
              <w:jc w:val="left"/>
            </w:pPr>
            <w:r>
              <w:rPr>
                <w:rFonts w:ascii="Century Gothic" w:hAnsi="Century Gothic" w:cs="Century Gothic" w:eastAsia="Century Gothic"/>
                <w:b w:val="0"/>
                <w:i/>
                <w:sz w:val="20"/>
              </w:rPr>
              <w:t>(Investigación)</w:t>
            </w:r>
          </w:p>
        </w:tc>
        <w:tc>
          <w:tcPr>
            <w:tcW w:type="dxa" w:w="181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sz w:val="20"/>
              </w:rPr>
              <w:t>Proyecto de Grado</w:t>
            </w:r>
          </w:p>
          <w:p>
            <w:pPr>
              <w:spacing w:before="0" w:after="0" w:line="240" w:lineRule="auto"/>
              <w:jc w:val="left"/>
            </w:pPr>
            <w:r>
              <w:rPr>
                <w:rFonts w:ascii="Century Gothic" w:hAnsi="Century Gothic" w:cs="Century Gothic" w:eastAsia="Century Gothic"/>
                <w:b w:val="0"/>
                <w:i/>
                <w:sz w:val="20"/>
              </w:rPr>
              <w:t>(Diseño Práctico)</w:t>
            </w:r>
          </w:p>
        </w:tc>
        <w:tc>
          <w:tcPr>
            <w:tcW w:type="dxa" w:w="170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sz w:val="20"/>
              </w:rPr>
              <w:t>Examen de Grado</w:t>
            </w:r>
          </w:p>
          <w:p>
            <w:pPr>
              <w:spacing w:before="0" w:after="0" w:line="240" w:lineRule="auto"/>
              <w:jc w:val="left"/>
            </w:pPr>
            <w:r>
              <w:rPr>
                <w:rFonts w:ascii="Century Gothic" w:hAnsi="Century Gothic" w:cs="Century Gothic" w:eastAsia="Century Gothic"/>
                <w:b w:val="0"/>
                <w:i/>
                <w:sz w:val="20"/>
              </w:rPr>
              <w:t>(3 Ciclos)</w:t>
            </w:r>
          </w:p>
        </w:tc>
        <w:tc>
          <w:tcPr>
            <w:tcW w:type="dxa" w:w="176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sz w:val="20"/>
              </w:rPr>
              <w:t>Trabajo Dirigido</w:t>
            </w:r>
          </w:p>
          <w:p>
            <w:pPr>
              <w:spacing w:before="0" w:after="0" w:line="240" w:lineRule="auto"/>
              <w:jc w:val="left"/>
            </w:pPr>
            <w:r>
              <w:rPr>
                <w:rFonts w:ascii="Century Gothic" w:hAnsi="Century Gothic" w:cs="Century Gothic" w:eastAsia="Century Gothic"/>
                <w:b w:val="0"/>
                <w:i/>
                <w:sz w:val="20"/>
              </w:rPr>
              <w:t>(8 Meses)</w:t>
            </w:r>
          </w:p>
        </w:tc>
        <w:tc>
          <w:tcPr>
            <w:tcW w:type="dxa" w:w="20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sz w:val="20"/>
              </w:rPr>
              <w:t>Excelencia / PETAENG</w:t>
            </w:r>
          </w:p>
          <w:p>
            <w:pPr>
              <w:spacing w:before="0" w:after="0" w:line="240" w:lineRule="auto"/>
              <w:jc w:val="left"/>
            </w:pPr>
            <w:r>
              <w:rPr>
                <w:rFonts w:ascii="Century Gothic" w:hAnsi="Century Gothic" w:cs="Century Gothic" w:eastAsia="Century Gothic"/>
                <w:b w:val="0"/>
                <w:i/>
                <w:sz w:val="20"/>
              </w:rPr>
              <w:t>(Promedio / Reingreso)</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sz w:val="20"/>
        </w:rPr>
        <w:t>Nota. Adaptado de Resolución HCU N°233/2024, Reglamentos Internos Carrera Contaduría Pública, Plan de Estudios 2024, Artículo 4.</w:t>
      </w:r>
    </w:p>
    <w:p>
      <w:pPr>
        <w:spacing w:before="0" w:after="200" w:line="240" w:lineRule="auto"/>
        <w:jc w:val="both"/>
      </w:pPr>
      <w:r>
        <w:rPr>
          <w:rFonts w:ascii="Century Gothic" w:hAnsi="Century Gothic" w:cs="Century Gothic" w:eastAsia="Century Gothic"/>
          <w:b/>
          <w:i/>
          <w:sz w:val="20"/>
        </w:rPr>
        <w:t>Tesis de grado</w:t>
      </w:r>
    </w:p>
    <w:p>
      <w:pPr>
        <w:numPr>
          <w:ilvl w:val="0"/>
          <w:numId w:val="901"/>
        </w:numPr>
        <w:spacing w:before="0" w:after="160" w:line="240" w:lineRule="auto"/>
        <w:jc w:val="both"/>
      </w:pPr>
      <w:r>
        <w:rPr>
          <w:rFonts w:ascii="Century Gothic" w:hAnsi="Century Gothic" w:cs="Century Gothic" w:eastAsia="Century Gothic"/>
          <w:b/>
          <w:i w:val="0"/>
          <w:sz w:val="20"/>
        </w:rPr>
        <w:t>Naturaleza:</w:t>
      </w:r>
      <w:r>
        <w:rPr>
          <w:rFonts w:ascii="Century Gothic" w:hAnsi="Century Gothic" w:cs="Century Gothic" w:eastAsia="Century Gothic"/>
          <w:b w:val="0"/>
          <w:i w:val="0"/>
          <w:sz w:val="20"/>
        </w:rPr>
        <w:t xml:space="preserve"> trabajo de investigación científica profunda que aborda un problema teórico o práctico en las ciencias contables y la auditoría.</w:t>
      </w:r>
    </w:p>
    <w:p>
      <w:pPr>
        <w:numPr>
          <w:ilvl w:val="0"/>
          <w:numId w:val="901"/>
        </w:numPr>
        <w:spacing w:before="0" w:after="200" w:line="240" w:lineRule="auto"/>
        <w:jc w:val="both"/>
      </w:pPr>
      <w:r>
        <w:rPr>
          <w:rFonts w:ascii="Century Gothic" w:hAnsi="Century Gothic" w:cs="Century Gothic" w:eastAsia="Century Gothic"/>
          <w:b/>
          <w:i w:val="0"/>
          <w:sz w:val="20"/>
        </w:rPr>
        <w:t>Resultados:</w:t>
      </w:r>
      <w:r>
        <w:rPr>
          <w:rFonts w:ascii="Century Gothic" w:hAnsi="Century Gothic" w:cs="Century Gothic" w:eastAsia="Century Gothic"/>
          <w:b w:val="0"/>
          <w:i w:val="0"/>
          <w:sz w:val="20"/>
        </w:rPr>
        <w:t xml:space="preserve"> genera aportes metodológicos e innovación teórica. Presenta un índice de adopción reducido debido a la exigencia investigativa y a la rigurosidad de los tribunales.</w:t>
      </w:r>
    </w:p>
    <w:p>
      <w:pPr>
        <w:spacing w:before="0" w:after="200" w:line="240" w:lineRule="auto"/>
        <w:jc w:val="both"/>
      </w:pPr>
      <w:r>
        <w:rPr>
          <w:rFonts w:ascii="Century Gothic" w:hAnsi="Century Gothic" w:cs="Century Gothic" w:eastAsia="Century Gothic"/>
          <w:b/>
          <w:i/>
          <w:sz w:val="20"/>
        </w:rPr>
        <w:t>Proyecto de grado</w:t>
      </w:r>
    </w:p>
    <w:p>
      <w:pPr>
        <w:numPr>
          <w:ilvl w:val="0"/>
          <w:numId w:val="901"/>
        </w:numPr>
        <w:spacing w:before="0" w:after="160" w:line="240" w:lineRule="auto"/>
        <w:jc w:val="both"/>
      </w:pPr>
      <w:r>
        <w:rPr>
          <w:rFonts w:ascii="Century Gothic" w:hAnsi="Century Gothic" w:cs="Century Gothic" w:eastAsia="Century Gothic"/>
          <w:b/>
          <w:i w:val="0"/>
          <w:sz w:val="20"/>
        </w:rPr>
        <w:t>Naturaleza:</w:t>
      </w:r>
      <w:r>
        <w:rPr>
          <w:rFonts w:ascii="Century Gothic" w:hAnsi="Century Gothic" w:cs="Century Gothic" w:eastAsia="Century Gothic"/>
          <w:b w:val="0"/>
          <w:i w:val="0"/>
          <w:sz w:val="20"/>
        </w:rPr>
        <w:t xml:space="preserve"> trabajo de investigación, programación y diseño de proyectos de aplicación práctica, de uso social o empresarial, para solucionar problemas de un sector específico.</w:t>
      </w:r>
    </w:p>
    <w:p>
      <w:pPr>
        <w:numPr>
          <w:ilvl w:val="0"/>
          <w:numId w:val="901"/>
        </w:numPr>
        <w:spacing w:before="0" w:after="200" w:line="240" w:lineRule="auto"/>
        <w:jc w:val="both"/>
      </w:pPr>
      <w:r>
        <w:rPr>
          <w:rFonts w:ascii="Century Gothic" w:hAnsi="Century Gothic" w:cs="Century Gothic" w:eastAsia="Century Gothic"/>
          <w:b/>
          <w:i w:val="0"/>
          <w:sz w:val="20"/>
        </w:rPr>
        <w:t>Resultados:</w:t>
      </w:r>
      <w:r>
        <w:rPr>
          <w:rFonts w:ascii="Century Gothic" w:hAnsi="Century Gothic" w:cs="Century Gothic" w:eastAsia="Century Gothic"/>
          <w:b w:val="0"/>
          <w:i w:val="0"/>
          <w:sz w:val="20"/>
        </w:rPr>
        <w:t xml:space="preserve"> altamente valorado por empresas e instituciones públicas; permite diseñar sistemas de control interno, costos o modelos contables sectoriales.</w:t>
      </w:r>
    </w:p>
    <w:p>
      <w:pPr>
        <w:spacing w:before="0" w:after="200" w:line="240" w:lineRule="auto"/>
        <w:jc w:val="both"/>
      </w:pPr>
      <w:r>
        <w:rPr>
          <w:rFonts w:ascii="Century Gothic" w:hAnsi="Century Gothic" w:cs="Century Gothic" w:eastAsia="Century Gothic"/>
          <w:b/>
          <w:i/>
          <w:sz w:val="20"/>
        </w:rPr>
        <w:t>Examen de grado</w:t>
      </w:r>
    </w:p>
    <w:p>
      <w:pPr>
        <w:numPr>
          <w:ilvl w:val="0"/>
          <w:numId w:val="901"/>
        </w:numPr>
        <w:spacing w:before="0" w:after="160" w:line="240" w:lineRule="auto"/>
        <w:jc w:val="both"/>
      </w:pPr>
      <w:r>
        <w:rPr>
          <w:rFonts w:ascii="Century Gothic" w:hAnsi="Century Gothic" w:cs="Century Gothic" w:eastAsia="Century Gothic"/>
          <w:b/>
          <w:i w:val="0"/>
          <w:sz w:val="20"/>
        </w:rPr>
        <w:t>Naturaleza:</w:t>
      </w:r>
      <w:r>
        <w:rPr>
          <w:rFonts w:ascii="Century Gothic" w:hAnsi="Century Gothic" w:cs="Century Gothic" w:eastAsia="Century Gothic"/>
          <w:b w:val="0"/>
          <w:i w:val="0"/>
          <w:sz w:val="20"/>
        </w:rPr>
        <w:t xml:space="preserve"> evaluación integral de conocimientos teóricos y prácticos adquiridos durante la carrera, mediante pruebas escritas u orales ante un Tribunal Examinador.</w:t>
      </w:r>
    </w:p>
    <w:p>
      <w:pPr>
        <w:numPr>
          <w:ilvl w:val="0"/>
          <w:numId w:val="901"/>
        </w:numPr>
        <w:spacing w:before="0" w:after="200" w:line="240" w:lineRule="auto"/>
        <w:jc w:val="both"/>
      </w:pPr>
      <w:r>
        <w:rPr>
          <w:rFonts w:ascii="Century Gothic" w:hAnsi="Century Gothic" w:cs="Century Gothic" w:eastAsia="Century Gothic"/>
          <w:b/>
          <w:i w:val="0"/>
          <w:sz w:val="20"/>
        </w:rPr>
        <w:t>Resultados:</w:t>
      </w:r>
      <w:r>
        <w:rPr>
          <w:rFonts w:ascii="Century Gothic" w:hAnsi="Century Gothic" w:cs="Century Gothic" w:eastAsia="Century Gothic"/>
          <w:b w:val="0"/>
          <w:i w:val="0"/>
          <w:sz w:val="20"/>
        </w:rPr>
        <w:t xml:space="preserve"> es la modalidad más solicitada por su predictibilidad.</w:t>
      </w:r>
    </w:p>
    <w:p>
      <w:pPr>
        <w:spacing w:before="0" w:after="200" w:line="240" w:lineRule="auto"/>
        <w:jc w:val="both"/>
      </w:pPr>
      <w:r>
        <w:rPr>
          <w:rFonts w:ascii="Century Gothic" w:hAnsi="Century Gothic" w:cs="Century Gothic" w:eastAsia="Century Gothic"/>
          <w:b/>
          <w:i/>
          <w:sz w:val="20"/>
        </w:rPr>
        <w:t>Trabajo dirigido (externo e interno)</w:t>
      </w:r>
    </w:p>
    <w:p>
      <w:pPr>
        <w:numPr>
          <w:ilvl w:val="0"/>
          <w:numId w:val="901"/>
        </w:numPr>
        <w:spacing w:before="0" w:after="160" w:line="240" w:lineRule="auto"/>
        <w:jc w:val="both"/>
      </w:pPr>
      <w:r>
        <w:rPr>
          <w:rFonts w:ascii="Century Gothic" w:hAnsi="Century Gothic" w:cs="Century Gothic" w:eastAsia="Century Gothic"/>
          <w:b/>
          <w:i w:val="0"/>
          <w:sz w:val="20"/>
        </w:rPr>
        <w:t>Naturaleza:</w:t>
      </w:r>
      <w:r>
        <w:rPr>
          <w:rFonts w:ascii="Century Gothic" w:hAnsi="Century Gothic" w:cs="Century Gothic" w:eastAsia="Century Gothic"/>
          <w:b w:val="0"/>
          <w:i w:val="0"/>
          <w:sz w:val="20"/>
        </w:rPr>
        <w:t xml:space="preserve"> práctica pre-profesional en instituciones públicas o privadas (con convenio) o en dependencias de la universidad (interno), supervisada por un Tutor Profesional y un Tutor Docente.</w:t>
      </w:r>
    </w:p>
    <w:p>
      <w:pPr>
        <w:numPr>
          <w:ilvl w:val="0"/>
          <w:numId w:val="901"/>
        </w:numPr>
        <w:spacing w:before="0" w:after="200" w:line="240" w:lineRule="auto"/>
        <w:jc w:val="both"/>
      </w:pPr>
      <w:r>
        <w:rPr>
          <w:rFonts w:ascii="Century Gothic" w:hAnsi="Century Gothic" w:cs="Century Gothic" w:eastAsia="Century Gothic"/>
          <w:b/>
          <w:i w:val="0"/>
          <w:sz w:val="20"/>
        </w:rPr>
        <w:t>Resultados:</w:t>
      </w:r>
      <w:r>
        <w:rPr>
          <w:rFonts w:ascii="Century Gothic" w:hAnsi="Century Gothic" w:cs="Century Gothic" w:eastAsia="Century Gothic"/>
          <w:b w:val="0"/>
          <w:i w:val="0"/>
          <w:sz w:val="20"/>
        </w:rPr>
        <w:t xml:space="preserve"> excelente tasa de empleabilidad pre-graduación. El 85% de la calificación depende del desempeño continuo (informes trimestrales) y el 15% de la presentación pública.</w:t>
      </w:r>
    </w:p>
    <w:p>
      <w:pPr>
        <w:spacing w:before="0" w:after="200" w:line="240" w:lineRule="auto"/>
        <w:jc w:val="both"/>
      </w:pPr>
      <w:r>
        <w:rPr>
          <w:rFonts w:ascii="Century Gothic" w:hAnsi="Century Gothic" w:cs="Century Gothic" w:eastAsia="Century Gothic"/>
          <w:b/>
          <w:i/>
          <w:sz w:val="20"/>
        </w:rPr>
        <w:t>Por excelencia</w:t>
      </w:r>
    </w:p>
    <w:p>
      <w:pPr>
        <w:numPr>
          <w:ilvl w:val="0"/>
          <w:numId w:val="901"/>
        </w:numPr>
        <w:spacing w:before="0" w:after="160" w:line="240" w:lineRule="auto"/>
        <w:jc w:val="both"/>
      </w:pPr>
      <w:r>
        <w:rPr>
          <w:rFonts w:ascii="Century Gothic" w:hAnsi="Century Gothic" w:cs="Century Gothic" w:eastAsia="Century Gothic"/>
          <w:b/>
          <w:i w:val="0"/>
          <w:sz w:val="20"/>
        </w:rPr>
        <w:t>Naturaleza:</w:t>
      </w:r>
      <w:r>
        <w:rPr>
          <w:rFonts w:ascii="Century Gothic" w:hAnsi="Century Gothic" w:cs="Century Gothic" w:eastAsia="Century Gothic"/>
          <w:b w:val="0"/>
          <w:i w:val="0"/>
          <w:sz w:val="20"/>
        </w:rPr>
        <w:t xml:space="preserve"> reconocimiento exento de defensa oral, otorgado a estudiantes que mantienen un rendimiento académico sobresaliente durante toda la carrera.</w:t>
      </w:r>
    </w:p>
    <w:p>
      <w:pPr>
        <w:numPr>
          <w:ilvl w:val="0"/>
          <w:numId w:val="901"/>
        </w:numPr>
        <w:spacing w:before="0" w:after="200" w:line="240" w:lineRule="auto"/>
        <w:jc w:val="both"/>
      </w:pPr>
      <w:r>
        <w:rPr>
          <w:rFonts w:ascii="Century Gothic" w:hAnsi="Century Gothic" w:cs="Century Gothic" w:eastAsia="Century Gothic"/>
          <w:b/>
          <w:i w:val="0"/>
          <w:sz w:val="20"/>
        </w:rPr>
        <w:t>Resultados:</w:t>
      </w:r>
      <w:r>
        <w:rPr>
          <w:rFonts w:ascii="Century Gothic" w:hAnsi="Century Gothic" w:cs="Century Gothic" w:eastAsia="Century Gothic"/>
          <w:b w:val="0"/>
          <w:i w:val="0"/>
          <w:sz w:val="20"/>
        </w:rPr>
        <w:t xml:space="preserve"> promueve la excelencia académica continua y acorta a cero el tiempo de post-egreso.</w:t>
      </w:r>
    </w:p>
    <w:p>
      <w:pPr>
        <w:spacing w:before="0" w:after="200" w:line="240" w:lineRule="auto"/>
        <w:jc w:val="both"/>
      </w:pPr>
      <w:r>
        <w:rPr>
          <w:rFonts w:ascii="Century Gothic" w:hAnsi="Century Gothic" w:cs="Century Gothic" w:eastAsia="Century Gothic"/>
          <w:b/>
          <w:i/>
          <w:sz w:val="20"/>
        </w:rPr>
        <w:t>PETAENG (Plan Excepcional de Titulación para Antiguos Estudiantes No Graduados)</w:t>
      </w:r>
    </w:p>
    <w:p>
      <w:pPr>
        <w:numPr>
          <w:ilvl w:val="0"/>
          <w:numId w:val="901"/>
        </w:numPr>
        <w:spacing w:before="0" w:after="160" w:line="240" w:lineRule="auto"/>
        <w:jc w:val="both"/>
      </w:pPr>
      <w:r>
        <w:rPr>
          <w:rFonts w:ascii="Century Gothic" w:hAnsi="Century Gothic" w:cs="Century Gothic" w:eastAsia="Century Gothic"/>
          <w:b/>
          <w:i w:val="0"/>
          <w:sz w:val="20"/>
        </w:rPr>
        <w:t>Naturaleza:</w:t>
      </w:r>
      <w:r>
        <w:rPr>
          <w:rFonts w:ascii="Century Gothic" w:hAnsi="Century Gothic" w:cs="Century Gothic" w:eastAsia="Century Gothic"/>
          <w:b w:val="0"/>
          <w:i w:val="0"/>
          <w:sz w:val="20"/>
        </w:rPr>
        <w:t xml:space="preserve"> programa extraordinario para egresados de gestiones anteriores que no lograron titularse en los plazos reglamentarios.</w:t>
      </w:r>
    </w:p>
    <w:p>
      <w:pPr>
        <w:numPr>
          <w:ilvl w:val="0"/>
          <w:numId w:val="901"/>
        </w:numPr>
        <w:spacing w:before="0" w:after="200" w:line="240" w:lineRule="auto"/>
        <w:jc w:val="both"/>
      </w:pPr>
      <w:r>
        <w:rPr>
          <w:rFonts w:ascii="Century Gothic" w:hAnsi="Century Gothic" w:cs="Century Gothic" w:eastAsia="Century Gothic"/>
          <w:b/>
          <w:i w:val="0"/>
          <w:sz w:val="20"/>
        </w:rPr>
        <w:t>Resultados:</w:t>
      </w:r>
      <w:r>
        <w:rPr>
          <w:rFonts w:ascii="Century Gothic" w:hAnsi="Century Gothic" w:cs="Century Gothic" w:eastAsia="Century Gothic"/>
          <w:b w:val="0"/>
          <w:i w:val="0"/>
          <w:sz w:val="20"/>
        </w:rPr>
        <w:t xml:space="preserve"> eficaz mecanismo de descongestión del histórico de egresados no titulados.</w:t>
      </w:r>
    </w:p>
    <w:p>
      <w:pPr>
        <w:keepNext/>
        <w:spacing w:before="40" w:after="200" w:line="240" w:lineRule="auto"/>
        <w:jc w:val="left"/>
      </w:pPr>
      <w:r>
        <w:rPr>
          <w:rFonts w:ascii="Century Gothic" w:hAnsi="Century Gothic" w:cs="Century Gothic" w:eastAsia="Century Gothic"/>
          <w:b/>
          <w:i w:val="0"/>
          <w:sz w:val="22"/>
        </w:rPr>
        <w:t>b) Análisis de los requisitos y procesos actuales</w:t>
      </w:r>
    </w:p>
    <w:p>
      <w:pPr>
        <w:spacing w:before="0" w:after="200" w:line="240" w:lineRule="auto"/>
        <w:jc w:val="both"/>
      </w:pPr>
      <w:r>
        <w:rPr>
          <w:rFonts w:ascii="Century Gothic" w:hAnsi="Century Gothic" w:cs="Century Gothic" w:eastAsia="Century Gothic"/>
          <w:b w:val="0"/>
          <w:i w:val="0"/>
          <w:sz w:val="20"/>
        </w:rPr>
        <w:t>A continuación, se presentan el flujo normativo, los requisitos, los plazos y las comisiones evaluadoras de cada modalidad de graduación.</w:t>
      </w:r>
    </w:p>
    <w:p>
      <w:pPr>
        <w:spacing w:before="0" w:after="200" w:line="240" w:lineRule="auto"/>
        <w:jc w:val="both"/>
      </w:pPr>
      <w:r>
        <w:rPr>
          <w:rFonts w:ascii="Century Gothic" w:hAnsi="Century Gothic" w:cs="Century Gothic" w:eastAsia="Century Gothic"/>
          <w:b/>
          <w:i/>
          <w:sz w:val="20"/>
        </w:rPr>
        <w:t>Tesis</w:t>
      </w:r>
    </w:p>
    <w:p>
      <w:pPr>
        <w:numPr>
          <w:ilvl w:val="0"/>
          <w:numId w:val="901"/>
        </w:numPr>
        <w:spacing w:before="0" w:after="200" w:line="240" w:lineRule="auto"/>
        <w:jc w:val="both"/>
      </w:pPr>
      <w:r>
        <w:rPr>
          <w:rFonts w:ascii="Century Gothic" w:hAnsi="Century Gothic" w:cs="Century Gothic" w:eastAsia="Century Gothic"/>
          <w:b/>
          <w:i w:val="0"/>
          <w:sz w:val="20"/>
        </w:rPr>
        <w:t>Requisitos de habilitación:</w:t>
      </w:r>
    </w:p>
    <w:p>
      <w:pPr>
        <w:numPr>
          <w:ilvl w:val="0"/>
          <w:numId w:val="903"/>
        </w:numPr>
        <w:spacing w:before="0" w:after="160" w:line="240" w:lineRule="auto"/>
        <w:jc w:val="both"/>
      </w:pPr>
      <w:r>
        <w:rPr>
          <w:rFonts w:ascii="Century Gothic" w:hAnsi="Century Gothic" w:cs="Century Gothic" w:eastAsia="Century Gothic"/>
          <w:b w:val="0"/>
          <w:i w:val="0"/>
          <w:sz w:val="20"/>
        </w:rPr>
        <w:t>Certificado de Conclusión de Estudios (Plan de Estudios 2024).</w:t>
      </w:r>
    </w:p>
    <w:p>
      <w:pPr>
        <w:numPr>
          <w:ilvl w:val="0"/>
          <w:numId w:val="903"/>
        </w:numPr>
        <w:spacing w:before="0" w:after="160" w:line="240" w:lineRule="auto"/>
        <w:jc w:val="both"/>
      </w:pPr>
      <w:r>
        <w:rPr>
          <w:rFonts w:ascii="Century Gothic" w:hAnsi="Century Gothic" w:cs="Century Gothic" w:eastAsia="Century Gothic"/>
          <w:b w:val="0"/>
          <w:i w:val="0"/>
          <w:sz w:val="20"/>
        </w:rPr>
        <w:t>Solicitud dirigida al Director de Carrera y Resolución de autorización de modalidad.</w:t>
      </w:r>
    </w:p>
    <w:p>
      <w:pPr>
        <w:numPr>
          <w:ilvl w:val="0"/>
          <w:numId w:val="903"/>
        </w:numPr>
        <w:spacing w:before="0" w:after="160" w:line="240" w:lineRule="auto"/>
        <w:jc w:val="both"/>
      </w:pPr>
      <w:r>
        <w:rPr>
          <w:rFonts w:ascii="Century Gothic" w:hAnsi="Century Gothic" w:cs="Century Gothic" w:eastAsia="Century Gothic"/>
          <w:b w:val="0"/>
          <w:i w:val="0"/>
          <w:sz w:val="20"/>
        </w:rPr>
        <w:t>Conformación de un Tutor Académico (docente titular o interino con grado mínimo de Licenciatura).</w:t>
      </w:r>
    </w:p>
    <w:p>
      <w:pPr>
        <w:numPr>
          <w:ilvl w:val="0"/>
          <w:numId w:val="903"/>
        </w:numPr>
        <w:spacing w:before="0" w:after="200" w:line="240" w:lineRule="auto"/>
        <w:jc w:val="both"/>
      </w:pPr>
      <w:r>
        <w:rPr>
          <w:rFonts w:ascii="Century Gothic" w:hAnsi="Century Gothic" w:cs="Century Gothic" w:eastAsia="Century Gothic"/>
          <w:b w:val="0"/>
          <w:i w:val="0"/>
          <w:sz w:val="20"/>
        </w:rPr>
        <w:t>Presentación del Perfil de Tesis en cuatro (4) ejemplares impresos.</w:t>
      </w:r>
    </w:p>
    <w:p>
      <w:pPr>
        <w:numPr>
          <w:ilvl w:val="0"/>
          <w:numId w:val="901"/>
        </w:numPr>
        <w:spacing w:before="0" w:after="200" w:line="240" w:lineRule="auto"/>
        <w:jc w:val="both"/>
      </w:pPr>
      <w:r>
        <w:rPr>
          <w:rFonts w:ascii="Century Gothic" w:hAnsi="Century Gothic" w:cs="Century Gothic" w:eastAsia="Century Gothic"/>
          <w:b/>
          <w:i w:val="0"/>
          <w:sz w:val="20"/>
        </w:rPr>
        <w:t>Proceso normativo y fases:</w:t>
      </w:r>
    </w:p>
    <w:p>
      <w:pPr>
        <w:numPr>
          <w:ilvl w:val="0"/>
          <w:numId w:val="904"/>
        </w:numPr>
        <w:spacing w:before="0" w:after="160" w:line="240" w:lineRule="auto"/>
        <w:jc w:val="both"/>
      </w:pPr>
      <w:r>
        <w:rPr>
          <w:rFonts w:ascii="Century Gothic" w:hAnsi="Century Gothic" w:cs="Century Gothic" w:eastAsia="Century Gothic"/>
          <w:b/>
          <w:i/>
          <w:sz w:val="20"/>
        </w:rPr>
        <w:t>Fase 1: Revisión de perfil.</w:t>
      </w:r>
      <w:r>
        <w:rPr>
          <w:rFonts w:ascii="Century Gothic" w:hAnsi="Century Gothic" w:cs="Century Gothic" w:eastAsia="Century Gothic"/>
          <w:b w:val="0"/>
          <w:i w:val="0"/>
          <w:sz w:val="20"/>
        </w:rPr>
        <w:t xml:space="preserve"> El Director designa tres (3) docentes como Tribunal Revisor. Tienen 20 días calendario para emitir informe. En caso de observaciones, el postulante tiene 20 días calendario para corregir y el tribunal 20 días adicionales para revisar.</w:t>
      </w:r>
    </w:p>
    <w:p>
      <w:pPr>
        <w:numPr>
          <w:ilvl w:val="0"/>
          <w:numId w:val="904"/>
        </w:numPr>
        <w:spacing w:before="0" w:after="160" w:line="240" w:lineRule="auto"/>
        <w:jc w:val="both"/>
      </w:pPr>
      <w:r>
        <w:rPr>
          <w:rFonts w:ascii="Century Gothic" w:hAnsi="Century Gothic" w:cs="Century Gothic" w:eastAsia="Century Gothic"/>
          <w:b/>
          <w:i/>
          <w:sz w:val="20"/>
        </w:rPr>
        <w:t>Fase 2: Aprobación de perfil.</w:t>
      </w:r>
      <w:r>
        <w:rPr>
          <w:rFonts w:ascii="Century Gothic" w:hAnsi="Century Gothic" w:cs="Century Gothic" w:eastAsia="Century Gothic"/>
          <w:b w:val="0"/>
          <w:i w:val="0"/>
          <w:sz w:val="20"/>
        </w:rPr>
        <w:t xml:space="preserve"> Aprobado el perfil, el Director emite Resolución de Dirección en un plazo máximo de 7 días calendario.</w:t>
      </w:r>
    </w:p>
    <w:p>
      <w:pPr>
        <w:numPr>
          <w:ilvl w:val="0"/>
          <w:numId w:val="904"/>
        </w:numPr>
        <w:spacing w:before="0" w:after="160" w:line="240" w:lineRule="auto"/>
        <w:jc w:val="both"/>
      </w:pPr>
      <w:r>
        <w:rPr>
          <w:rFonts w:ascii="Century Gothic" w:hAnsi="Century Gothic" w:cs="Century Gothic" w:eastAsia="Century Gothic"/>
          <w:b/>
          <w:i/>
          <w:sz w:val="20"/>
        </w:rPr>
        <w:t>Fase 3: Elaboración y borrador.</w:t>
      </w:r>
      <w:r>
        <w:rPr>
          <w:rFonts w:ascii="Century Gothic" w:hAnsi="Century Gothic" w:cs="Century Gothic" w:eastAsia="Century Gothic"/>
          <w:b w:val="0"/>
          <w:i w:val="0"/>
          <w:sz w:val="20"/>
        </w:rPr>
        <w:t xml:space="preserve"> Plazo total máximo de 12 meses (ampliable por 3 meses por única vez mediante Resolución). En un máximo de 180 días calendario posteriores a la aprobación del perfil, se presenta la Tesis en borrador en tres (3) ejemplares anillados.</w:t>
      </w:r>
    </w:p>
    <w:p>
      <w:pPr>
        <w:numPr>
          <w:ilvl w:val="0"/>
          <w:numId w:val="904"/>
        </w:numPr>
        <w:spacing w:before="0" w:after="160" w:line="240" w:lineRule="auto"/>
        <w:jc w:val="both"/>
      </w:pPr>
      <w:r>
        <w:rPr>
          <w:rFonts w:ascii="Century Gothic" w:hAnsi="Century Gothic" w:cs="Century Gothic" w:eastAsia="Century Gothic"/>
          <w:b/>
          <w:i/>
          <w:sz w:val="20"/>
        </w:rPr>
        <w:t>Fase 4: Tribunal Examinador.</w:t>
      </w:r>
      <w:r>
        <w:rPr>
          <w:rFonts w:ascii="Century Gothic" w:hAnsi="Century Gothic" w:cs="Century Gothic" w:eastAsia="Century Gothic"/>
          <w:b w:val="0"/>
          <w:i w:val="0"/>
          <w:sz w:val="20"/>
        </w:rPr>
        <w:t xml:space="preserve"> Los tres revisores asumen como Tribunal Examinador y tienen 20 días calendario para emitir informe de suficiencia u observaciones (con 30 días para subsanar).</w:t>
      </w:r>
    </w:p>
    <w:p>
      <w:pPr>
        <w:numPr>
          <w:ilvl w:val="0"/>
          <w:numId w:val="904"/>
        </w:numPr>
        <w:spacing w:before="0" w:after="200" w:line="240" w:lineRule="auto"/>
        <w:jc w:val="both"/>
      </w:pPr>
      <w:r>
        <w:rPr>
          <w:rFonts w:ascii="Century Gothic" w:hAnsi="Century Gothic" w:cs="Century Gothic" w:eastAsia="Century Gothic"/>
          <w:b/>
          <w:i/>
          <w:sz w:val="20"/>
        </w:rPr>
        <w:t>Fase 5: Sustentación pública.</w:t>
      </w:r>
      <w:r>
        <w:rPr>
          <w:rFonts w:ascii="Century Gothic" w:hAnsi="Century Gothic" w:cs="Century Gothic" w:eastAsia="Century Gothic"/>
          <w:b w:val="0"/>
          <w:i w:val="0"/>
          <w:sz w:val="20"/>
        </w:rPr>
        <w:t xml:space="preserve"> Aprobado el borrador, el estudiante presenta 7 ejemplares empastados (3 Tribunales, 1 Postulante, 1 Tutor, 1 Biblioteca Central, 1 Biblioteca de Carrera). La exposición dura entre 20 y 30 minutos.</w:t>
      </w:r>
    </w:p>
    <w:p>
      <w:pPr>
        <w:numPr>
          <w:ilvl w:val="0"/>
          <w:numId w:val="901"/>
        </w:numPr>
        <w:spacing w:before="0" w:after="200" w:line="240" w:lineRule="auto"/>
        <w:jc w:val="both"/>
      </w:pPr>
      <w:r>
        <w:rPr>
          <w:rFonts w:ascii="Century Gothic" w:hAnsi="Century Gothic" w:cs="Century Gothic" w:eastAsia="Century Gothic"/>
          <w:b/>
          <w:i w:val="0"/>
          <w:sz w:val="20"/>
        </w:rPr>
        <w:t>Ponderación de calificación:</w:t>
      </w:r>
    </w:p>
    <w:p>
      <w:pPr>
        <w:numPr>
          <w:ilvl w:val="0"/>
          <w:numId w:val="905"/>
        </w:numPr>
        <w:spacing w:before="0" w:after="160" w:line="240" w:lineRule="auto"/>
        <w:jc w:val="both"/>
      </w:pPr>
      <w:r>
        <w:rPr>
          <w:rFonts w:ascii="Century Gothic" w:hAnsi="Century Gothic" w:cs="Century Gothic" w:eastAsia="Century Gothic"/>
          <w:b w:val="0"/>
          <w:i w:val="0"/>
          <w:sz w:val="20"/>
        </w:rPr>
        <w:t>Presentación y contenido del trabajo: 50 puntos.</w:t>
      </w:r>
    </w:p>
    <w:p>
      <w:pPr>
        <w:numPr>
          <w:ilvl w:val="0"/>
          <w:numId w:val="905"/>
        </w:numPr>
        <w:spacing w:before="0" w:after="160" w:line="240" w:lineRule="auto"/>
        <w:jc w:val="both"/>
      </w:pPr>
      <w:r>
        <w:rPr>
          <w:rFonts w:ascii="Century Gothic" w:hAnsi="Century Gothic" w:cs="Century Gothic" w:eastAsia="Century Gothic"/>
          <w:b w:val="0"/>
          <w:i w:val="0"/>
          <w:sz w:val="20"/>
        </w:rPr>
        <w:t>Sustentación oral y exposición: 30 puntos.</w:t>
      </w:r>
    </w:p>
    <w:p>
      <w:pPr>
        <w:numPr>
          <w:ilvl w:val="0"/>
          <w:numId w:val="905"/>
        </w:numPr>
        <w:spacing w:before="0" w:after="200" w:line="240" w:lineRule="auto"/>
        <w:jc w:val="both"/>
      </w:pPr>
      <w:r>
        <w:rPr>
          <w:rFonts w:ascii="Century Gothic" w:hAnsi="Century Gothic" w:cs="Century Gothic" w:eastAsia="Century Gothic"/>
          <w:b w:val="0"/>
          <w:i w:val="0"/>
          <w:sz w:val="20"/>
        </w:rPr>
        <w:t>Respuestas a preguntas del Tribunal: 20 puntos.</w:t>
      </w:r>
    </w:p>
    <w:p>
      <w:pPr>
        <w:spacing w:before="0" w:after="200" w:line="240" w:lineRule="auto"/>
        <w:jc w:val="both"/>
      </w:pPr>
      <w:r>
        <w:rPr>
          <w:rFonts w:ascii="Century Gothic" w:hAnsi="Century Gothic" w:cs="Century Gothic" w:eastAsia="Century Gothic"/>
          <w:b/>
          <w:i/>
          <w:sz w:val="20"/>
        </w:rPr>
        <w:t>Proyecto de grado</w:t>
      </w:r>
    </w:p>
    <w:p>
      <w:pPr>
        <w:numPr>
          <w:ilvl w:val="0"/>
          <w:numId w:val="901"/>
        </w:numPr>
        <w:spacing w:before="0" w:after="160" w:line="240" w:lineRule="auto"/>
        <w:jc w:val="both"/>
      </w:pPr>
      <w:r>
        <w:rPr>
          <w:rFonts w:ascii="Century Gothic" w:hAnsi="Century Gothic" w:cs="Century Gothic" w:eastAsia="Century Gothic"/>
          <w:b/>
          <w:i w:val="0"/>
          <w:sz w:val="20"/>
        </w:rPr>
        <w:t>Requisitos de habilitación:</w:t>
      </w:r>
    </w:p>
    <w:p>
      <w:pPr>
        <w:numPr>
          <w:ilvl w:val="1"/>
          <w:numId w:val="901"/>
        </w:numPr>
        <w:spacing w:before="0" w:after="60" w:line="240" w:lineRule="auto"/>
        <w:jc w:val="both"/>
      </w:pPr>
      <w:r>
        <w:rPr>
          <w:rFonts w:ascii="Century Gothic" w:hAnsi="Century Gothic" w:cs="Century Gothic" w:eastAsia="Century Gothic"/>
          <w:b w:val="0"/>
          <w:i w:val="0"/>
          <w:sz w:val="20"/>
        </w:rPr>
        <w:t>Certificado de Conclusión de Estudios.</w:t>
      </w:r>
    </w:p>
    <w:p>
      <w:pPr>
        <w:numPr>
          <w:ilvl w:val="1"/>
          <w:numId w:val="901"/>
        </w:numPr>
        <w:spacing w:before="0" w:after="60" w:line="240" w:lineRule="auto"/>
        <w:jc w:val="both"/>
      </w:pPr>
      <w:r>
        <w:rPr>
          <w:rFonts w:ascii="Century Gothic" w:hAnsi="Century Gothic" w:cs="Century Gothic" w:eastAsia="Century Gothic"/>
          <w:b w:val="0"/>
          <w:i w:val="0"/>
          <w:sz w:val="20"/>
        </w:rPr>
        <w:t>Solicitud formal de modalidad y nombramiento de Tutor Académico.</w:t>
      </w:r>
    </w:p>
    <w:p>
      <w:pPr>
        <w:numPr>
          <w:ilvl w:val="1"/>
          <w:numId w:val="901"/>
        </w:numPr>
        <w:spacing w:before="0" w:after="60" w:line="240" w:lineRule="auto"/>
        <w:jc w:val="both"/>
      </w:pPr>
      <w:r>
        <w:rPr>
          <w:rFonts w:ascii="Century Gothic" w:hAnsi="Century Gothic" w:cs="Century Gothic" w:eastAsia="Century Gothic"/>
          <w:b w:val="0"/>
          <w:i w:val="0"/>
          <w:sz w:val="20"/>
        </w:rPr>
        <w:t>Presentación del Perfil de Proyecto en cuatro (4) ejemplares.</w:t>
      </w:r>
    </w:p>
    <w:p>
      <w:pPr>
        <w:numPr>
          <w:ilvl w:val="0"/>
          <w:numId w:val="901"/>
        </w:numPr>
        <w:spacing w:before="0" w:after="160" w:line="240" w:lineRule="auto"/>
        <w:jc w:val="both"/>
      </w:pPr>
      <w:r>
        <w:rPr>
          <w:rFonts w:ascii="Century Gothic" w:hAnsi="Century Gothic" w:cs="Century Gothic" w:eastAsia="Century Gothic"/>
          <w:b/>
          <w:i w:val="0"/>
          <w:sz w:val="20"/>
        </w:rPr>
        <w:t>Proceso normativo y fases:</w:t>
      </w:r>
    </w:p>
    <w:p>
      <w:pPr>
        <w:numPr>
          <w:ilvl w:val="1"/>
          <w:numId w:val="901"/>
        </w:numPr>
        <w:spacing w:before="0" w:after="60" w:line="240" w:lineRule="auto"/>
        <w:jc w:val="both"/>
      </w:pPr>
      <w:r>
        <w:rPr>
          <w:rFonts w:ascii="Century Gothic" w:hAnsi="Century Gothic" w:cs="Century Gothic" w:eastAsia="Century Gothic"/>
          <w:b w:val="0"/>
          <w:i w:val="0"/>
          <w:sz w:val="20"/>
        </w:rPr>
        <w:t>Sigue exactamente el mismo flujo administrativo, los mismos plazos y las mismas comisiones que la Tesis de Grado (12 meses de plazo general más 3 de prórroga; 20 días para el tribunal de perfil; 180 días para el borrador; 20 días para el examen del borrador; entrega final de 7 ejemplares empastados).</w:t>
      </w:r>
    </w:p>
    <w:p>
      <w:pPr>
        <w:numPr>
          <w:ilvl w:val="0"/>
          <w:numId w:val="901"/>
        </w:numPr>
        <w:spacing w:before="0" w:after="160" w:line="240" w:lineRule="auto"/>
        <w:jc w:val="both"/>
      </w:pPr>
      <w:r>
        <w:rPr>
          <w:rFonts w:ascii="Century Gothic" w:hAnsi="Century Gothic" w:cs="Century Gothic" w:eastAsia="Century Gothic"/>
          <w:b/>
          <w:i w:val="0"/>
          <w:sz w:val="20"/>
        </w:rPr>
        <w:t>Ponderación de calificación:</w:t>
      </w:r>
    </w:p>
    <w:p>
      <w:pPr>
        <w:numPr>
          <w:ilvl w:val="1"/>
          <w:numId w:val="901"/>
        </w:numPr>
        <w:spacing w:before="0" w:after="60" w:line="240" w:lineRule="auto"/>
        <w:jc w:val="both"/>
      </w:pPr>
      <w:r>
        <w:rPr>
          <w:rFonts w:ascii="Century Gothic" w:hAnsi="Century Gothic" w:cs="Century Gothic" w:eastAsia="Century Gothic"/>
          <w:b w:val="0"/>
          <w:i w:val="0"/>
          <w:sz w:val="20"/>
        </w:rPr>
        <w:t>Presentación y contenido del trabajo: 40 puntos.</w:t>
      </w:r>
    </w:p>
    <w:p>
      <w:pPr>
        <w:numPr>
          <w:ilvl w:val="1"/>
          <w:numId w:val="901"/>
        </w:numPr>
        <w:spacing w:before="0" w:after="60" w:line="240" w:lineRule="auto"/>
        <w:jc w:val="both"/>
      </w:pPr>
      <w:r>
        <w:rPr>
          <w:rFonts w:ascii="Century Gothic" w:hAnsi="Century Gothic" w:cs="Century Gothic" w:eastAsia="Century Gothic"/>
          <w:b w:val="0"/>
          <w:i w:val="0"/>
          <w:sz w:val="20"/>
        </w:rPr>
        <w:t>Sustentación oral: 30 puntos.</w:t>
      </w:r>
    </w:p>
    <w:p>
      <w:pPr>
        <w:numPr>
          <w:ilvl w:val="1"/>
          <w:numId w:val="901"/>
        </w:numPr>
        <w:spacing w:before="0" w:after="200" w:line="240" w:lineRule="auto"/>
        <w:jc w:val="both"/>
      </w:pPr>
      <w:r>
        <w:rPr>
          <w:rFonts w:ascii="Century Gothic" w:hAnsi="Century Gothic" w:cs="Century Gothic" w:eastAsia="Century Gothic"/>
          <w:b w:val="0"/>
          <w:i w:val="0"/>
          <w:sz w:val="20"/>
        </w:rPr>
        <w:t>Respuestas a preguntas del Tribunal: 30 puntos.</w:t>
      </w:r>
    </w:p>
    <w:p>
      <w:pPr>
        <w:spacing w:before="0" w:after="200" w:line="240" w:lineRule="auto"/>
        <w:jc w:val="both"/>
      </w:pPr>
      <w:r>
        <w:rPr>
          <w:rFonts w:ascii="Century Gothic" w:hAnsi="Century Gothic" w:cs="Century Gothic" w:eastAsia="Century Gothic"/>
          <w:b/>
          <w:i/>
          <w:sz w:val="20"/>
        </w:rPr>
        <w:t>Examen de grado</w:t>
      </w:r>
    </w:p>
    <w:p>
      <w:pPr>
        <w:numPr>
          <w:ilvl w:val="0"/>
          <w:numId w:val="901"/>
        </w:numPr>
        <w:spacing w:before="0" w:after="200" w:line="240" w:lineRule="auto"/>
        <w:jc w:val="both"/>
      </w:pPr>
      <w:r>
        <w:rPr>
          <w:rFonts w:ascii="Century Gothic" w:hAnsi="Century Gothic" w:cs="Century Gothic" w:eastAsia="Century Gothic"/>
          <w:b/>
          <w:i w:val="0"/>
          <w:sz w:val="20"/>
        </w:rPr>
        <w:t>Requisitos de habilitación:</w:t>
      </w:r>
    </w:p>
    <w:p>
      <w:pPr>
        <w:numPr>
          <w:ilvl w:val="0"/>
          <w:numId w:val="906"/>
        </w:numPr>
        <w:spacing w:before="0" w:after="160" w:line="240" w:lineRule="auto"/>
        <w:jc w:val="both"/>
      </w:pPr>
      <w:r>
        <w:rPr>
          <w:rFonts w:ascii="Century Gothic" w:hAnsi="Century Gothic" w:cs="Century Gothic" w:eastAsia="Century Gothic"/>
          <w:b w:val="0"/>
          <w:i w:val="0"/>
          <w:sz w:val="20"/>
        </w:rPr>
        <w:t>Certificado de Conclusión de Estudios.</w:t>
      </w:r>
    </w:p>
    <w:p>
      <w:pPr>
        <w:numPr>
          <w:ilvl w:val="0"/>
          <w:numId w:val="906"/>
        </w:numPr>
        <w:spacing w:before="0" w:after="160" w:line="240" w:lineRule="auto"/>
        <w:jc w:val="both"/>
      </w:pPr>
      <w:r>
        <w:rPr>
          <w:rFonts w:ascii="Century Gothic" w:hAnsi="Century Gothic" w:cs="Century Gothic" w:eastAsia="Century Gothic"/>
          <w:b w:val="0"/>
          <w:i w:val="0"/>
          <w:sz w:val="20"/>
        </w:rPr>
        <w:t>Solicitud de inscripción ante la Unidad de Gestión con veinte (20) días calendario de anticipación a la fecha programada.</w:t>
      </w:r>
    </w:p>
    <w:p>
      <w:pPr>
        <w:numPr>
          <w:ilvl w:val="0"/>
          <w:numId w:val="906"/>
        </w:numPr>
        <w:spacing w:before="0" w:after="200" w:line="240" w:lineRule="auto"/>
        <w:jc w:val="both"/>
      </w:pPr>
      <w:r>
        <w:rPr>
          <w:rFonts w:ascii="Century Gothic" w:hAnsi="Century Gothic" w:cs="Century Gothic" w:eastAsia="Century Gothic"/>
          <w:b w:val="0"/>
          <w:i w:val="0"/>
          <w:sz w:val="20"/>
        </w:rPr>
        <w:t>Programación mínima de cuatro (4) convocatorias anuales, según Calendario Académico.</w:t>
      </w:r>
    </w:p>
    <w:p>
      <w:pPr>
        <w:numPr>
          <w:ilvl w:val="0"/>
          <w:numId w:val="901"/>
        </w:numPr>
        <w:spacing w:before="0" w:after="200" w:line="240" w:lineRule="auto"/>
        <w:jc w:val="both"/>
      </w:pPr>
      <w:r>
        <w:rPr>
          <w:rFonts w:ascii="Century Gothic" w:hAnsi="Century Gothic" w:cs="Century Gothic" w:eastAsia="Century Gothic"/>
          <w:b/>
          <w:i w:val="0"/>
          <w:sz w:val="20"/>
        </w:rPr>
        <w:t>Estructura y áreas evaluadas (3 ciclos):</w:t>
      </w:r>
    </w:p>
    <w:p>
      <w:pPr>
        <w:numPr>
          <w:ilvl w:val="0"/>
          <w:numId w:val="907"/>
        </w:numPr>
        <w:spacing w:before="0" w:after="160" w:line="240" w:lineRule="auto"/>
        <w:jc w:val="both"/>
      </w:pPr>
      <w:r>
        <w:rPr>
          <w:rFonts w:ascii="Century Gothic" w:hAnsi="Century Gothic" w:cs="Century Gothic" w:eastAsia="Century Gothic"/>
          <w:b/>
          <w:i/>
          <w:sz w:val="20"/>
        </w:rPr>
        <w:t>Ciclo Básico de Información Financiera:</w:t>
      </w:r>
      <w:r>
        <w:rPr>
          <w:rFonts w:ascii="Century Gothic" w:hAnsi="Century Gothic" w:cs="Century Gothic" w:eastAsia="Century Gothic"/>
          <w:b w:val="0"/>
          <w:i w:val="0"/>
          <w:sz w:val="20"/>
        </w:rPr>
        <w:t xml:space="preserve"> Contabilidad Básica, Intermedia, Sociedades, Tributos, Internacional, Costos y Gestión.</w:t>
      </w:r>
    </w:p>
    <w:p>
      <w:pPr>
        <w:numPr>
          <w:ilvl w:val="0"/>
          <w:numId w:val="907"/>
        </w:numPr>
        <w:spacing w:before="0" w:after="160" w:line="240" w:lineRule="auto"/>
        <w:jc w:val="both"/>
      </w:pPr>
      <w:r>
        <w:rPr>
          <w:rFonts w:ascii="Century Gothic" w:hAnsi="Century Gothic" w:cs="Century Gothic" w:eastAsia="Century Gothic"/>
          <w:b/>
          <w:i/>
          <w:sz w:val="20"/>
        </w:rPr>
        <w:t>Ciclo Especializado de Información Financiera:</w:t>
      </w:r>
      <w:r>
        <w:rPr>
          <w:rFonts w:ascii="Century Gothic" w:hAnsi="Century Gothic" w:cs="Century Gothic" w:eastAsia="Century Gothic"/>
          <w:b w:val="0"/>
          <w:i w:val="0"/>
          <w:sz w:val="20"/>
        </w:rPr>
        <w:t xml:space="preserve"> Contabilidad de Bancos, Seguros, Minera/Petrolera, Agrícola/Ganadera, Gubernamental, Finanzas Corporativas.</w:t>
      </w:r>
    </w:p>
    <w:p>
      <w:pPr>
        <w:numPr>
          <w:ilvl w:val="0"/>
          <w:numId w:val="907"/>
        </w:numPr>
        <w:spacing w:before="0" w:after="200" w:line="240" w:lineRule="auto"/>
        <w:jc w:val="both"/>
      </w:pPr>
      <w:r>
        <w:rPr>
          <w:rFonts w:ascii="Century Gothic" w:hAnsi="Century Gothic" w:cs="Century Gothic" w:eastAsia="Century Gothic"/>
          <w:b/>
          <w:i/>
          <w:sz w:val="20"/>
        </w:rPr>
        <w:t>Ciclo de Servicios de Aseguramiento y no Aseguramiento:</w:t>
      </w:r>
      <w:r>
        <w:rPr>
          <w:rFonts w:ascii="Century Gothic" w:hAnsi="Century Gothic" w:cs="Century Gothic" w:eastAsia="Century Gothic"/>
          <w:b w:val="0"/>
          <w:i w:val="0"/>
          <w:sz w:val="20"/>
        </w:rPr>
        <w:t xml:space="preserve"> Auditoría Financiera, Interna/Control Interno/Riesgos, Operativa, Gubernamental, Tributaria, Proyectos, Entidades Financieras.</w:t>
      </w:r>
    </w:p>
    <w:p>
      <w:pPr>
        <w:numPr>
          <w:ilvl w:val="0"/>
          <w:numId w:val="901"/>
        </w:numPr>
        <w:spacing w:before="0" w:after="200" w:line="240" w:lineRule="auto"/>
        <w:jc w:val="both"/>
      </w:pPr>
      <w:r>
        <w:rPr>
          <w:rFonts w:ascii="Century Gothic" w:hAnsi="Century Gothic" w:cs="Century Gothic" w:eastAsia="Century Gothic"/>
          <w:b/>
          <w:i w:val="0"/>
          <w:sz w:val="20"/>
        </w:rPr>
        <w:t>Proceso y metodología del examen:</w:t>
      </w:r>
    </w:p>
    <w:p>
      <w:pPr>
        <w:numPr>
          <w:ilvl w:val="0"/>
          <w:numId w:val="908"/>
        </w:numPr>
        <w:spacing w:before="0" w:after="160" w:line="240" w:lineRule="auto"/>
        <w:jc w:val="both"/>
      </w:pPr>
      <w:r>
        <w:rPr>
          <w:rFonts w:ascii="Century Gothic" w:hAnsi="Century Gothic" w:cs="Century Gothic" w:eastAsia="Century Gothic"/>
          <w:b w:val="0"/>
          <w:i w:val="0"/>
          <w:sz w:val="20"/>
        </w:rPr>
        <w:t>Se desarrollan durante tres (3) semanas continuas (una semana por ciclo).</w:t>
      </w:r>
    </w:p>
    <w:p>
      <w:pPr>
        <w:numPr>
          <w:ilvl w:val="0"/>
          <w:numId w:val="908"/>
        </w:numPr>
        <w:spacing w:before="0" w:after="160" w:line="240" w:lineRule="auto"/>
        <w:jc w:val="both"/>
      </w:pPr>
      <w:r>
        <w:rPr>
          <w:rFonts w:ascii="Century Gothic" w:hAnsi="Century Gothic" w:cs="Century Gothic" w:eastAsia="Century Gothic"/>
          <w:b/>
          <w:i w:val="0"/>
          <w:sz w:val="20"/>
        </w:rPr>
        <w:t>Sorteo de bolos:</w:t>
      </w:r>
      <w:r>
        <w:rPr>
          <w:rFonts w:ascii="Century Gothic" w:hAnsi="Century Gothic" w:cs="Century Gothic" w:eastAsia="Century Gothic"/>
          <w:b w:val="0"/>
          <w:i w:val="0"/>
          <w:sz w:val="20"/>
        </w:rPr>
        <w:t xml:space="preserve"> una hora antes del examen, el estudiante saca dos (2) bolos y elige uno (1) para ser evaluado.</w:t>
      </w:r>
    </w:p>
    <w:p>
      <w:pPr>
        <w:numPr>
          <w:ilvl w:val="0"/>
          <w:numId w:val="908"/>
        </w:numPr>
        <w:spacing w:before="0" w:after="160" w:line="240" w:lineRule="auto"/>
        <w:jc w:val="both"/>
      </w:pPr>
      <w:r>
        <w:rPr>
          <w:rFonts w:ascii="Century Gothic" w:hAnsi="Century Gothic" w:cs="Century Gothic" w:eastAsia="Century Gothic"/>
          <w:b/>
          <w:i w:val="0"/>
          <w:sz w:val="20"/>
        </w:rPr>
        <w:t>Prueba:</w:t>
      </w:r>
      <w:r>
        <w:rPr>
          <w:rFonts w:ascii="Century Gothic" w:hAnsi="Century Gothic" w:cs="Century Gothic" w:eastAsia="Century Gothic"/>
          <w:b w:val="0"/>
          <w:i w:val="0"/>
          <w:sz w:val="20"/>
        </w:rPr>
        <w:t xml:space="preserve"> tiempo estipulado de noventa (90) minutos para el desarrollo de las pruebas escritas u orales ante el Tribunal del Área.</w:t>
      </w:r>
    </w:p>
    <w:p>
      <w:pPr>
        <w:numPr>
          <w:ilvl w:val="0"/>
          <w:numId w:val="908"/>
        </w:numPr>
        <w:spacing w:before="0" w:after="200" w:line="240" w:lineRule="auto"/>
        <w:jc w:val="both"/>
      </w:pPr>
      <w:r>
        <w:rPr>
          <w:rFonts w:ascii="Century Gothic" w:hAnsi="Century Gothic" w:cs="Century Gothic" w:eastAsia="Century Gothic"/>
          <w:b/>
          <w:i w:val="0"/>
          <w:sz w:val="20"/>
        </w:rPr>
        <w:t>Regla de inhabilitación:</w:t>
      </w:r>
      <w:r>
        <w:rPr>
          <w:rFonts w:ascii="Century Gothic" w:hAnsi="Century Gothic" w:cs="Century Gothic" w:eastAsia="Century Gothic"/>
          <w:b w:val="0"/>
          <w:i w:val="0"/>
          <w:sz w:val="20"/>
        </w:rPr>
        <w:t xml:space="preserve"> si el postulante, reprueba tres (3) veces un mismo ciclo, queda inhabilitado definitivamente para la modalidad de Examen de Grado.</w:t>
      </w:r>
    </w:p>
    <w:p>
      <w:pPr>
        <w:spacing w:before="0" w:after="200" w:line="240" w:lineRule="auto"/>
        <w:jc w:val="both"/>
      </w:pPr>
      <w:r>
        <w:rPr>
          <w:rFonts w:ascii="Century Gothic" w:hAnsi="Century Gothic" w:cs="Century Gothic" w:eastAsia="Century Gothic"/>
          <w:b/>
          <w:i/>
          <w:sz w:val="20"/>
        </w:rPr>
        <w:t>Trabajo dirigido</w:t>
      </w:r>
    </w:p>
    <w:p>
      <w:pPr>
        <w:numPr>
          <w:ilvl w:val="0"/>
          <w:numId w:val="901"/>
        </w:numPr>
        <w:spacing w:before="0" w:after="160" w:line="240" w:lineRule="auto"/>
        <w:jc w:val="both"/>
      </w:pPr>
      <w:r>
        <w:rPr>
          <w:rFonts w:ascii="Century Gothic" w:hAnsi="Century Gothic" w:cs="Century Gothic" w:eastAsia="Century Gothic"/>
          <w:b/>
          <w:i w:val="0"/>
          <w:sz w:val="20"/>
        </w:rPr>
        <w:t>Requisitos de habilitación:</w:t>
      </w:r>
    </w:p>
    <w:p>
      <w:pPr>
        <w:numPr>
          <w:ilvl w:val="1"/>
          <w:numId w:val="901"/>
        </w:numPr>
        <w:spacing w:before="0" w:after="60" w:line="240" w:lineRule="auto"/>
        <w:jc w:val="both"/>
      </w:pPr>
      <w:r>
        <w:rPr>
          <w:rFonts w:ascii="Century Gothic" w:hAnsi="Century Gothic" w:cs="Century Gothic" w:eastAsia="Century Gothic"/>
          <w:b w:val="0"/>
          <w:i w:val="0"/>
          <w:sz w:val="20"/>
        </w:rPr>
        <w:t>Certificado de Conclusión de Estudios.</w:t>
      </w:r>
    </w:p>
    <w:p>
      <w:pPr>
        <w:numPr>
          <w:ilvl w:val="1"/>
          <w:numId w:val="901"/>
        </w:numPr>
        <w:spacing w:before="0" w:after="60" w:line="240" w:lineRule="auto"/>
        <w:jc w:val="both"/>
      </w:pPr>
      <w:r>
        <w:rPr>
          <w:rFonts w:ascii="Century Gothic" w:hAnsi="Century Gothic" w:cs="Century Gothic" w:eastAsia="Century Gothic"/>
          <w:b w:val="0"/>
          <w:i w:val="0"/>
          <w:sz w:val="20"/>
        </w:rPr>
        <w:t>Promedio histórico de aprobación de mínimo 60 puntos durante su permanencia.</w:t>
      </w:r>
    </w:p>
    <w:p>
      <w:pPr>
        <w:numPr>
          <w:ilvl w:val="1"/>
          <w:numId w:val="901"/>
        </w:numPr>
        <w:spacing w:before="0" w:after="60" w:line="240" w:lineRule="auto"/>
        <w:jc w:val="both"/>
      </w:pPr>
      <w:r>
        <w:rPr>
          <w:rFonts w:ascii="Century Gothic" w:hAnsi="Century Gothic" w:cs="Century Gothic" w:eastAsia="Century Gothic"/>
          <w:b w:val="0"/>
          <w:i w:val="0"/>
          <w:sz w:val="20"/>
        </w:rPr>
        <w:t>Existencia de Convenio Interinstitucional firmado por el Rector o Decano (para Trabajo Dirigido Externo).</w:t>
      </w:r>
    </w:p>
    <w:p>
      <w:pPr>
        <w:numPr>
          <w:ilvl w:val="0"/>
          <w:numId w:val="901"/>
        </w:numPr>
        <w:spacing w:before="0" w:after="160" w:line="240" w:lineRule="auto"/>
        <w:jc w:val="both"/>
      </w:pPr>
      <w:r>
        <w:rPr>
          <w:rFonts w:ascii="Century Gothic" w:hAnsi="Century Gothic" w:cs="Century Gothic" w:eastAsia="Century Gothic"/>
          <w:b/>
          <w:i w:val="0"/>
          <w:sz w:val="20"/>
        </w:rPr>
        <w:t>Proceso normativo y fases:</w:t>
      </w:r>
    </w:p>
    <w:p>
      <w:pPr>
        <w:numPr>
          <w:ilvl w:val="1"/>
          <w:numId w:val="901"/>
        </w:numPr>
        <w:spacing w:before="0" w:after="60" w:line="240" w:lineRule="auto"/>
        <w:jc w:val="both"/>
      </w:pPr>
      <w:r>
        <w:rPr>
          <w:rFonts w:ascii="Century Gothic" w:hAnsi="Century Gothic" w:cs="Century Gothic" w:eastAsia="Century Gothic"/>
          <w:b/>
          <w:i w:val="0"/>
          <w:sz w:val="20"/>
        </w:rPr>
        <w:t>Asignación:</w:t>
      </w:r>
      <w:r>
        <w:rPr>
          <w:rFonts w:ascii="Century Gothic" w:hAnsi="Century Gothic" w:cs="Century Gothic" w:eastAsia="Century Gothic"/>
          <w:b w:val="0"/>
          <w:i w:val="0"/>
          <w:sz w:val="20"/>
        </w:rPr>
        <w:t xml:space="preserve"> sorteo aleatorio y público de instituciones conveniadas, en base a la convocatoria de la Dirección.</w:t>
      </w:r>
    </w:p>
    <w:p>
      <w:pPr>
        <w:numPr>
          <w:ilvl w:val="1"/>
          <w:numId w:val="901"/>
        </w:numPr>
        <w:spacing w:before="0" w:after="60" w:line="240" w:lineRule="auto"/>
        <w:jc w:val="both"/>
      </w:pPr>
      <w:r>
        <w:rPr>
          <w:rFonts w:ascii="Century Gothic" w:hAnsi="Century Gothic" w:cs="Century Gothic" w:eastAsia="Century Gothic"/>
          <w:b/>
          <w:i w:val="0"/>
          <w:sz w:val="20"/>
        </w:rPr>
        <w:t>Tutores:</w:t>
      </w:r>
      <w:r>
        <w:rPr>
          <w:rFonts w:ascii="Century Gothic" w:hAnsi="Century Gothic" w:cs="Century Gothic" w:eastAsia="Century Gothic"/>
          <w:b w:val="0"/>
          <w:i w:val="0"/>
          <w:sz w:val="20"/>
        </w:rPr>
        <w:t xml:space="preserve"> nombramiento de un Tutor Docente (Académico) y un Tutor Profesional (de la entidad receptora, con grado académico igual o superior).</w:t>
      </w:r>
    </w:p>
    <w:p>
      <w:pPr>
        <w:numPr>
          <w:ilvl w:val="1"/>
          <w:numId w:val="901"/>
        </w:numPr>
        <w:spacing w:before="0" w:after="60" w:line="240" w:lineRule="auto"/>
        <w:jc w:val="both"/>
      </w:pPr>
      <w:r>
        <w:rPr>
          <w:rFonts w:ascii="Century Gothic" w:hAnsi="Century Gothic" w:cs="Century Gothic" w:eastAsia="Century Gothic"/>
          <w:b/>
          <w:i w:val="0"/>
          <w:sz w:val="20"/>
        </w:rPr>
        <w:t>Duración y carga horaria:</w:t>
      </w:r>
      <w:r>
        <w:rPr>
          <w:rFonts w:ascii="Century Gothic" w:hAnsi="Century Gothic" w:cs="Century Gothic" w:eastAsia="Century Gothic"/>
          <w:b w:val="0"/>
          <w:i w:val="0"/>
          <w:sz w:val="20"/>
        </w:rPr>
        <w:t xml:space="preserve"> dedicación exclusiva de ocho (8) meses continuos, cumpliendo un mínimo de 1.280 horas efectivas.</w:t>
      </w:r>
    </w:p>
    <w:p>
      <w:pPr>
        <w:numPr>
          <w:ilvl w:val="1"/>
          <w:numId w:val="901"/>
        </w:numPr>
        <w:spacing w:before="0" w:after="60" w:line="240" w:lineRule="auto"/>
        <w:jc w:val="both"/>
      </w:pPr>
      <w:r>
        <w:rPr>
          <w:rFonts w:ascii="Century Gothic" w:hAnsi="Century Gothic" w:cs="Century Gothic" w:eastAsia="Century Gothic"/>
          <w:b/>
          <w:i w:val="0"/>
          <w:sz w:val="20"/>
        </w:rPr>
        <w:t>Informes:</w:t>
      </w:r>
      <w:r>
        <w:rPr>
          <w:rFonts w:ascii="Century Gothic" w:hAnsi="Century Gothic" w:cs="Century Gothic" w:eastAsia="Century Gothic"/>
          <w:b w:val="0"/>
          <w:i w:val="0"/>
          <w:sz w:val="20"/>
        </w:rPr>
        <w:t xml:space="preserve"> presentación de tres informes: Primer Informe (a los 3 meses), Segundo Informe (a los 6 meses) e Informe Final (a los 8 meses), acompañados del </w:t>
      </w:r>
      <w:r>
        <w:rPr>
          <w:rFonts w:ascii="Century Gothic" w:hAnsi="Century Gothic" w:cs="Century Gothic" w:eastAsia="Century Gothic"/>
          <w:b w:val="0"/>
          <w:i/>
          <w:sz w:val="20"/>
        </w:rPr>
        <w:t>Documento Memoria</w:t>
      </w:r>
      <w:r>
        <w:rPr>
          <w:rFonts w:ascii="Century Gothic" w:hAnsi="Century Gothic" w:cs="Century Gothic" w:eastAsia="Century Gothic"/>
          <w:b w:val="0"/>
          <w:i w:val="0"/>
          <w:sz w:val="20"/>
        </w:rPr>
        <w:t xml:space="preserve"> (descripción metodológica de una actividad clave realizada).</w:t>
      </w:r>
    </w:p>
    <w:p>
      <w:pPr>
        <w:numPr>
          <w:ilvl w:val="0"/>
          <w:numId w:val="901"/>
        </w:numPr>
        <w:spacing w:before="0" w:after="160" w:line="240" w:lineRule="auto"/>
        <w:jc w:val="both"/>
      </w:pPr>
      <w:r>
        <w:rPr>
          <w:rFonts w:ascii="Century Gothic" w:hAnsi="Century Gothic" w:cs="Century Gothic" w:eastAsia="Century Gothic"/>
          <w:b/>
          <w:i w:val="0"/>
          <w:sz w:val="20"/>
        </w:rPr>
        <w:t>Ponderación de calificación:</w:t>
      </w:r>
    </w:p>
    <w:p>
      <w:pPr>
        <w:numPr>
          <w:ilvl w:val="1"/>
          <w:numId w:val="901"/>
        </w:numPr>
        <w:spacing w:before="0" w:after="60" w:line="240" w:lineRule="auto"/>
        <w:jc w:val="both"/>
      </w:pPr>
      <w:r>
        <w:rPr>
          <w:rFonts w:ascii="Century Gothic" w:hAnsi="Century Gothic" w:cs="Century Gothic" w:eastAsia="Century Gothic"/>
          <w:b w:val="0"/>
          <w:i w:val="0"/>
          <w:sz w:val="20"/>
        </w:rPr>
        <w:t>Evaluación continua de los 3 informes (Tutor Profesional y Docente): 85% de la nota total.</w:t>
      </w:r>
    </w:p>
    <w:p>
      <w:pPr>
        <w:numPr>
          <w:ilvl w:val="1"/>
          <w:numId w:val="901"/>
        </w:numPr>
        <w:spacing w:before="0" w:after="200" w:line="240" w:lineRule="auto"/>
        <w:jc w:val="both"/>
      </w:pPr>
      <w:r>
        <w:rPr>
          <w:rFonts w:ascii="Century Gothic" w:hAnsi="Century Gothic" w:cs="Century Gothic" w:eastAsia="Century Gothic"/>
          <w:b w:val="0"/>
          <w:i w:val="0"/>
          <w:sz w:val="20"/>
        </w:rPr>
        <w:t>Presentación pública del Documento Memoria (7 ejemplares empastados ante Tribunal): 15% de la nota total.</w:t>
      </w:r>
    </w:p>
    <w:p>
      <w:pPr>
        <w:spacing w:before="0" w:after="200" w:line="240" w:lineRule="auto"/>
        <w:jc w:val="both"/>
      </w:pPr>
      <w:r>
        <w:rPr>
          <w:rFonts w:ascii="Century Gothic" w:hAnsi="Century Gothic" w:cs="Century Gothic" w:eastAsia="Century Gothic"/>
          <w:b/>
          <w:i/>
          <w:sz w:val="20"/>
        </w:rPr>
        <w:t>Excelencia académica</w:t>
      </w:r>
    </w:p>
    <w:p>
      <w:pPr>
        <w:numPr>
          <w:ilvl w:val="0"/>
          <w:numId w:val="901"/>
        </w:numPr>
        <w:spacing w:before="0" w:after="200" w:line="240" w:lineRule="auto"/>
        <w:jc w:val="both"/>
      </w:pPr>
      <w:r>
        <w:rPr>
          <w:rFonts w:ascii="Century Gothic" w:hAnsi="Century Gothic" w:cs="Century Gothic" w:eastAsia="Century Gothic"/>
          <w:b/>
          <w:i w:val="0"/>
          <w:sz w:val="20"/>
        </w:rPr>
        <w:t>Requisitos de habilitación:</w:t>
      </w:r>
    </w:p>
    <w:p>
      <w:pPr>
        <w:numPr>
          <w:ilvl w:val="0"/>
          <w:numId w:val="909"/>
        </w:numPr>
        <w:spacing w:before="0" w:after="160" w:line="240" w:lineRule="auto"/>
        <w:jc w:val="both"/>
      </w:pPr>
      <w:r>
        <w:rPr>
          <w:rFonts w:ascii="Century Gothic" w:hAnsi="Century Gothic" w:cs="Century Gothic" w:eastAsia="Century Gothic"/>
          <w:b w:val="0"/>
          <w:i w:val="0"/>
          <w:sz w:val="20"/>
        </w:rPr>
        <w:t>Conclusión del Plan de Estudios en el tiempo normativo de la carrera.</w:t>
      </w:r>
    </w:p>
    <w:p>
      <w:pPr>
        <w:numPr>
          <w:ilvl w:val="0"/>
          <w:numId w:val="909"/>
        </w:numPr>
        <w:spacing w:before="0" w:after="160" w:line="240" w:lineRule="auto"/>
        <w:jc w:val="both"/>
      </w:pPr>
      <w:r>
        <w:rPr>
          <w:rFonts w:ascii="Century Gothic" w:hAnsi="Century Gothic" w:cs="Century Gothic" w:eastAsia="Century Gothic"/>
          <w:b w:val="0"/>
          <w:i w:val="0"/>
          <w:sz w:val="20"/>
        </w:rPr>
        <w:t>Promedio general de calificaciones sobresaliente, actualmente de 75 puntos.</w:t>
      </w:r>
    </w:p>
    <w:p>
      <w:pPr>
        <w:numPr>
          <w:ilvl w:val="0"/>
          <w:numId w:val="909"/>
        </w:numPr>
        <w:spacing w:before="0" w:after="200" w:line="240" w:lineRule="auto"/>
        <w:jc w:val="both"/>
      </w:pPr>
      <w:r>
        <w:rPr>
          <w:rFonts w:ascii="Century Gothic" w:hAnsi="Century Gothic" w:cs="Century Gothic" w:eastAsia="Century Gothic"/>
          <w:b w:val="0"/>
          <w:i w:val="0"/>
          <w:sz w:val="20"/>
        </w:rPr>
        <w:t>No haber reprobado ninguna asignatura, ni registrado abandonos durante toda la permanencia universitaria.</w:t>
      </w:r>
    </w:p>
    <w:p>
      <w:pPr>
        <w:numPr>
          <w:ilvl w:val="0"/>
          <w:numId w:val="901"/>
        </w:numPr>
        <w:spacing w:before="0" w:after="200" w:line="240" w:lineRule="auto"/>
        <w:jc w:val="both"/>
      </w:pPr>
      <w:r>
        <w:rPr>
          <w:rFonts w:ascii="Century Gothic" w:hAnsi="Century Gothic" w:cs="Century Gothic" w:eastAsia="Century Gothic"/>
          <w:b/>
          <w:i w:val="0"/>
          <w:sz w:val="20"/>
        </w:rPr>
        <w:t>Proceso normativo:</w:t>
      </w:r>
    </w:p>
    <w:p>
      <w:pPr>
        <w:numPr>
          <w:ilvl w:val="0"/>
          <w:numId w:val="910"/>
        </w:numPr>
        <w:spacing w:before="0" w:after="160" w:line="240" w:lineRule="auto"/>
        <w:jc w:val="both"/>
      </w:pPr>
      <w:r>
        <w:rPr>
          <w:rFonts w:ascii="Century Gothic" w:hAnsi="Century Gothic" w:cs="Century Gothic" w:eastAsia="Century Gothic"/>
          <w:b w:val="0"/>
          <w:i w:val="0"/>
          <w:sz w:val="20"/>
        </w:rPr>
        <w:t>Solicitud de verificación de Kárdex Académico ante la Dirección de Carrera.</w:t>
      </w:r>
    </w:p>
    <w:p>
      <w:pPr>
        <w:numPr>
          <w:ilvl w:val="0"/>
          <w:numId w:val="910"/>
        </w:numPr>
        <w:spacing w:before="0" w:after="160" w:line="240" w:lineRule="auto"/>
        <w:jc w:val="both"/>
      </w:pPr>
      <w:r>
        <w:rPr>
          <w:rFonts w:ascii="Century Gothic" w:hAnsi="Century Gothic" w:cs="Century Gothic" w:eastAsia="Century Gothic"/>
          <w:b w:val="0"/>
          <w:i w:val="0"/>
          <w:sz w:val="20"/>
        </w:rPr>
        <w:t>Emisión de informe de conformidad por Kárdex Central y Dirección.</w:t>
      </w:r>
    </w:p>
    <w:p>
      <w:pPr>
        <w:numPr>
          <w:ilvl w:val="0"/>
          <w:numId w:val="910"/>
        </w:numPr>
        <w:spacing w:before="0" w:after="200" w:line="240" w:lineRule="auto"/>
        <w:jc w:val="both"/>
      </w:pPr>
      <w:r>
        <w:rPr>
          <w:rFonts w:ascii="Century Gothic" w:hAnsi="Century Gothic" w:cs="Century Gothic" w:eastAsia="Century Gothic"/>
          <w:b w:val="0"/>
          <w:i w:val="0"/>
          <w:sz w:val="20"/>
        </w:rPr>
        <w:t>Emisión de Resolución de Decanato/Carrera otorgando la Titulación por Excelencia, eximiendo al estudiante de cualquier prueba o defensa oral.</w:t>
      </w:r>
    </w:p>
    <w:p>
      <w:pPr>
        <w:spacing w:before="0" w:after="200" w:line="240" w:lineRule="auto"/>
        <w:jc w:val="both"/>
      </w:pPr>
      <w:r>
        <w:rPr>
          <w:rFonts w:ascii="Century Gothic" w:hAnsi="Century Gothic" w:cs="Century Gothic" w:eastAsia="Century Gothic"/>
          <w:b/>
          <w:i/>
          <w:sz w:val="20"/>
        </w:rPr>
        <w:t>PETAENG (Plan Excepcional de Titulación para Antiguos Estudiantes No Graduados)</w:t>
      </w:r>
    </w:p>
    <w:p>
      <w:pPr>
        <w:numPr>
          <w:ilvl w:val="0"/>
          <w:numId w:val="901"/>
        </w:numPr>
        <w:spacing w:before="0" w:after="200" w:line="240" w:lineRule="auto"/>
        <w:jc w:val="both"/>
      </w:pPr>
      <w:r>
        <w:rPr>
          <w:rFonts w:ascii="Century Gothic" w:hAnsi="Century Gothic" w:cs="Century Gothic" w:eastAsia="Century Gothic"/>
          <w:b/>
          <w:i w:val="0"/>
          <w:sz w:val="20"/>
        </w:rPr>
        <w:t>Requisitos de habilitación:</w:t>
      </w:r>
    </w:p>
    <w:p>
      <w:pPr>
        <w:numPr>
          <w:ilvl w:val="0"/>
          <w:numId w:val="911"/>
        </w:numPr>
        <w:spacing w:before="0" w:after="160" w:line="240" w:lineRule="auto"/>
        <w:jc w:val="both"/>
      </w:pPr>
      <w:r>
        <w:rPr>
          <w:rFonts w:ascii="Century Gothic" w:hAnsi="Century Gothic" w:cs="Century Gothic" w:eastAsia="Century Gothic"/>
          <w:b w:val="0"/>
          <w:i w:val="0"/>
          <w:sz w:val="20"/>
        </w:rPr>
        <w:t>Acreditar condición de egresado no titulado de gestiones pasadas (según antigüedad fijada en la convocatoria específica).</w:t>
      </w:r>
    </w:p>
    <w:p>
      <w:pPr>
        <w:numPr>
          <w:ilvl w:val="0"/>
          <w:numId w:val="911"/>
        </w:numPr>
        <w:spacing w:before="0" w:after="200" w:line="240" w:lineRule="auto"/>
        <w:jc w:val="both"/>
      </w:pPr>
      <w:r>
        <w:rPr>
          <w:rFonts w:ascii="Century Gothic" w:hAnsi="Century Gothic" w:cs="Century Gothic" w:eastAsia="Century Gothic"/>
          <w:b w:val="0"/>
          <w:i w:val="0"/>
          <w:sz w:val="20"/>
        </w:rPr>
        <w:t>Cumplimiento de valores universitarios y requisitos administrativos actualizados.</w:t>
      </w:r>
    </w:p>
    <w:p>
      <w:pPr>
        <w:numPr>
          <w:ilvl w:val="0"/>
          <w:numId w:val="901"/>
        </w:numPr>
        <w:spacing w:before="0" w:after="200" w:line="240" w:lineRule="auto"/>
        <w:jc w:val="both"/>
      </w:pPr>
      <w:r>
        <w:rPr>
          <w:rFonts w:ascii="Century Gothic" w:hAnsi="Century Gothic" w:cs="Century Gothic" w:eastAsia="Century Gothic"/>
          <w:b/>
          <w:i w:val="0"/>
          <w:sz w:val="20"/>
        </w:rPr>
        <w:t>Proceso normativo:</w:t>
      </w:r>
    </w:p>
    <w:p>
      <w:pPr>
        <w:numPr>
          <w:ilvl w:val="0"/>
          <w:numId w:val="912"/>
        </w:numPr>
        <w:spacing w:before="0" w:after="160" w:line="240" w:lineRule="auto"/>
        <w:jc w:val="both"/>
      </w:pPr>
      <w:r>
        <w:rPr>
          <w:rFonts w:ascii="Century Gothic" w:hAnsi="Century Gothic" w:cs="Century Gothic" w:eastAsia="Century Gothic"/>
          <w:b w:val="0"/>
          <w:i w:val="0"/>
          <w:sz w:val="20"/>
        </w:rPr>
        <w:t>Inscripción al programa PETAENG bajo cronograma especial aprobado por el Honorable Consejo Universitario.</w:t>
      </w:r>
    </w:p>
    <w:p>
      <w:pPr>
        <w:numPr>
          <w:ilvl w:val="0"/>
          <w:numId w:val="912"/>
        </w:numPr>
        <w:spacing w:before="0" w:after="160" w:line="240" w:lineRule="auto"/>
        <w:jc w:val="both"/>
      </w:pPr>
      <w:r>
        <w:rPr>
          <w:rFonts w:ascii="Century Gothic" w:hAnsi="Century Gothic" w:cs="Century Gothic" w:eastAsia="Century Gothic"/>
          <w:b w:val="0"/>
          <w:i w:val="0"/>
          <w:sz w:val="20"/>
        </w:rPr>
        <w:t>Cursado de módulos de actualización profesional y seminarios de titulación.</w:t>
      </w:r>
    </w:p>
    <w:p>
      <w:pPr>
        <w:numPr>
          <w:ilvl w:val="0"/>
          <w:numId w:val="912"/>
        </w:numPr>
        <w:spacing w:before="0" w:after="200" w:line="240" w:lineRule="auto"/>
        <w:jc w:val="both"/>
      </w:pPr>
      <w:r>
        <w:rPr>
          <w:rFonts w:ascii="Century Gothic" w:hAnsi="Century Gothic" w:cs="Century Gothic" w:eastAsia="Century Gothic"/>
          <w:b w:val="0"/>
          <w:i w:val="0"/>
          <w:sz w:val="20"/>
        </w:rPr>
        <w:t>Elaboración de trabajo práctico o monográfico y sustentación ante tribunal evaluador designado.</w:t>
      </w:r>
    </w:p>
    <w:p>
      <w:pPr>
        <w:keepNext/>
        <w:spacing w:before="40" w:after="200" w:line="240" w:lineRule="auto"/>
        <w:jc w:val="left"/>
      </w:pPr>
      <w:r>
        <w:rPr>
          <w:rFonts w:ascii="Century Gothic" w:hAnsi="Century Gothic" w:cs="Century Gothic" w:eastAsia="Century Gothic"/>
          <w:b/>
          <w:i w:val="0"/>
          <w:sz w:val="22"/>
        </w:rPr>
        <w:t>c) Problemáticas detectadas</w:t>
      </w:r>
    </w:p>
    <w:p>
      <w:pPr>
        <w:numPr>
          <w:ilvl w:val="0"/>
          <w:numId w:val="901"/>
        </w:numPr>
        <w:spacing w:before="0" w:after="160" w:line="240" w:lineRule="auto"/>
        <w:jc w:val="both"/>
      </w:pPr>
      <w:r>
        <w:rPr>
          <w:rFonts w:ascii="Century Gothic" w:hAnsi="Century Gothic" w:cs="Century Gothic" w:eastAsia="Century Gothic"/>
          <w:b/>
          <w:i w:val="0"/>
          <w:sz w:val="20"/>
        </w:rPr>
        <w:t>Traba burocrática de ejemplares impresos:</w:t>
      </w:r>
      <w:r>
        <w:rPr>
          <w:rFonts w:ascii="Century Gothic" w:hAnsi="Century Gothic" w:cs="Century Gothic" w:eastAsia="Century Gothic"/>
          <w:b w:val="0"/>
          <w:i w:val="0"/>
          <w:sz w:val="20"/>
        </w:rPr>
        <w:t xml:space="preserve"> exigencia reglamentaria de entregar siete (7) ejemplares empastados y notificaciones mediante fotocopias físicas, lo que encarece el proceso y genera demoras innecesarias.</w:t>
      </w:r>
    </w:p>
    <w:p>
      <w:pPr>
        <w:numPr>
          <w:ilvl w:val="0"/>
          <w:numId w:val="901"/>
        </w:numPr>
        <w:spacing w:before="0" w:after="160" w:line="240" w:lineRule="auto"/>
        <w:jc w:val="both"/>
      </w:pPr>
      <w:r>
        <w:rPr>
          <w:rFonts w:ascii="Century Gothic" w:hAnsi="Century Gothic" w:cs="Century Gothic" w:eastAsia="Century Gothic"/>
          <w:b/>
          <w:i w:val="0"/>
          <w:sz w:val="20"/>
        </w:rPr>
        <w:t>Riesgo de inhabilitación en el Examen de Grado:</w:t>
      </w:r>
      <w:r>
        <w:rPr>
          <w:rFonts w:ascii="Century Gothic" w:hAnsi="Century Gothic" w:cs="Century Gothic" w:eastAsia="Century Gothic"/>
          <w:b w:val="0"/>
          <w:i w:val="0"/>
          <w:sz w:val="20"/>
        </w:rPr>
        <w:t xml:space="preserve"> la regla de tres reprobaciones en un mismo ciclo genera estancamiento académico en postulantes que reprueban un Ciclo Especializado o de Aseguramiento.</w:t>
      </w:r>
    </w:p>
    <w:p>
      <w:pPr>
        <w:numPr>
          <w:ilvl w:val="0"/>
          <w:numId w:val="901"/>
        </w:numPr>
        <w:spacing w:before="0" w:after="160" w:line="240" w:lineRule="auto"/>
        <w:jc w:val="both"/>
      </w:pPr>
      <w:r>
        <w:rPr>
          <w:rFonts w:ascii="Century Gothic" w:hAnsi="Century Gothic" w:cs="Century Gothic" w:eastAsia="Century Gothic"/>
          <w:b/>
          <w:i w:val="0"/>
          <w:sz w:val="20"/>
        </w:rPr>
        <w:t>Ponderación del Trabajo Dirigido:</w:t>
      </w:r>
      <w:r>
        <w:rPr>
          <w:rFonts w:ascii="Century Gothic" w:hAnsi="Century Gothic" w:cs="Century Gothic" w:eastAsia="Century Gothic"/>
          <w:b w:val="0"/>
          <w:i w:val="0"/>
          <w:sz w:val="20"/>
        </w:rPr>
        <w:t xml:space="preserve"> asignación de 85 puntos al desarrollo del trabajo y solo 15 puntos a la presentación de resultados ante el tribunal, lo que puede reducir la relevancia de la defensa oral dentro de la evaluación final.</w:t>
      </w:r>
    </w:p>
    <w:p>
      <w:pPr>
        <w:numPr>
          <w:ilvl w:val="0"/>
          <w:numId w:val="901"/>
        </w:numPr>
        <w:spacing w:before="0" w:after="200" w:line="240" w:lineRule="auto"/>
        <w:jc w:val="both"/>
      </w:pPr>
      <w:r>
        <w:rPr>
          <w:rFonts w:ascii="Century Gothic" w:hAnsi="Century Gothic" w:cs="Century Gothic" w:eastAsia="Century Gothic"/>
          <w:b/>
          <w:i w:val="0"/>
          <w:sz w:val="20"/>
        </w:rPr>
        <w:t>Limitación de la excelencia académica:</w:t>
      </w:r>
      <w:r>
        <w:rPr>
          <w:rFonts w:ascii="Century Gothic" w:hAnsi="Century Gothic" w:cs="Century Gothic" w:eastAsia="Century Gothic"/>
          <w:b w:val="0"/>
          <w:i w:val="0"/>
          <w:sz w:val="20"/>
        </w:rPr>
        <w:t xml:space="preserve"> la modalidad exige solo un promedio mínimo de 75 puntos y no contempla restricciones por cambios de carrera, lo que impide garantizar una selección más exigente y equitativa.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5.4.2</w:t>
        <w:tab/>
      </w:r>
      <w:r>
        <w:rPr>
          <w:rFonts w:ascii="Century Gothic" w:hAnsi="Century Gothic" w:cs="Century Gothic" w:eastAsia="Century Gothic"/>
          <w:b/>
          <w:i w:val="0"/>
          <w:sz w:val="22"/>
        </w:rPr>
        <w:t>EJE 3: PROCESO DE GRADUACIÓN</w:t>
      </w:r>
    </w:p>
    <w:p>
      <w:pPr>
        <w:keepNext/>
        <w:spacing w:before="40" w:after="200" w:line="240" w:lineRule="auto"/>
        <w:jc w:val="left"/>
      </w:pPr>
      <w:r>
        <w:rPr>
          <w:rFonts w:ascii="Century Gothic" w:hAnsi="Century Gothic" w:cs="Century Gothic" w:eastAsia="Century Gothic"/>
          <w:b/>
          <w:i w:val="0"/>
          <w:sz w:val="22"/>
        </w:rPr>
        <w:t>De la Burocracia Presencial al Modelo por Competencias y Desmaterializado</w:t>
      </w:r>
    </w:p>
    <w:p>
      <w:pPr>
        <w:spacing w:before="0" w:after="200" w:line="240" w:lineRule="auto"/>
        <w:jc w:val="both"/>
      </w:pPr>
      <w:r>
        <w:rPr>
          <w:rFonts w:ascii="Century Gothic" w:hAnsi="Century Gothic" w:cs="Century Gothic" w:eastAsia="Century Gothic"/>
          <w:b w:val="0"/>
          <w:i w:val="0"/>
          <w:sz w:val="20"/>
        </w:rPr>
        <w:t>El tránsito en la culminación de estudios apunta a erradicar la burocracia de los empastados físicos, flexibilizar sanciones definitivas y revalorizar la defensa oral, de manera que el postulante concentre su esfuerzo en demostrar su formación profesional y no en cumplir trámites.</w:t>
      </w:r>
    </w:p>
    <w:p>
      <w:pPr>
        <w:spacing w:before="0" w:after="200" w:line="240" w:lineRule="auto"/>
        <w:jc w:val="both"/>
      </w:pPr>
      <w:r>
        <w:rPr>
          <w:rFonts w:ascii="Century Gothic" w:hAnsi="Century Gothic" w:cs="Century Gothic" w:eastAsia="Century Gothic"/>
          <w:b/>
          <w:i w:val="0"/>
          <w:sz w:val="20"/>
        </w:rPr>
        <w:t>3.1. Transición al Repositorio Digital:</w:t>
      </w:r>
    </w:p>
    <w:p>
      <w:pPr>
        <w:spacing w:before="0" w:after="200" w:line="240" w:lineRule="auto"/>
        <w:jc w:val="both"/>
      </w:pPr>
      <w:r>
        <w:rPr>
          <w:rFonts w:ascii="Century Gothic" w:hAnsi="Century Gothic" w:cs="Century Gothic" w:eastAsia="Century Gothic"/>
          <w:b/>
          <w:i w:val="0"/>
          <w:sz w:val="20"/>
        </w:rPr>
        <w:t>Estado actual:</w:t>
      </w:r>
      <w:r>
        <w:rPr>
          <w:rFonts w:ascii="Century Gothic" w:hAnsi="Century Gothic" w:cs="Century Gothic" w:eastAsia="Century Gothic"/>
          <w:b w:val="0"/>
          <w:i w:val="0"/>
          <w:sz w:val="20"/>
        </w:rPr>
        <w:t xml:space="preserve"> Exigencia física de siete (7) ejemplares empastados y trámites manuales engorrosos.</w:t>
      </w:r>
    </w:p>
    <w:p>
      <w:pPr>
        <w:spacing w:before="0" w:after="200" w:line="240" w:lineRule="auto"/>
        <w:jc w:val="both"/>
      </w:pPr>
      <w:r>
        <w:rPr>
          <w:rFonts w:ascii="Century Gothic" w:hAnsi="Century Gothic" w:cs="Century Gothic" w:eastAsia="Century Gothic"/>
          <w:b/>
          <w:i w:val="0"/>
          <w:sz w:val="20"/>
        </w:rPr>
        <w:t>Prospectiva:</w:t>
      </w:r>
    </w:p>
    <w:p>
      <w:pPr>
        <w:spacing w:before="0" w:after="200" w:line="240" w:lineRule="auto"/>
        <w:jc w:val="both"/>
      </w:pPr>
      <w:r>
        <w:rPr>
          <w:rFonts w:ascii="Century Gothic" w:hAnsi="Century Gothic" w:cs="Century Gothic" w:eastAsia="Century Gothic"/>
          <w:b w:val="0"/>
          <w:i w:val="0"/>
          <w:sz w:val="20"/>
        </w:rPr>
        <w:t>Digitalización del proceso de presentación, revisión de perfiles, borradores y entrega final de Tesis, Proyectos de Grado y Trabajos Dirigidos mediante una plataforma institucional de gestión documental con firma digital, reduciendo la entrega física a un (1) solo ejemplar de resguardo patrimonial en biblioteca.</w:t>
      </w:r>
    </w:p>
    <w:p>
      <w:pPr>
        <w:spacing w:before="0" w:after="200" w:line="240" w:lineRule="auto"/>
        <w:jc w:val="both"/>
      </w:pPr>
      <w:r>
        <w:rPr>
          <w:rFonts w:ascii="Century Gothic" w:hAnsi="Century Gothic" w:cs="Century Gothic" w:eastAsia="Century Gothic"/>
          <w:b w:val="0"/>
          <w:i w:val="0"/>
          <w:sz w:val="20"/>
        </w:rPr>
        <w:t>Mecanismo operativo: aprobación de una Resolución de la Dirección de Carrera que estipule que la entrega, circulación y revisión de perfiles y borradores se realice exclusivamente en formato PDF con firma digital o correo institucional, y que la exigencia de impresiones se limite a un (1) solo ejemplar empastado final, entregado al momento de la sustentación pública para el archivo de la Biblioteca de la Carrera.</w:t>
      </w:r>
    </w:p>
    <w:p>
      <w:pPr>
        <w:spacing w:before="0" w:after="200" w:line="240" w:lineRule="auto"/>
        <w:jc w:val="both"/>
      </w:pPr>
      <w:r>
        <w:rPr>
          <w:rFonts w:ascii="Century Gothic" w:hAnsi="Century Gothic" w:cs="Century Gothic" w:eastAsia="Century Gothic"/>
          <w:b/>
          <w:i w:val="0"/>
          <w:sz w:val="20"/>
        </w:rPr>
        <w:t>Justificación e impacto:</w:t>
      </w:r>
      <w:r>
        <w:rPr>
          <w:rFonts w:ascii="Century Gothic" w:hAnsi="Century Gothic" w:cs="Century Gothic" w:eastAsia="Century Gothic"/>
          <w:b w:val="0"/>
          <w:i w:val="0"/>
          <w:sz w:val="20"/>
        </w:rPr>
        <w:t xml:space="preserve"> elimina un costo económico sustancial para el postulante (impresión y empastado de 7 ejemplares en múltiples revisiones) y reduce el tiempo de transmisión de documentos entre los miembros del tribunal revisor de semanas a minutos.</w:t>
      </w:r>
    </w:p>
    <w:p>
      <w:pPr>
        <w:spacing w:before="0" w:after="200" w:line="240" w:lineRule="auto"/>
        <w:jc w:val="both"/>
      </w:pPr>
      <w:r>
        <w:rPr>
          <w:rFonts w:ascii="Century Gothic" w:hAnsi="Century Gothic" w:cs="Century Gothic" w:eastAsia="Century Gothic"/>
          <w:b/>
          <w:i w:val="0"/>
          <w:sz w:val="20"/>
        </w:rPr>
        <w:t>Factibilidad:</w:t>
      </w:r>
      <w:r>
        <w:rPr>
          <w:rFonts w:ascii="Century Gothic" w:hAnsi="Century Gothic" w:cs="Century Gothic" w:eastAsia="Century Gothic"/>
          <w:b w:val="0"/>
          <w:i w:val="0"/>
          <w:sz w:val="20"/>
        </w:rPr>
        <w:t xml:space="preserve"> altísima, ya que aprovecha la infraestructura del correo institucional y herramientas de almacenamiento en la nube sin costo alguno.</w:t>
      </w:r>
    </w:p>
    <w:p>
      <w:pPr>
        <w:spacing w:before="0" w:after="200" w:line="240" w:lineRule="auto"/>
        <w:jc w:val="both"/>
      </w:pPr>
      <w:r>
        <w:rPr>
          <w:rFonts w:ascii="Century Gothic" w:hAnsi="Century Gothic" w:cs="Century Gothic" w:eastAsia="Century Gothic"/>
          <w:b/>
          <w:i w:val="0"/>
          <w:sz w:val="20"/>
        </w:rPr>
        <w:t>3.2. Flexibilización del Régimen Sancionatorio y Preparación para el Examen de Grado:</w:t>
      </w:r>
    </w:p>
    <w:p>
      <w:pPr>
        <w:spacing w:before="0" w:after="200" w:line="240" w:lineRule="auto"/>
        <w:jc w:val="both"/>
      </w:pPr>
      <w:r>
        <w:rPr>
          <w:rFonts w:ascii="Century Gothic" w:hAnsi="Century Gothic" w:cs="Century Gothic" w:eastAsia="Century Gothic"/>
          <w:b/>
          <w:i w:val="0"/>
          <w:sz w:val="20"/>
        </w:rPr>
        <w:t>Estado actual:</w:t>
      </w:r>
      <w:r>
        <w:rPr>
          <w:rFonts w:ascii="Century Gothic" w:hAnsi="Century Gothic" w:cs="Century Gothic" w:eastAsia="Century Gothic"/>
          <w:b w:val="0"/>
          <w:i w:val="0"/>
          <w:sz w:val="20"/>
        </w:rPr>
        <w:t xml:space="preserve"> Inhabilitación definitiva tras tres (3) reprobaciones en un mismo ciclo.</w:t>
      </w:r>
    </w:p>
    <w:p>
      <w:pPr>
        <w:spacing w:before="0" w:after="200" w:line="240" w:lineRule="auto"/>
        <w:jc w:val="both"/>
      </w:pPr>
      <w:r>
        <w:rPr>
          <w:rFonts w:ascii="Century Gothic" w:hAnsi="Century Gothic" w:cs="Century Gothic" w:eastAsia="Century Gothic"/>
          <w:b/>
          <w:i w:val="0"/>
          <w:sz w:val="20"/>
        </w:rPr>
        <w:t>Prospectiva:</w:t>
      </w:r>
    </w:p>
    <w:p>
      <w:pPr>
        <w:spacing w:before="0" w:after="200" w:line="240" w:lineRule="auto"/>
        <w:jc w:val="both"/>
      </w:pPr>
      <w:r>
        <w:rPr>
          <w:rFonts w:ascii="Century Gothic" w:hAnsi="Century Gothic" w:cs="Century Gothic" w:eastAsia="Century Gothic"/>
          <w:b w:val="0"/>
          <w:i w:val="0"/>
          <w:sz w:val="20"/>
        </w:rPr>
        <w:t>Modificación de la inhabilitación definitiva por un sistema de "rehabilitación por créditos complementarios o diplomado de actualización modular", permitiendo que el postulante reprobado recupere su derecho a titulación sin perder el histórico de su esfuerzo académico.</w:t>
      </w:r>
    </w:p>
    <w:p>
      <w:pPr>
        <w:spacing w:before="0" w:after="200" w:line="240" w:lineRule="auto"/>
        <w:jc w:val="both"/>
      </w:pPr>
      <w:r>
        <w:rPr>
          <w:rFonts w:ascii="Century Gothic" w:hAnsi="Century Gothic" w:cs="Century Gothic" w:eastAsia="Century Gothic"/>
          <w:b w:val="0"/>
          <w:i w:val="0"/>
          <w:sz w:val="20"/>
        </w:rPr>
        <w:t>Como medida preventiva complementaria, organización de talleres intensivos de repaso pre-examen de grado, de 1 a 2 semanas de duración, previos a cada una de las 4 convocatorias anuales. Estos talleres abordarán de forma sistemática los contenidos del Ciclo Básico, el Ciclo Especializado y el Ciclo de Servicios de Aseguramiento.</w:t>
      </w:r>
    </w:p>
    <w:p>
      <w:pPr>
        <w:spacing w:before="0" w:after="200" w:line="240" w:lineRule="auto"/>
        <w:jc w:val="both"/>
      </w:pPr>
      <w:r>
        <w:rPr>
          <w:rFonts w:ascii="Century Gothic" w:hAnsi="Century Gothic" w:cs="Century Gothic" w:eastAsia="Century Gothic"/>
          <w:b/>
          <w:i w:val="0"/>
          <w:sz w:val="20"/>
        </w:rPr>
        <w:t>Justificación e impacto:</w:t>
      </w:r>
      <w:r>
        <w:rPr>
          <w:rFonts w:ascii="Century Gothic" w:hAnsi="Century Gothic" w:cs="Century Gothic" w:eastAsia="Century Gothic"/>
          <w:b w:val="0"/>
          <w:i w:val="0"/>
          <w:sz w:val="20"/>
        </w:rPr>
        <w:t xml:space="preserve"> los talleres orientan al postulante sobre la metodología de evaluación, refrescan los conocimientos teóricos y prácticos acumulados durante la carrera y disminuyen la tasa de reprobación, evitando que los egresados alcancen la tercera reprobación que los inhabilita de la modalidad.</w:t>
      </w:r>
    </w:p>
    <w:p>
      <w:pPr>
        <w:spacing w:before="0" w:after="200" w:line="240" w:lineRule="auto"/>
        <w:jc w:val="both"/>
      </w:pPr>
      <w:r>
        <w:rPr>
          <w:rFonts w:ascii="Century Gothic" w:hAnsi="Century Gothic" w:cs="Century Gothic" w:eastAsia="Century Gothic"/>
          <w:b/>
          <w:i w:val="0"/>
          <w:sz w:val="20"/>
        </w:rPr>
        <w:t>Factibilidad:</w:t>
      </w:r>
      <w:r>
        <w:rPr>
          <w:rFonts w:ascii="Century Gothic" w:hAnsi="Century Gothic" w:cs="Century Gothic" w:eastAsia="Century Gothic"/>
          <w:b w:val="0"/>
          <w:i w:val="0"/>
          <w:sz w:val="20"/>
        </w:rPr>
        <w:t xml:space="preserve"> se imparten con la participación de los docentes de las áreas respectivas dentro de sus funciones de interacción universitaria.</w:t>
      </w:r>
    </w:p>
    <w:p>
      <w:pPr>
        <w:spacing w:before="0" w:after="200" w:line="240" w:lineRule="auto"/>
        <w:jc w:val="both"/>
      </w:pPr>
      <w:r>
        <w:rPr>
          <w:rFonts w:ascii="Century Gothic" w:hAnsi="Century Gothic" w:cs="Century Gothic" w:eastAsia="Century Gothic"/>
          <w:b/>
          <w:i w:val="0"/>
          <w:sz w:val="20"/>
        </w:rPr>
        <w:t>3.3. Reequilibrio de Ponderaciones en el Trabajo Dirigido:</w:t>
      </w:r>
    </w:p>
    <w:p>
      <w:pPr>
        <w:spacing w:before="0" w:after="200" w:line="240" w:lineRule="auto"/>
        <w:jc w:val="both"/>
      </w:pPr>
      <w:r>
        <w:rPr>
          <w:rFonts w:ascii="Century Gothic" w:hAnsi="Century Gothic" w:cs="Century Gothic" w:eastAsia="Century Gothic"/>
          <w:b/>
          <w:i w:val="0"/>
          <w:sz w:val="20"/>
        </w:rPr>
        <w:t>Estado actual:</w:t>
      </w:r>
      <w:r>
        <w:rPr>
          <w:rFonts w:ascii="Century Gothic" w:hAnsi="Century Gothic" w:cs="Century Gothic" w:eastAsia="Century Gothic"/>
          <w:b w:val="0"/>
          <w:i w:val="0"/>
          <w:sz w:val="20"/>
        </w:rPr>
        <w:t xml:space="preserve"> 85% al informe institucional continuo y solo 15% a la defensa oral.</w:t>
      </w:r>
    </w:p>
    <w:p>
      <w:pPr>
        <w:spacing w:before="0" w:after="200" w:line="240" w:lineRule="auto"/>
        <w:jc w:val="both"/>
      </w:pPr>
      <w:r>
        <w:rPr>
          <w:rFonts w:ascii="Century Gothic" w:hAnsi="Century Gothic" w:cs="Century Gothic" w:eastAsia="Century Gothic"/>
          <w:b/>
          <w:i w:val="0"/>
          <w:sz w:val="20"/>
        </w:rPr>
        <w:t>Prospectiva:</w:t>
      </w:r>
      <w:r>
        <w:rPr>
          <w:rFonts w:ascii="Century Gothic" w:hAnsi="Century Gothic" w:cs="Century Gothic" w:eastAsia="Century Gothic"/>
          <w:b w:val="0"/>
          <w:i w:val="0"/>
          <w:sz w:val="20"/>
        </w:rPr>
        <w:t xml:space="preserve"> Modificación de la ponderación hacia un esquema más equilibrado otorgando a la defensa ante el tribunal el peso académico real que exige el grado de Licenciatura.</w:t>
      </w:r>
    </w:p>
    <w:p>
      <w:pPr>
        <w:spacing w:before="0" w:after="200" w:line="240" w:lineRule="auto"/>
        <w:jc w:val="both"/>
      </w:pPr>
      <w:r>
        <w:rPr>
          <w:rFonts w:ascii="Century Gothic" w:hAnsi="Century Gothic" w:cs="Century Gothic" w:eastAsia="Century Gothic"/>
          <w:b/>
          <w:i w:val="0"/>
          <w:sz w:val="20"/>
        </w:rPr>
        <w:t>3.4. Criterio de Excelencia Académica Actualizado:</w:t>
      </w:r>
    </w:p>
    <w:p>
      <w:pPr>
        <w:spacing w:before="0" w:after="200" w:line="240" w:lineRule="auto"/>
        <w:jc w:val="both"/>
      </w:pPr>
      <w:r>
        <w:rPr>
          <w:rFonts w:ascii="Century Gothic" w:hAnsi="Century Gothic" w:cs="Century Gothic" w:eastAsia="Century Gothic"/>
          <w:b/>
          <w:i w:val="0"/>
          <w:sz w:val="20"/>
        </w:rPr>
        <w:t>Estado actual:</w:t>
      </w:r>
      <w:r>
        <w:rPr>
          <w:rFonts w:ascii="Century Gothic" w:hAnsi="Century Gothic" w:cs="Century Gothic" w:eastAsia="Century Gothic"/>
          <w:b w:val="0"/>
          <w:i w:val="0"/>
          <w:sz w:val="20"/>
        </w:rPr>
        <w:t xml:space="preserve"> Promedio mínimo de 75 puntos sin restricciones de historial de cambios de carrera.</w:t>
      </w:r>
    </w:p>
    <w:p>
      <w:pPr>
        <w:spacing w:before="0" w:after="200" w:line="240" w:lineRule="auto"/>
        <w:jc w:val="both"/>
      </w:pPr>
      <w:r>
        <w:rPr>
          <w:rFonts w:ascii="Century Gothic" w:hAnsi="Century Gothic" w:cs="Century Gothic" w:eastAsia="Century Gothic"/>
          <w:b/>
          <w:i w:val="0"/>
          <w:sz w:val="20"/>
        </w:rPr>
        <w:t>Prospectiva:</w:t>
      </w:r>
      <w:r>
        <w:rPr>
          <w:rFonts w:ascii="Century Gothic" w:hAnsi="Century Gothic" w:cs="Century Gothic" w:eastAsia="Century Gothic"/>
          <w:b w:val="0"/>
          <w:i w:val="0"/>
          <w:sz w:val="20"/>
        </w:rPr>
        <w:t xml:space="preserve"> Elevación del estándar a un promedio sobresaliente condicionado a la trayectoria limpia desde el ingreso inicial (sin antecedentes de abandono masivo o saltos administrativos no regulados), garantizando la equidad meritocrática.</w:t>
      </w:r>
    </w:p>
    <w:p>
      <w:pPr>
        <w:keepNext/>
        <w:spacing w:before="120" w:after="200" w:line="240" w:lineRule="auto"/>
        <w:jc w:val="left"/>
      </w:pPr>
      <w:r>
        <w:rPr>
          <w:rFonts w:ascii="Century Gothic" w:hAnsi="Century Gothic" w:cs="Century Gothic" w:eastAsia="Century Gothic"/>
          <w:b/>
          <w:i w:val="0"/>
          <w:sz w:val="24"/>
        </w:rPr>
        <w:t>Matriz de correspondencia entre problemáticas y propuestas</w:t>
      </w:r>
    </w:p>
    <w:p>
      <w:pPr>
        <w:spacing w:before="0" w:after="200" w:line="240" w:lineRule="auto"/>
        <w:jc w:val="both"/>
      </w:pPr>
      <w:r>
        <w:rPr>
          <w:rFonts w:ascii="Century Gothic" w:hAnsi="Century Gothic" w:cs="Century Gothic" w:eastAsia="Century Gothic"/>
          <w:b w:val="0"/>
          <w:i w:val="0"/>
          <w:sz w:val="20"/>
        </w:rPr>
        <w:t>La siguiente matriz relaciona las problemáticas detectadas en el diagnóstico (Parte I) con las propuestas desarrolladas en esta parte.</w:t>
      </w:r>
    </w:p>
    <w:p>
      <w:pPr>
        <w:spacing w:before="0" w:after="200" w:line="240" w:lineRule="auto"/>
        <w:jc w:val="both"/>
      </w:pPr>
      <w:r>
        <w:rPr>
          <w:rFonts w:ascii="Century Gothic" w:hAnsi="Century Gothic" w:cs="Century Gothic" w:eastAsia="Century Gothic"/>
          <w:b/>
          <w:i w:val="0"/>
          <w:sz w:val="20"/>
        </w:rPr>
        <w:t>Tabla 2. Correspondencia entre problemáticas detectadas y propuestas</w:t>
      </w:r>
    </w:p>
    <w:tbl>
      <w:tblPr>
        <w:tblW w:type="auto" w:w="0"/>
        <w:jc w:val="center"/>
        <w:tblLayout w:type="fixed"/>
        <w:tblLook w:firstColumn="1" w:firstRow="1" w:lastColumn="0" w:lastRow="0" w:noHBand="0" w:noVBand="1" w:val="04A0"/>
      </w:tblPr>
      <w:tblGrid>
        <w:gridCol w:w="1332"/>
        <w:gridCol w:w="3697"/>
        <w:gridCol w:w="4041"/>
      </w:tblGrid>
      <w:tr>
        <w:trPr>
          <w:tblHeader/>
        </w:trPr>
        <w:tc>
          <w:tcPr>
            <w:tcW w:type="dxa" w:w="133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Eje</w:t>
            </w:r>
          </w:p>
        </w:tc>
        <w:tc>
          <w:tcPr>
            <w:tcW w:type="dxa" w:w="369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Problemática detectada (Parte I)</w:t>
            </w:r>
          </w:p>
        </w:tc>
        <w:tc>
          <w:tcPr>
            <w:tcW w:type="dxa" w:w="404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Propuesta (Parte II)</w:t>
            </w:r>
          </w:p>
        </w:tc>
      </w:tr>
      <w:tr>
        <w:tc>
          <w:tcPr>
            <w:tcW w:type="dxa" w:w="13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Admisión</w:t>
            </w:r>
          </w:p>
        </w:tc>
        <w:tc>
          <w:tcPr>
            <w:tcW w:type="dxa" w:w="36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Evaluación unidimensional</w:t>
            </w:r>
          </w:p>
        </w:tc>
        <w:tc>
          <w:tcPr>
            <w:tcW w:type="dxa" w:w="4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1.1 Diversificación de la prueba de ingreso</w:t>
            </w:r>
          </w:p>
        </w:tc>
      </w:tr>
      <w:tr>
        <w:tc>
          <w:tcPr>
            <w:tcW w:type="dxa" w:w="13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Admisión</w:t>
            </w:r>
          </w:p>
        </w:tc>
        <w:tc>
          <w:tcPr>
            <w:tcW w:type="dxa" w:w="36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Ausencia de registro digital diagnóstico</w:t>
            </w:r>
          </w:p>
        </w:tc>
        <w:tc>
          <w:tcPr>
            <w:tcW w:type="dxa" w:w="4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1.2 Expediente Digital Diagnóstico (EDD)</w:t>
            </w:r>
          </w:p>
        </w:tc>
      </w:tr>
      <w:tr>
        <w:tc>
          <w:tcPr>
            <w:tcW w:type="dxa" w:w="13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Admisión</w:t>
            </w:r>
          </w:p>
        </w:tc>
        <w:tc>
          <w:tcPr>
            <w:tcW w:type="dxa" w:w="36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Alta deserción temprana</w:t>
            </w:r>
          </w:p>
        </w:tc>
        <w:tc>
          <w:tcPr>
            <w:tcW w:type="dxa" w:w="4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1.3 Programa de nivelación temprana</w:t>
            </w:r>
          </w:p>
        </w:tc>
      </w:tr>
      <w:tr>
        <w:tc>
          <w:tcPr>
            <w:tcW w:type="dxa" w:w="13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Promoción</w:t>
            </w:r>
          </w:p>
        </w:tc>
        <w:tc>
          <w:tcPr>
            <w:tcW w:type="dxa" w:w="36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Oferta rígida en temporada</w:t>
            </w:r>
          </w:p>
        </w:tc>
        <w:tc>
          <w:tcPr>
            <w:tcW w:type="dxa" w:w="4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2.1 Flexibilización de cursos de temporada</w:t>
            </w:r>
          </w:p>
        </w:tc>
      </w:tr>
      <w:tr>
        <w:tc>
          <w:tcPr>
            <w:tcW w:type="dxa" w:w="13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Promoción</w:t>
            </w:r>
          </w:p>
        </w:tc>
        <w:tc>
          <w:tcPr>
            <w:tcW w:type="dxa" w:w="36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Limitación para la inscripción en el curso de temporada (mínimo de 20 puntos)</w:t>
            </w:r>
          </w:p>
        </w:tc>
        <w:tc>
          <w:tcPr>
            <w:tcW w:type="dxa" w:w="4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2.1 Flexibilización de cursos de temporada</w:t>
            </w:r>
          </w:p>
        </w:tc>
      </w:tr>
      <w:tr>
        <w:tc>
          <w:tcPr>
            <w:tcW w:type="dxa" w:w="13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Promoción</w:t>
            </w:r>
          </w:p>
        </w:tc>
        <w:tc>
          <w:tcPr>
            <w:tcW w:type="dxa" w:w="36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Seguimiento reactivo</w:t>
            </w:r>
          </w:p>
        </w:tc>
        <w:tc>
          <w:tcPr>
            <w:tcW w:type="dxa" w:w="4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2.2 Sistema de alerta temprana y monitoreo predictivo</w:t>
            </w:r>
          </w:p>
        </w:tc>
      </w:tr>
      <w:tr>
        <w:tc>
          <w:tcPr>
            <w:tcW w:type="dxa" w:w="13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Promoción</w:t>
            </w:r>
          </w:p>
        </w:tc>
        <w:tc>
          <w:tcPr>
            <w:tcW w:type="dxa" w:w="36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Falta de apoyo tutorizado intensivo</w:t>
            </w:r>
          </w:p>
        </w:tc>
        <w:tc>
          <w:tcPr>
            <w:tcW w:type="dxa" w:w="4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2.2 Talleres de consulta y tutoría entre pares; 2.3 Seminarios previos a las mesas de examen</w:t>
            </w:r>
          </w:p>
        </w:tc>
      </w:tr>
      <w:tr>
        <w:tc>
          <w:tcPr>
            <w:tcW w:type="dxa" w:w="13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Promoción</w:t>
            </w:r>
          </w:p>
        </w:tc>
        <w:tc>
          <w:tcPr>
            <w:tcW w:type="dxa" w:w="36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Limitación del examen de mesa</w:t>
            </w:r>
          </w:p>
        </w:tc>
        <w:tc>
          <w:tcPr>
            <w:tcW w:type="dxa" w:w="4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2.3 Ampliación y democratización de mesas de examen</w:t>
            </w:r>
          </w:p>
        </w:tc>
      </w:tr>
      <w:tr>
        <w:tc>
          <w:tcPr>
            <w:tcW w:type="dxa" w:w="13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Promoción</w:t>
            </w:r>
          </w:p>
        </w:tc>
        <w:tc>
          <w:tcPr>
            <w:tcW w:type="dxa" w:w="36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Ausencia de publicación de solucionarios y rúbricas</w:t>
            </w:r>
          </w:p>
        </w:tc>
        <w:tc>
          <w:tcPr>
            <w:tcW w:type="dxa" w:w="4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2.4 Publicación obligatoria de solucionarios oficiales</w:t>
            </w:r>
          </w:p>
        </w:tc>
      </w:tr>
      <w:tr>
        <w:tc>
          <w:tcPr>
            <w:tcW w:type="dxa" w:w="13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Graduación</w:t>
            </w:r>
          </w:p>
        </w:tc>
        <w:tc>
          <w:tcPr>
            <w:tcW w:type="dxa" w:w="36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Traba burocrática de ejemplares impresos</w:t>
            </w:r>
          </w:p>
        </w:tc>
        <w:tc>
          <w:tcPr>
            <w:tcW w:type="dxa" w:w="4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3.1 Repositorio digital</w:t>
            </w:r>
          </w:p>
        </w:tc>
      </w:tr>
      <w:tr>
        <w:tc>
          <w:tcPr>
            <w:tcW w:type="dxa" w:w="13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Graduación</w:t>
            </w:r>
          </w:p>
        </w:tc>
        <w:tc>
          <w:tcPr>
            <w:tcW w:type="dxa" w:w="36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Riesgo de inhabilitación en el Examen de Grado</w:t>
            </w:r>
          </w:p>
        </w:tc>
        <w:tc>
          <w:tcPr>
            <w:tcW w:type="dxa" w:w="4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3.2 Régimen de rehabilitación y talleres de repaso pre-examen</w:t>
            </w:r>
          </w:p>
        </w:tc>
      </w:tr>
      <w:tr>
        <w:tc>
          <w:tcPr>
            <w:tcW w:type="dxa" w:w="13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Graduación</w:t>
            </w:r>
          </w:p>
        </w:tc>
        <w:tc>
          <w:tcPr>
            <w:tcW w:type="dxa" w:w="36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Ponderación del Trabajo Dirigido</w:t>
            </w:r>
          </w:p>
        </w:tc>
        <w:tc>
          <w:tcPr>
            <w:tcW w:type="dxa" w:w="4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3.3 Reequilibrio de ponderaciones</w:t>
            </w:r>
          </w:p>
        </w:tc>
      </w:tr>
      <w:tr>
        <w:tc>
          <w:tcPr>
            <w:tcW w:type="dxa" w:w="133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20"/>
              </w:rPr>
              <w:t>Graduación</w:t>
            </w:r>
          </w:p>
        </w:tc>
        <w:tc>
          <w:tcPr>
            <w:tcW w:type="dxa" w:w="369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Limitación de la excelencia académica</w:t>
            </w:r>
          </w:p>
        </w:tc>
        <w:tc>
          <w:tcPr>
            <w:tcW w:type="dxa" w:w="404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20"/>
              </w:rPr>
              <w:t>3.4 Criterio de excelencia académica actualizado</w:t>
            </w:r>
          </w:p>
        </w:tc>
      </w:tr>
    </w:tbl>
    <w:p>
      <w:pPr>
        <w:spacing w:before="0" w:after="120" w:line="240" w:lineRule="auto"/>
        <w:jc w:val="left"/>
      </w:pPr>
    </w:p>
    <w:p>
      <w:pPr>
        <w:keepNext/>
        <w:spacing w:before="120" w:after="200" w:line="240" w:lineRule="auto"/>
        <w:jc w:val="left"/>
      </w:pPr>
      <w:r>
        <w:rPr>
          <w:rFonts w:ascii="Century Gothic" w:hAnsi="Century Gothic" w:cs="Century Gothic" w:eastAsia="Century Gothic"/>
          <w:b/>
          <w:i w:val="0"/>
          <w:sz w:val="24"/>
        </w:rPr>
        <w:t>REFERENCIAS NORMATIVAS Y DOCUMENTALES</w:t>
      </w:r>
    </w:p>
    <w:p>
      <w:pPr>
        <w:spacing w:before="0" w:after="200" w:line="240" w:lineRule="auto"/>
        <w:jc w:val="both"/>
      </w:pPr>
      <w:r>
        <w:rPr>
          <w:rFonts w:ascii="Century Gothic" w:hAnsi="Century Gothic" w:cs="Century Gothic" w:eastAsia="Century Gothic"/>
          <w:b w:val="0"/>
          <w:i w:val="0"/>
          <w:sz w:val="20"/>
        </w:rPr>
        <w:t xml:space="preserve">Honorable Consejo Universitario. (1998). </w:t>
      </w:r>
      <w:r>
        <w:rPr>
          <w:rFonts w:ascii="Century Gothic" w:hAnsi="Century Gothic" w:cs="Century Gothic" w:eastAsia="Century Gothic"/>
          <w:b w:val="0"/>
          <w:i/>
          <w:sz w:val="20"/>
        </w:rPr>
        <w:t>Resolución HCU N° 184/98</w:t>
      </w:r>
      <w:r>
        <w:rPr>
          <w:rFonts w:ascii="Century Gothic" w:hAnsi="Century Gothic" w:cs="Century Gothic" w:eastAsia="Century Gothic"/>
          <w:b w:val="0"/>
          <w:i w:val="0"/>
          <w:sz w:val="20"/>
        </w:rPr>
        <w:t>, Artículo 4.</w:t>
      </w:r>
    </w:p>
    <w:p>
      <w:pPr>
        <w:spacing w:before="0" w:after="200" w:line="240" w:lineRule="auto"/>
        <w:jc w:val="both"/>
      </w:pPr>
      <w:r>
        <w:rPr>
          <w:rFonts w:ascii="Century Gothic" w:hAnsi="Century Gothic" w:cs="Century Gothic" w:eastAsia="Century Gothic"/>
          <w:b w:val="0"/>
          <w:i w:val="0"/>
          <w:sz w:val="20"/>
        </w:rPr>
        <w:t xml:space="preserve">Honorable Consejo Universitario. (2006). </w:t>
      </w:r>
      <w:r>
        <w:rPr>
          <w:rFonts w:ascii="Century Gothic" w:hAnsi="Century Gothic" w:cs="Century Gothic" w:eastAsia="Century Gothic"/>
          <w:b w:val="0"/>
          <w:i/>
          <w:sz w:val="20"/>
        </w:rPr>
        <w:t>Resolución HCU N° 093/2006</w:t>
      </w:r>
      <w:r>
        <w:rPr>
          <w:rFonts w:ascii="Century Gothic" w:hAnsi="Century Gothic" w:cs="Century Gothic" w:eastAsia="Century Gothic"/>
          <w:b w:val="0"/>
          <w:i w:val="0"/>
          <w:sz w:val="20"/>
        </w:rPr>
        <w:t>, Capítulo 1, Artículo 6.</w:t>
      </w:r>
    </w:p>
    <w:p>
      <w:pPr>
        <w:spacing w:before="0" w:after="200" w:line="240" w:lineRule="auto"/>
        <w:jc w:val="both"/>
      </w:pPr>
      <w:r>
        <w:rPr>
          <w:rFonts w:ascii="Century Gothic" w:hAnsi="Century Gothic" w:cs="Century Gothic" w:eastAsia="Century Gothic"/>
          <w:b w:val="0"/>
          <w:i w:val="0"/>
          <w:sz w:val="20"/>
        </w:rPr>
        <w:t xml:space="preserve">Honorable Consejo Universitario. (2015). </w:t>
      </w:r>
      <w:r>
        <w:rPr>
          <w:rFonts w:ascii="Century Gothic" w:hAnsi="Century Gothic" w:cs="Century Gothic" w:eastAsia="Century Gothic"/>
          <w:b w:val="0"/>
          <w:i/>
          <w:sz w:val="20"/>
        </w:rPr>
        <w:t>Resolución HCU N° 750/15</w:t>
      </w:r>
      <w:r>
        <w:rPr>
          <w:rFonts w:ascii="Century Gothic" w:hAnsi="Century Gothic" w:cs="Century Gothic" w:eastAsia="Century Gothic"/>
          <w:b w:val="0"/>
          <w:i w:val="0"/>
          <w:sz w:val="20"/>
        </w:rPr>
        <w:t xml:space="preserve"> (PETAENG).</w:t>
      </w:r>
    </w:p>
    <w:p>
      <w:pPr>
        <w:spacing w:before="0" w:after="200" w:line="240" w:lineRule="auto"/>
        <w:jc w:val="both"/>
      </w:pPr>
      <w:r>
        <w:rPr>
          <w:rFonts w:ascii="Century Gothic" w:hAnsi="Century Gothic" w:cs="Century Gothic" w:eastAsia="Century Gothic"/>
          <w:b w:val="0"/>
          <w:i w:val="0"/>
          <w:sz w:val="20"/>
        </w:rPr>
        <w:t xml:space="preserve">Honorable Consejo Universitario. (2022). </w:t>
      </w:r>
      <w:r>
        <w:rPr>
          <w:rFonts w:ascii="Century Gothic" w:hAnsi="Century Gothic" w:cs="Century Gothic" w:eastAsia="Century Gothic"/>
          <w:b w:val="0"/>
          <w:i/>
          <w:sz w:val="20"/>
        </w:rPr>
        <w:t>Resolución HCU N° 330/2022</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 xml:space="preserve">Honorable Consejo Universitario. (2024). </w:t>
      </w:r>
      <w:r>
        <w:rPr>
          <w:rFonts w:ascii="Century Gothic" w:hAnsi="Century Gothic" w:cs="Century Gothic" w:eastAsia="Century Gothic"/>
          <w:b w:val="0"/>
          <w:i/>
          <w:sz w:val="20"/>
        </w:rPr>
        <w:t>Resolución HCU N° 233/2024: Reglamentos Internos Carrera Contaduría Pública, Plan de Estudios 2024</w:t>
      </w:r>
      <w:r>
        <w:rPr>
          <w:rFonts w:ascii="Century Gothic" w:hAnsi="Century Gothic" w:cs="Century Gothic" w:eastAsia="Century Gothic"/>
          <w:b w:val="0"/>
          <w:i w:val="0"/>
          <w:sz w:val="20"/>
        </w:rPr>
        <w:t>.</w:t>
      </w:r>
    </w:p>
    <w:p>
      <w:pPr>
        <w:spacing w:before="0" w:after="200" w:line="240" w:lineRule="auto"/>
        <w:jc w:val="both"/>
      </w:pPr>
      <w:r>
        <w:rPr>
          <w:rFonts w:ascii="Century Gothic" w:hAnsi="Century Gothic" w:cs="Century Gothic" w:eastAsia="Century Gothic"/>
          <w:b w:val="0"/>
          <w:i w:val="0"/>
          <w:sz w:val="20"/>
        </w:rPr>
        <w:t xml:space="preserve">Carrera de Contaduría Pública. </w:t>
      </w:r>
      <w:r>
        <w:rPr>
          <w:rFonts w:ascii="Century Gothic" w:hAnsi="Century Gothic" w:cs="Century Gothic" w:eastAsia="Century Gothic"/>
          <w:b w:val="0"/>
          <w:i/>
          <w:sz w:val="20"/>
        </w:rPr>
        <w:t>Graduación por excelencia académica</w:t>
      </w:r>
      <w:r>
        <w:rPr>
          <w:rFonts w:ascii="Century Gothic" w:hAnsi="Century Gothic" w:cs="Century Gothic" w:eastAsia="Century Gothic"/>
          <w:b w:val="0"/>
          <w:i w:val="0"/>
          <w:sz w:val="20"/>
        </w:rPr>
        <w:t xml:space="preserve"> [Portal web]. https://contaduriapublica.umsa.bo/kardex/graduacion-por-excelencia-academica/</w:t>
      </w:r>
    </w:p>
    <w:p>
      <w:pPr>
        <w:spacing w:before="0" w:after="200" w:line="240" w:lineRule="auto"/>
        <w:jc w:val="both"/>
      </w:pPr>
      <w:r>
        <w:rPr>
          <w:rFonts w:ascii="Century Gothic" w:hAnsi="Century Gothic" w:cs="Century Gothic" w:eastAsia="Century Gothic"/>
          <w:b w:val="0"/>
          <w:i w:val="0"/>
          <w:sz w:val="20"/>
        </w:rPr>
        <w:t xml:space="preserve">Carrera de Contaduría Pública. </w:t>
      </w:r>
      <w:r>
        <w:rPr>
          <w:rFonts w:ascii="Century Gothic" w:hAnsi="Century Gothic" w:cs="Century Gothic" w:eastAsia="Century Gothic"/>
          <w:b w:val="0"/>
          <w:i/>
          <w:sz w:val="20"/>
        </w:rPr>
        <w:t>Plan Excepcional de Titulación para Antiguos Estudiantes No Graduados (PETAENG)</w:t>
      </w:r>
      <w:r>
        <w:rPr>
          <w:rFonts w:ascii="Century Gothic" w:hAnsi="Century Gothic" w:cs="Century Gothic" w:eastAsia="Century Gothic"/>
          <w:b w:val="0"/>
          <w:i w:val="0"/>
          <w:sz w:val="20"/>
        </w:rPr>
        <w:t xml:space="preserve"> [Documento en línea]. https://drive.google.com/file/d/1eKFLbugT7DzDFoDZ1LXLHmstDCYHgWr1/view</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2"/>
    <w:lvlOverride w:ilvl="0">
      <w:startOverride w:val="1"/>
    </w:lvlOverride>
  </w:num>
  <w:num w:numId="903">
    <w:abstractNumId w:val="902"/>
    <w:lvlOverride w:ilvl="0">
      <w:startOverride w:val="1"/>
    </w:lvlOverride>
  </w:num>
  <w:num w:numId="904">
    <w:abstractNumId w:val="902"/>
    <w:lvlOverride w:ilvl="0">
      <w:startOverride w:val="1"/>
    </w:lvlOverride>
  </w:num>
  <w:num w:numId="905">
    <w:abstractNumId w:val="902"/>
    <w:lvlOverride w:ilvl="0">
      <w:startOverride w:val="1"/>
    </w:lvlOverride>
  </w:num>
  <w:num w:numId="906">
    <w:abstractNumId w:val="902"/>
    <w:lvlOverride w:ilvl="0">
      <w:startOverride w:val="1"/>
    </w:lvlOverride>
  </w:num>
  <w:num w:numId="907">
    <w:abstractNumId w:val="902"/>
    <w:lvlOverride w:ilvl="0">
      <w:startOverride w:val="1"/>
    </w:lvlOverride>
  </w:num>
  <w:num w:numId="908">
    <w:abstractNumId w:val="902"/>
    <w:lvlOverride w:ilvl="0">
      <w:startOverride w:val="1"/>
    </w:lvlOverride>
  </w:num>
  <w:num w:numId="909">
    <w:abstractNumId w:val="902"/>
    <w:lvlOverride w:ilvl="0">
      <w:startOverride w:val="1"/>
    </w:lvlOverride>
  </w:num>
  <w:num w:numId="910">
    <w:abstractNumId w:val="902"/>
    <w:lvlOverride w:ilvl="0">
      <w:startOverride w:val="1"/>
    </w:lvlOverride>
  </w:num>
  <w:num w:numId="911">
    <w:abstractNumId w:val="902"/>
    <w:lvlOverride w:ilvl="0">
      <w:startOverride w:val="1"/>
    </w:lvlOverride>
  </w:num>
  <w:num w:numId="912">
    <w:abstractNumId w:val="9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