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Identificación del Programa/Carrera</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w:t>
        <w:tab/>
      </w:r>
      <w:r>
        <w:rPr>
          <w:rFonts w:ascii="Century Gothic" w:hAnsi="Century Gothic" w:cs="Century Gothic" w:eastAsia="Century Gothic"/>
          <w:b/>
          <w:i w:val="0"/>
          <w:sz w:val="24"/>
        </w:rPr>
        <w:t>Identificación del programa/carrera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w:t>
        <w:tab/>
      </w:r>
      <w:r>
        <w:rPr>
          <w:rFonts w:ascii="Century Gothic" w:hAnsi="Century Gothic" w:cs="Century Gothic" w:eastAsia="Century Gothic"/>
          <w:b/>
          <w:i w:val="0"/>
          <w:sz w:val="24"/>
        </w:rPr>
        <w:t>Facultad</w:t>
      </w:r>
    </w:p>
    <w:p>
      <w:pPr>
        <w:spacing w:before="0" w:after="200" w:line="240" w:lineRule="auto"/>
        <w:jc w:val="both"/>
      </w:pPr>
      <w:r>
        <w:rPr>
          <w:rFonts w:ascii="Century Gothic" w:hAnsi="Century Gothic" w:cs="Century Gothic" w:eastAsia="Century Gothic"/>
          <w:b w:val="0"/>
          <w:i w:val="0"/>
          <w:sz w:val="20"/>
        </w:rPr>
        <w:t>Facultad de Ciencias Económicas y Financieras de la Universidad Mayor de San Andrés.</w:t>
      </w:r>
    </w:p>
    <w:p>
      <w:pPr>
        <w:spacing w:before="0" w:after="200" w:line="240" w:lineRule="auto"/>
        <w:jc w:val="both"/>
      </w:pPr>
      <w:r>
        <w:rPr>
          <w:rFonts w:ascii="Century Gothic" w:hAnsi="Century Gothic" w:cs="Century Gothic" w:eastAsia="Century Gothic"/>
          <w:b w:val="0"/>
          <w:i w:val="0"/>
          <w:sz w:val="20"/>
        </w:rPr>
        <w:t>La Carrera de Contaduría Pública pertenece a la Facultad de Ciencias Económicas y Financieras, que integra además a las Carreras de Economía y de Administración de Empresas. Como parte del Sistema de la Universidad Boliviana, la Carrera desarrolla sus actividades institucionales, académicas y administrativas en el marco de las normas y reglamentos universitarios, respetando la autonomía universitaria, que le confiere independencia ideológica, capacidad de dotarse de sus propias normas, elección libre de sus autoridades y libre administración de sus recursos. Para su gestión adopta el cogobierno docente estudiantil.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1.2</w:t>
        <w:tab/>
      </w:r>
      <w:r>
        <w:rPr>
          <w:rFonts w:ascii="Century Gothic" w:hAnsi="Century Gothic" w:cs="Century Gothic" w:eastAsia="Century Gothic"/>
          <w:b/>
          <w:i w:val="0"/>
          <w:sz w:val="24"/>
        </w:rPr>
        <w:t>Programa/carrera</w:t>
      </w:r>
    </w:p>
    <w:p>
      <w:pPr>
        <w:spacing w:before="0" w:after="200" w:line="240" w:lineRule="auto"/>
        <w:jc w:val="both"/>
      </w:pPr>
      <w:r>
        <w:rPr>
          <w:rFonts w:ascii="Century Gothic" w:hAnsi="Century Gothic" w:cs="Century Gothic" w:eastAsia="Century Gothic"/>
          <w:b w:val="0"/>
          <w:i w:val="0"/>
          <w:sz w:val="20"/>
        </w:rPr>
        <w:t>Carrera de Contaduría Pública.</w:t>
      </w:r>
    </w:p>
    <w:p>
      <w:pPr>
        <w:spacing w:before="0" w:after="200" w:line="240" w:lineRule="auto"/>
        <w:jc w:val="both"/>
      </w:pPr>
      <w:r>
        <w:rPr>
          <w:rFonts w:ascii="Century Gothic" w:hAnsi="Century Gothic" w:cs="Century Gothic" w:eastAsia="Century Gothic"/>
          <w:b w:val="0"/>
          <w:i w:val="0"/>
          <w:sz w:val="20"/>
        </w:rPr>
        <w:t>La Carrera fue creada con la denominación de Carrera de Auditoría. El cambio de nombre a Carrera de Contaduría Pública se gestionó a partir de las siguientes disposiciones:</w:t>
      </w:r>
    </w:p>
    <w:tbl>
      <w:tblPr>
        <w:tblW w:type="auto" w:w="0"/>
        <w:jc w:val="center"/>
        <w:tblLayout w:type="fixed"/>
        <w:tblLook w:firstColumn="1" w:firstRow="1" w:lastColumn="0" w:lastRow="0" w:noHBand="0" w:noVBand="1" w:val="04A0"/>
      </w:tblPr>
      <w:tblGrid>
        <w:gridCol w:w="2381"/>
        <w:gridCol w:w="1871"/>
        <w:gridCol w:w="4819"/>
      </w:tblGrid>
      <w:tr>
        <w:trPr>
          <w:tblHeader/>
        </w:trPr>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Resolución</w:t>
            </w:r>
          </w:p>
        </w:tc>
        <w:tc>
          <w:tcPr>
            <w:tcW w:type="dxa" w:w="187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Fecha</w:t>
            </w:r>
          </w:p>
        </w:tc>
        <w:tc>
          <w:tcPr>
            <w:tcW w:type="dxa" w:w="481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Contenido</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186/2000</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de agosto de 2000</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Aprueba el cambio de nombre de la Carrera de Auditoría por el de Contaduría Pública. Esta resolución no llegó a aplicarse.</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del Honorable Consejo de Carrera de Auditoría N.º 142/2011</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19 de julio de 2011</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Dispone el cambio de nombre de la Carrera, del título académico de Licenciado en Auditoría por el de Licenciado en Contaduría Pública y del título en provisión nacional de Auditor Financiero por el de Contador Público Autorizado.</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HCF N.º 613/2011</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28 de julio de 2011</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Homologa la Resolución del Honorable Consejo de Carrera N.º 142/2011.</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438/2012</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12 de septiembre de 2012</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Aprueba la denominación de Carrera de Contaduría Pública y la nomenclatura de los títulos que otorga la Carrera.</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1.3</w:t>
        <w:tab/>
      </w:r>
      <w:r>
        <w:rPr>
          <w:rFonts w:ascii="Century Gothic" w:hAnsi="Century Gothic" w:cs="Century Gothic" w:eastAsia="Century Gothic"/>
          <w:b/>
          <w:i w:val="0"/>
          <w:sz w:val="24"/>
        </w:rPr>
        <w:t>Fecha de creación y Resolución HCU</w:t>
      </w:r>
    </w:p>
    <w:p>
      <w:pPr>
        <w:spacing w:before="0" w:after="200" w:line="240" w:lineRule="auto"/>
        <w:jc w:val="both"/>
      </w:pPr>
      <w:r>
        <w:rPr>
          <w:rFonts w:ascii="Century Gothic" w:hAnsi="Century Gothic" w:cs="Century Gothic" w:eastAsia="Century Gothic"/>
          <w:b w:val="0"/>
          <w:i w:val="0"/>
          <w:sz w:val="20"/>
        </w:rPr>
        <w:t xml:space="preserve">La Carrera de Auditoría fue fundada el 25 de agosto de 1970 e inició sus actividades académicas en la gestión 1971, como unidad dependiente de la Facultad de Ciencias Económicas y Financieras de la Universidad Mayor de San Andrés. </w:t>
      </w:r>
      <w:r>
        <w:rPr>
          <w:rFonts w:ascii="Century Gothic" w:hAnsi="Century Gothic" w:cs="Century Gothic" w:eastAsia="Century Gothic"/>
          <w:b w:val="0"/>
          <w:i w:val="0"/>
          <w:sz w:val="20"/>
          <w:highlight w:val="green"/>
        </w:rPr>
        <w:t>Su creación tiene origen en el Congreso Interno de la Facultad realizado en 1970, en el contexto de la Revolución Universitaria de abril de ese año.</w:t>
      </w:r>
    </w:p>
    <w:p>
      <w:pPr>
        <w:spacing w:before="0" w:after="200" w:line="240" w:lineRule="auto"/>
        <w:jc w:val="both"/>
      </w:pPr>
      <w:r>
        <w:rPr>
          <w:rFonts w:ascii="Century Gothic" w:hAnsi="Century Gothic" w:cs="Century Gothic" w:eastAsia="Century Gothic"/>
          <w:b w:val="0"/>
          <w:i w:val="0"/>
          <w:sz w:val="20"/>
        </w:rPr>
        <w:t>Durante la gestión académica de 1970 entró en funcionamiento la mención de Auditoría Financiera, conforme al Reglamento General de Estudios de la Facultad de Economía. Esta mención otorgaba el título de Contador General al aprobar el tercer curso y el de Licenciado en Ciencias Económicas, mención Auditoría Financiera, al concluir el plan de estudios.</w:t>
      </w:r>
    </w:p>
    <w:p>
      <w:pPr>
        <w:spacing w:before="0" w:after="200" w:line="240" w:lineRule="auto"/>
        <w:jc w:val="both"/>
      </w:pPr>
      <w:r>
        <w:rPr>
          <w:rFonts w:ascii="Century Gothic" w:hAnsi="Century Gothic" w:cs="Century Gothic" w:eastAsia="Century Gothic"/>
          <w:b w:val="0"/>
          <w:i w:val="0"/>
          <w:sz w:val="20"/>
        </w:rPr>
        <w:t>La Resolución del Honorable Consejo Universitario N.º 057/1974, de 22 de agosto de 1974, aprobó el currículum de materias, el programa de examen de licenciatura y la homologación de los planes de estudio de la mención Auditoría Financiera. Con ello se regularizó la situación académica de los estudiantes que en la gestión 1971 cursaban el tercer y cuarto nivel en la ex Facultad de Economía y se incorporó la mención a la estructura académica de la Universidad Boliviana.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1.4</w:t>
        <w:tab/>
      </w:r>
      <w:r>
        <w:rPr>
          <w:rFonts w:ascii="Century Gothic" w:hAnsi="Century Gothic" w:cs="Century Gothic" w:eastAsia="Century Gothic"/>
          <w:b/>
          <w:i w:val="0"/>
          <w:sz w:val="24"/>
        </w:rPr>
        <w:t>Resolución(es) HCU que aprobaron planes de estudio anteriores</w:t>
      </w:r>
    </w:p>
    <w:tbl>
      <w:tblPr>
        <w:tblW w:type="auto" w:w="0"/>
        <w:jc w:val="center"/>
        <w:tblLayout w:type="fixed"/>
        <w:tblLook w:firstColumn="1" w:firstRow="1" w:lastColumn="0" w:lastRow="0" w:noHBand="0" w:noVBand="1" w:val="04A0"/>
      </w:tblPr>
      <w:tblGrid>
        <w:gridCol w:w="2154"/>
        <w:gridCol w:w="4365"/>
        <w:gridCol w:w="2551"/>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Plan de estudios</w:t>
            </w:r>
          </w:p>
        </w:tc>
        <w:tc>
          <w:tcPr>
            <w:tcW w:type="dxa" w:w="43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Resoluciones de aprobación</w:t>
            </w:r>
          </w:p>
        </w:tc>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Fecha de la Resolución HCU</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1999</w:t>
            </w:r>
          </w:p>
        </w:tc>
        <w:tc>
          <w:tcPr>
            <w:tcW w:type="dxa" w:w="43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524/2004</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10 de noviembre de 2004</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2013</w:t>
            </w:r>
          </w:p>
        </w:tc>
        <w:tc>
          <w:tcPr>
            <w:tcW w:type="dxa" w:w="43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Resoluciones HCC N.º 162/2012, HCF N.º 929/2012 y HCU N.º 025/2013</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21 de febrero de 2013</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2024</w:t>
            </w:r>
          </w:p>
        </w:tc>
        <w:tc>
          <w:tcPr>
            <w:tcW w:type="dxa" w:w="43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Resolución HCU N.º 233/2024</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Por confirmar</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Plan de Estudios 1999 fue aprobado en el II Congreso Interno de la Carrera de Auditoría y ratificado por el Honorable Consejo Universitario mediante la Resolución N.º 524/2004. El Plan de Estudios 2013 es el plan vigente: acumula más de doce años de aplicación y es el objeto del Diagnóstico de la Carrera que sustenta el presente rediseño curricular.</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1.5</w:t>
        <w:tab/>
      </w:r>
      <w:r>
        <w:rPr>
          <w:rFonts w:ascii="Century Gothic" w:hAnsi="Century Gothic" w:cs="Century Gothic" w:eastAsia="Century Gothic"/>
          <w:b/>
          <w:i w:val="0"/>
          <w:sz w:val="24"/>
        </w:rPr>
        <w:t>Grado académico terminal</w:t>
      </w:r>
    </w:p>
    <w:p>
      <w:pPr>
        <w:spacing w:before="0" w:after="200" w:line="240" w:lineRule="auto"/>
        <w:jc w:val="both"/>
      </w:pPr>
      <w:r>
        <w:rPr>
          <w:rFonts w:ascii="Century Gothic" w:hAnsi="Century Gothic" w:cs="Century Gothic" w:eastAsia="Century Gothic"/>
          <w:b w:val="0"/>
          <w:i w:val="0"/>
          <w:sz w:val="20"/>
        </w:rPr>
        <w:t>Licenciatura.</w:t>
      </w:r>
    </w:p>
    <w:p>
      <w:pPr>
        <w:spacing w:before="0" w:after="200" w:line="240" w:lineRule="auto"/>
        <w:jc w:val="both"/>
      </w:pPr>
      <w:r>
        <w:rPr>
          <w:rFonts w:ascii="Century Gothic" w:hAnsi="Century Gothic" w:cs="Century Gothic" w:eastAsia="Century Gothic"/>
          <w:b w:val="0"/>
          <w:i w:val="0"/>
          <w:sz w:val="20"/>
        </w:rPr>
        <w:t>Concluidos los cinco años de formación académica, con una carga de 6.000 horas académicas, acreditados con el certificado de egreso, y aprobada una de las modalidades de graduación vigentes, el estudiante accede al grado académico de Licenciatura en Contaduría Pública.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1.6</w:t>
        <w:tab/>
      </w:r>
      <w:r>
        <w:rPr>
          <w:rFonts w:ascii="Century Gothic" w:hAnsi="Century Gothic" w:cs="Century Gothic" w:eastAsia="Century Gothic"/>
          <w:b/>
          <w:i w:val="0"/>
          <w:sz w:val="24"/>
        </w:rPr>
        <w:t>Grado(s) académico(s) intermedio(s)</w:t>
      </w:r>
    </w:p>
    <w:p>
      <w:pPr>
        <w:spacing w:before="0" w:after="200" w:line="240" w:lineRule="auto"/>
        <w:jc w:val="both"/>
      </w:pPr>
      <w:r>
        <w:rPr>
          <w:rFonts w:ascii="Century Gothic" w:hAnsi="Century Gothic" w:cs="Century Gothic" w:eastAsia="Century Gothic"/>
          <w:b w:val="0"/>
          <w:i w:val="0"/>
          <w:sz w:val="20"/>
        </w:rPr>
        <w:t>La Resolución del Honorable Consejo Universitario N.º 290/2016 aprueba la denominación de Técnico Universitario Superior en Contabilidad General para los estudiantes de pregrado de la Carrera de Contaduría Pública. Este grado se obtiene al concluir el tercer año de formación académica y aprobar el examen de grado correspondiente.</w:t>
      </w:r>
    </w:p>
    <w:p>
      <w:pPr>
        <w:spacing w:before="0" w:after="200" w:line="240" w:lineRule="auto"/>
        <w:jc w:val="both"/>
      </w:pPr>
      <w:r>
        <w:rPr>
          <w:rFonts w:ascii="Century Gothic" w:hAnsi="Century Gothic" w:cs="Century Gothic" w:eastAsia="Century Gothic"/>
          <w:b w:val="0"/>
          <w:i w:val="0"/>
          <w:sz w:val="20"/>
        </w:rPr>
        <w:t>Al concluir el segundo año de formación académica, el estudiante puede acceder además al grado de Técnico Medio, con la denominación de Auxiliar en Contabilidad General.</w:t>
      </w:r>
    </w:p>
    <w:p>
      <w:pPr>
        <w:spacing w:before="0" w:after="200" w:line="240" w:lineRule="auto"/>
        <w:jc w:val="both"/>
      </w:pPr>
      <w:r>
        <w:rPr>
          <w:rFonts w:ascii="Century Gothic" w:hAnsi="Century Gothic" w:cs="Century Gothic" w:eastAsia="Century Gothic"/>
          <w:b w:val="0"/>
          <w:i w:val="0"/>
          <w:sz w:val="20"/>
        </w:rPr>
        <w:t>Ambos grados se encuentran tipificados en el Artículo 4 del Reglamento General de Títulos y Grados aprobado en el XII Congreso Nacional de Universidades.</w:t>
      </w:r>
    </w:p>
    <w:tbl>
      <w:tblPr>
        <w:tblW w:type="auto" w:w="0"/>
        <w:jc w:val="center"/>
        <w:tblLayout w:type="fixed"/>
        <w:tblLook w:firstColumn="1" w:firstRow="1" w:lastColumn="0" w:lastRow="0" w:noHBand="0" w:noVBand="1" w:val="04A0"/>
      </w:tblPr>
      <w:tblGrid>
        <w:gridCol w:w="1984"/>
        <w:gridCol w:w="3969"/>
        <w:gridCol w:w="3118"/>
      </w:tblGrid>
      <w:tr>
        <w:trPr>
          <w:tblHeader/>
        </w:trPr>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 concluido</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Grado académico</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Título en provisión nacional</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Segundo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Medio, Auxiliar en Contabilidad General</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 corresponde</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Tercer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 en Contabilidad General</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General</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Quinto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Licenciatura en Contaduría Pública</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1.7</w:t>
        <w:tab/>
      </w:r>
      <w:r>
        <w:rPr>
          <w:rFonts w:ascii="Century Gothic" w:hAnsi="Century Gothic" w:cs="Century Gothic" w:eastAsia="Century Gothic"/>
          <w:b/>
          <w:i w:val="0"/>
          <w:sz w:val="24"/>
        </w:rPr>
        <w:t>Sede(s)</w:t>
      </w:r>
    </w:p>
    <w:p>
      <w:pPr>
        <w:numPr>
          <w:ilvl w:val="0"/>
          <w:numId w:val="901"/>
        </w:numPr>
        <w:spacing w:before="0" w:after="160" w:line="240" w:lineRule="auto"/>
        <w:jc w:val="both"/>
      </w:pPr>
      <w:r>
        <w:rPr>
          <w:rFonts w:ascii="Century Gothic" w:hAnsi="Century Gothic" w:cs="Century Gothic" w:eastAsia="Century Gothic"/>
          <w:b/>
          <w:i w:val="0"/>
          <w:sz w:val="20"/>
        </w:rPr>
        <w:t>Sede central:</w:t>
      </w:r>
      <w:r>
        <w:rPr>
          <w:rFonts w:ascii="Century Gothic" w:hAnsi="Century Gothic" w:cs="Century Gothic" w:eastAsia="Century Gothic"/>
          <w:b w:val="0"/>
          <w:i w:val="0"/>
          <w:sz w:val="20"/>
        </w:rPr>
        <w:t xml:space="preserve"> ciudad de La Paz. Las actividades académicas se desarrollan en el Edificio Nava Morales, ubicado en la avenida Montes esquina Pando, y en el Edificio Monoblock Central de la Universidad, en la avenida Villazón.</w:t>
      </w:r>
    </w:p>
    <w:p>
      <w:pPr>
        <w:numPr>
          <w:ilvl w:val="0"/>
          <w:numId w:val="901"/>
        </w:numPr>
        <w:spacing w:before="0" w:after="200" w:line="240" w:lineRule="auto"/>
        <w:jc w:val="both"/>
      </w:pPr>
      <w:r>
        <w:rPr>
          <w:rFonts w:ascii="Century Gothic" w:hAnsi="Century Gothic" w:cs="Century Gothic" w:eastAsia="Century Gothic"/>
          <w:b/>
          <w:i w:val="0"/>
          <w:sz w:val="20"/>
        </w:rPr>
        <w:t>Programa Académico Desconcentrado Técnico Superior Contador General:</w:t>
      </w:r>
      <w:r>
        <w:rPr>
          <w:rFonts w:ascii="Century Gothic" w:hAnsi="Century Gothic" w:cs="Century Gothic" w:eastAsia="Century Gothic"/>
          <w:b w:val="0"/>
          <w:i w:val="0"/>
          <w:sz w:val="20"/>
        </w:rPr>
        <w:t xml:space="preserve"> Centro Regional Universitario Yungas, en Chulumani, y Sede Universitaria Local Caranavi. En la gestión 2025 estas sedes registraron 104 estudiantes inscritos.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1.8</w:t>
        <w:tab/>
      </w:r>
      <w:r>
        <w:rPr>
          <w:rFonts w:ascii="Century Gothic" w:hAnsi="Century Gothic" w:cs="Century Gothic" w:eastAsia="Century Gothic"/>
          <w:b/>
          <w:i w:val="0"/>
          <w:sz w:val="24"/>
        </w:rPr>
        <w:t>Diploma académico terminal</w:t>
      </w:r>
    </w:p>
    <w:p>
      <w:pPr>
        <w:spacing w:before="0" w:after="200" w:line="240" w:lineRule="auto"/>
        <w:jc w:val="both"/>
      </w:pPr>
      <w:r>
        <w:rPr>
          <w:rFonts w:ascii="Century Gothic" w:hAnsi="Century Gothic" w:cs="Century Gothic" w:eastAsia="Century Gothic"/>
          <w:b w:val="0"/>
          <w:i w:val="0"/>
          <w:sz w:val="20"/>
        </w:rPr>
        <w:t>Licenciado(a) en Contaduría Pública, conforme a la Resolución del Honorable Consejo Universitario N.º 438/2012.</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1.9</w:t>
        <w:tab/>
      </w:r>
      <w:r>
        <w:rPr>
          <w:rFonts w:ascii="Century Gothic" w:hAnsi="Century Gothic" w:cs="Century Gothic" w:eastAsia="Century Gothic"/>
          <w:b/>
          <w:i w:val="0"/>
          <w:sz w:val="24"/>
        </w:rPr>
        <w:t>Diploma(s) académico(s) intermedio(s)</w:t>
      </w:r>
    </w:p>
    <w:p>
      <w:pPr>
        <w:spacing w:before="0" w:after="200" w:line="240" w:lineRule="auto"/>
        <w:jc w:val="both"/>
      </w:pPr>
      <w:r>
        <w:rPr>
          <w:rFonts w:ascii="Century Gothic" w:hAnsi="Century Gothic" w:cs="Century Gothic" w:eastAsia="Century Gothic"/>
          <w:b w:val="0"/>
          <w:i w:val="0"/>
          <w:sz w:val="20"/>
        </w:rPr>
        <w:t>Técnico Universitario Superior en Contabilidad General, conforme a la Resolución del Honorable Consejo Universitario N.º 290/2016.</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1.10</w:t>
        <w:tab/>
      </w:r>
      <w:r>
        <w:rPr>
          <w:rFonts w:ascii="Century Gothic" w:hAnsi="Century Gothic" w:cs="Century Gothic" w:eastAsia="Century Gothic"/>
          <w:b/>
          <w:i w:val="0"/>
          <w:sz w:val="24"/>
        </w:rPr>
        <w:t>Título profesional</w:t>
      </w:r>
    </w:p>
    <w:p>
      <w:pPr>
        <w:spacing w:before="0" w:after="200" w:line="240" w:lineRule="auto"/>
        <w:jc w:val="both"/>
      </w:pPr>
      <w:r>
        <w:rPr>
          <w:rFonts w:ascii="Century Gothic" w:hAnsi="Century Gothic" w:cs="Century Gothic" w:eastAsia="Century Gothic"/>
          <w:b w:val="0"/>
          <w:i w:val="0"/>
          <w:sz w:val="20"/>
        </w:rPr>
        <w:t>Título en provisión nacional de Contador Público Autorizado, conforme a la Resolución del Honorable Consejo Universitario N.º 438/2012.</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1.11</w:t>
        <w:tab/>
      </w:r>
      <w:r>
        <w:rPr>
          <w:rFonts w:ascii="Century Gothic" w:hAnsi="Century Gothic" w:cs="Century Gothic" w:eastAsia="Century Gothic"/>
          <w:b/>
          <w:i w:val="0"/>
          <w:sz w:val="24"/>
        </w:rPr>
        <w:t>Título(s) profesional(es) intermedio(s)</w:t>
      </w:r>
    </w:p>
    <w:p>
      <w:pPr>
        <w:spacing w:before="0" w:after="200" w:line="240" w:lineRule="auto"/>
        <w:jc w:val="both"/>
      </w:pPr>
      <w:r>
        <w:rPr>
          <w:rFonts w:ascii="Century Gothic" w:hAnsi="Century Gothic" w:cs="Century Gothic" w:eastAsia="Century Gothic"/>
          <w:b w:val="0"/>
          <w:i w:val="0"/>
          <w:sz w:val="20"/>
        </w:rPr>
        <w:t>Título en provisión nacional de Contador General, conforme a la Resolución del Honorable Consejo Universitario N.º 290/2016.</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1.12</w:t>
        <w:tab/>
      </w:r>
      <w:r>
        <w:rPr>
          <w:rFonts w:ascii="Century Gothic" w:hAnsi="Century Gothic" w:cs="Century Gothic" w:eastAsia="Century Gothic"/>
          <w:b/>
          <w:i w:val="0"/>
          <w:sz w:val="24"/>
        </w:rPr>
        <w:t>Modalidad(es) de docencia</w:t>
      </w:r>
    </w:p>
    <w:p>
      <w:pPr>
        <w:spacing w:before="0" w:after="200" w:line="240" w:lineRule="auto"/>
        <w:jc w:val="both"/>
      </w:pPr>
      <w:r>
        <w:rPr>
          <w:rFonts w:ascii="Century Gothic" w:hAnsi="Century Gothic" w:cs="Century Gothic" w:eastAsia="Century Gothic"/>
          <w:b w:val="0"/>
          <w:i w:val="0"/>
          <w:sz w:val="20"/>
        </w:rPr>
        <w:t>La Carrera desarrolla sus actividades académicas en modalidad presencial, bajo régimen anual, en dos turnos: diurno y nocturno. El turno nocturno se implementó para atender a los estudiantes que realizan actividad laboral. La Carrera cuenta además con una plataforma virtual que refuerza el aprendizaje en aula y permite la recepción de tareas, controles de lectura y otras evaluaciones en línea, sin sustituir las horas presenciales previstas en el plan de estudios.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1.13</w:t>
        <w:tab/>
      </w:r>
      <w:r>
        <w:rPr>
          <w:rFonts w:ascii="Century Gothic" w:hAnsi="Century Gothic" w:cs="Century Gothic" w:eastAsia="Century Gothic"/>
          <w:b/>
          <w:i w:val="0"/>
          <w:sz w:val="24"/>
        </w:rPr>
        <w:t>Otras características</w:t>
      </w:r>
    </w:p>
    <w:p>
      <w:pPr>
        <w:numPr>
          <w:ilvl w:val="0"/>
          <w:numId w:val="902"/>
        </w:numPr>
        <w:spacing w:before="0" w:after="160" w:line="240" w:lineRule="auto"/>
        <w:jc w:val="both"/>
      </w:pPr>
      <w:r>
        <w:rPr>
          <w:rFonts w:ascii="Century Gothic" w:hAnsi="Century Gothic" w:cs="Century Gothic" w:eastAsia="Century Gothic"/>
          <w:b/>
          <w:i w:val="0"/>
          <w:sz w:val="20"/>
        </w:rPr>
        <w:t>Acreditación:</w:t>
      </w:r>
      <w:r>
        <w:rPr>
          <w:rFonts w:ascii="Century Gothic" w:hAnsi="Century Gothic" w:cs="Century Gothic" w:eastAsia="Century Gothic"/>
          <w:b w:val="0"/>
          <w:i w:val="0"/>
          <w:sz w:val="20"/>
        </w:rPr>
        <w:t xml:space="preserve"> la Carrera de Contaduría Pública fue acreditada mediante la Resolución N.º 09/2015 de la VI Conferencia Nacional Extraordinaria de Universidades. Su reacreditación ante el Comité Ejecutivo de la Universidad Boliviana y la acreditación internacional en el sistema ARCU-SUR son metas del Plan de Desarrollo 2026-2030 de la Carrera.</w:t>
      </w:r>
    </w:p>
    <w:p>
      <w:pPr>
        <w:numPr>
          <w:ilvl w:val="0"/>
          <w:numId w:val="902"/>
        </w:numPr>
        <w:spacing w:before="0" w:after="160" w:line="240" w:lineRule="auto"/>
        <w:jc w:val="both"/>
      </w:pPr>
      <w:r>
        <w:rPr>
          <w:rFonts w:ascii="Century Gothic" w:hAnsi="Century Gothic" w:cs="Century Gothic" w:eastAsia="Century Gothic"/>
          <w:b/>
          <w:i w:val="0"/>
          <w:sz w:val="20"/>
        </w:rPr>
        <w:t>Nivel de innovación curricular:</w:t>
      </w:r>
      <w:r>
        <w:rPr>
          <w:rFonts w:ascii="Century Gothic" w:hAnsi="Century Gothic" w:cs="Century Gothic" w:eastAsia="Century Gothic"/>
          <w:b w:val="0"/>
          <w:i w:val="0"/>
          <w:sz w:val="20"/>
        </w:rPr>
        <w:t xml:space="preserve"> rediseño curricular, conforme al Artículo 5 del Reglamento de Innovación Curricular de la Universidad Mayor de San Andrés, aprobado mediante Resolución del Honorable Consejo Universitario N.º 032/2025, de 12 de febrero de 2025.</w:t>
      </w:r>
    </w:p>
    <w:p>
      <w:pPr>
        <w:numPr>
          <w:ilvl w:val="0"/>
          <w:numId w:val="902"/>
        </w:numPr>
        <w:spacing w:before="0" w:after="160" w:line="240" w:lineRule="auto"/>
        <w:jc w:val="both"/>
      </w:pPr>
      <w:r>
        <w:rPr>
          <w:rFonts w:ascii="Century Gothic" w:hAnsi="Century Gothic" w:cs="Century Gothic" w:eastAsia="Century Gothic"/>
          <w:b/>
          <w:i w:val="0"/>
          <w:sz w:val="20"/>
        </w:rPr>
        <w:t>Declaratoria de necesidad:</w:t>
      </w:r>
      <w:r>
        <w:rPr>
          <w:rFonts w:ascii="Century Gothic" w:hAnsi="Century Gothic" w:cs="Century Gothic" w:eastAsia="Century Gothic"/>
          <w:b w:val="0"/>
          <w:i w:val="0"/>
          <w:sz w:val="20"/>
        </w:rPr>
        <w:t xml:space="preserve"> la Resolución del Honorable Consejo Facultativo N.º 1057/2026, de 25 de agosto de 2026, aprueba el Diagnóstico de la Carrera y la Declaratoria de Necesidad de Rediseño Curricular, y autoriza la convocatoria a la Asamblea Docente Estudiantil del 4 de septiembre de 2026 para la elección de la Comisión Académica.</w:t>
      </w:r>
    </w:p>
    <w:p>
      <w:pPr>
        <w:numPr>
          <w:ilvl w:val="0"/>
          <w:numId w:val="902"/>
        </w:numPr>
        <w:spacing w:before="0" w:after="160" w:line="240" w:lineRule="auto"/>
        <w:jc w:val="both"/>
      </w:pPr>
      <w:r>
        <w:rPr>
          <w:rFonts w:ascii="Century Gothic" w:hAnsi="Century Gothic" w:cs="Century Gothic" w:eastAsia="Century Gothic"/>
          <w:b/>
          <w:i w:val="0"/>
          <w:sz w:val="20"/>
        </w:rPr>
        <w:t>Enfoque formativo:</w:t>
      </w:r>
      <w:r>
        <w:rPr>
          <w:rFonts w:ascii="Century Gothic" w:hAnsi="Century Gothic" w:cs="Century Gothic" w:eastAsia="Century Gothic"/>
          <w:b w:val="0"/>
          <w:i w:val="0"/>
          <w:sz w:val="20"/>
        </w:rPr>
        <w:t xml:space="preserve"> formación por competencias, orientada al perfil del Contador Público Autorizado aprobado en la III-XIII Reunión Sectorial de las Carreras de Contaduría Pública del Sistema de la Universidad Boliviana, ratificada por la Resolución N.º 07/2024 de la VI Conferencia Nacional Ordinaria de Universidades, y alineada con las Normas Internacionales de Educación (IES 1 a IES 8) de la Federación Internacional de Contadores.</w:t>
      </w:r>
    </w:p>
    <w:p>
      <w:pPr>
        <w:numPr>
          <w:ilvl w:val="0"/>
          <w:numId w:val="902"/>
        </w:numPr>
        <w:spacing w:before="0" w:after="200" w:line="240" w:lineRule="auto"/>
        <w:jc w:val="both"/>
      </w:pPr>
      <w:r>
        <w:rPr>
          <w:rFonts w:ascii="Century Gothic" w:hAnsi="Century Gothic" w:cs="Century Gothic" w:eastAsia="Century Gothic"/>
          <w:b/>
          <w:i w:val="0"/>
          <w:sz w:val="20"/>
        </w:rPr>
        <w:t>Aplicación del nuevo plan:</w:t>
      </w:r>
      <w:r>
        <w:rPr>
          <w:rFonts w:ascii="Century Gothic" w:hAnsi="Century Gothic" w:cs="Century Gothic" w:eastAsia="Century Gothic"/>
          <w:b w:val="0"/>
          <w:i w:val="0"/>
          <w:sz w:val="20"/>
        </w:rPr>
        <w:t xml:space="preserve"> una vez aprobado en las instancias de cogobierno, el plan de estudios rediseñado se aplicará en la gestión siguiente, conforme al Artículo 16 del Reglamento de Innovación Curricular.</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